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691" w:rsidRDefault="00941691" w:rsidP="00941691">
      <w:pPr>
        <w:spacing w:line="560" w:lineRule="exact"/>
        <w:jc w:val="center"/>
        <w:rPr>
          <w:rFonts w:ascii="公文小标宋简" w:eastAsia="公文小标宋简" w:hAnsi="公文小标宋简" w:cs="公文小标宋简"/>
          <w:sz w:val="44"/>
          <w:szCs w:val="44"/>
        </w:rPr>
      </w:pPr>
      <w:r>
        <w:rPr>
          <w:rFonts w:ascii="公文小标宋简" w:eastAsia="公文小标宋简" w:hAnsi="公文小标宋简" w:cs="公文小标宋简" w:hint="eastAsia"/>
          <w:sz w:val="44"/>
          <w:szCs w:val="44"/>
        </w:rPr>
        <w:t>广州市番禺区教育基金会“助学圆梦，</w:t>
      </w:r>
    </w:p>
    <w:p w:rsidR="00941691" w:rsidRDefault="00941691" w:rsidP="00941691">
      <w:pPr>
        <w:spacing w:line="560" w:lineRule="exact"/>
        <w:jc w:val="center"/>
        <w:rPr>
          <w:rFonts w:ascii="公文小标宋简" w:eastAsia="公文小标宋简" w:hAnsi="公文小标宋简" w:cs="公文小标宋简"/>
          <w:sz w:val="44"/>
          <w:szCs w:val="44"/>
        </w:rPr>
      </w:pPr>
      <w:r>
        <w:rPr>
          <w:rFonts w:ascii="公文小标宋简" w:eastAsia="公文小标宋简" w:hAnsi="公文小标宋简" w:cs="公文小标宋简" w:hint="eastAsia"/>
          <w:sz w:val="44"/>
          <w:szCs w:val="44"/>
        </w:rPr>
        <w:t>共筑希望”公开募捐活动方案</w:t>
      </w:r>
    </w:p>
    <w:p w:rsidR="00941691" w:rsidRDefault="00941691" w:rsidP="00941691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</w:p>
    <w:p w:rsidR="00941691" w:rsidRDefault="00941691" w:rsidP="00941691">
      <w:pPr>
        <w:spacing w:line="560" w:lineRule="exact"/>
        <w:ind w:firstLineChars="200" w:firstLine="664"/>
        <w:rPr>
          <w:spacing w:val="6"/>
        </w:rPr>
      </w:pPr>
      <w:r>
        <w:rPr>
          <w:rFonts w:hint="eastAsia"/>
          <w:spacing w:val="6"/>
        </w:rPr>
        <w:t>根据《中华人民共和国慈善法》和《中华人民共和国公益事业捐赠法》，番禺区教育基金会拟于</w:t>
      </w:r>
      <w:r>
        <w:rPr>
          <w:spacing w:val="6"/>
        </w:rPr>
        <w:t>2019</w:t>
      </w:r>
      <w:r>
        <w:rPr>
          <w:rFonts w:hint="eastAsia"/>
          <w:spacing w:val="6"/>
        </w:rPr>
        <w:t>年</w:t>
      </w:r>
      <w:r>
        <w:rPr>
          <w:spacing w:val="6"/>
        </w:rPr>
        <w:t>2</w:t>
      </w:r>
      <w:r>
        <w:rPr>
          <w:rFonts w:hint="eastAsia"/>
          <w:spacing w:val="6"/>
        </w:rPr>
        <w:t>月至</w:t>
      </w:r>
      <w:r>
        <w:rPr>
          <w:spacing w:val="6"/>
        </w:rPr>
        <w:t>11</w:t>
      </w:r>
      <w:r>
        <w:rPr>
          <w:rFonts w:hint="eastAsia"/>
          <w:spacing w:val="6"/>
        </w:rPr>
        <w:t>月开展“助学圆梦，共筑希望”公开募捐活动，为顺利开展筹款工作，现制定如下工作方案。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一、指导思想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以习近平新时代中国特色社会主义思想为指引，全面贯彻落实党的十九大精神，深入学习习近平总书记重要讲话精神，以及坚定践行“上品教化升级版”教育理念，不断拓宽资金筹集渠道，进一步充实教育基金，切实发挥教育基金在扶困助学方面的作用，为我区家庭经济困难学生顺利完成学业提供坚实的物质基础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二、主题和时间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（一）活动主题：助学圆梦，共筑希望。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（二）活动时间：</w:t>
      </w:r>
      <w:r>
        <w:rPr>
          <w:rFonts w:hAnsi="仿宋_GB2312" w:cs="仿宋_GB2312"/>
        </w:rPr>
        <w:t>2019</w:t>
      </w:r>
      <w:r>
        <w:rPr>
          <w:rFonts w:hAnsi="仿宋_GB2312" w:cs="仿宋_GB2312" w:hint="eastAsia"/>
        </w:rPr>
        <w:t>年</w:t>
      </w:r>
      <w:r>
        <w:rPr>
          <w:rFonts w:hAnsi="仿宋_GB2312" w:cs="仿宋_GB2312"/>
        </w:rPr>
        <w:t>2</w:t>
      </w:r>
      <w:r>
        <w:rPr>
          <w:rFonts w:hAnsi="仿宋_GB2312" w:cs="仿宋_GB2312" w:hint="eastAsia"/>
        </w:rPr>
        <w:t>月</w:t>
      </w:r>
      <w:r>
        <w:rPr>
          <w:rFonts w:hAnsi="仿宋_GB2312" w:cs="仿宋_GB2312"/>
        </w:rPr>
        <w:t>25</w:t>
      </w:r>
      <w:r>
        <w:rPr>
          <w:rFonts w:hAnsi="仿宋_GB2312" w:cs="仿宋_GB2312" w:hint="eastAsia"/>
        </w:rPr>
        <w:t>日至</w:t>
      </w:r>
      <w:r>
        <w:rPr>
          <w:rFonts w:hAnsi="仿宋_GB2312" w:cs="仿宋_GB2312"/>
        </w:rPr>
        <w:t>2019</w:t>
      </w:r>
      <w:r>
        <w:rPr>
          <w:rFonts w:hAnsi="仿宋_GB2312" w:cs="仿宋_GB2312" w:hint="eastAsia"/>
        </w:rPr>
        <w:t>年</w:t>
      </w:r>
      <w:r>
        <w:rPr>
          <w:rFonts w:hAnsi="仿宋_GB2312" w:cs="仿宋_GB2312"/>
        </w:rPr>
        <w:t>11</w:t>
      </w:r>
      <w:r>
        <w:rPr>
          <w:rFonts w:hAnsi="仿宋_GB2312" w:cs="仿宋_GB2312" w:hint="eastAsia"/>
        </w:rPr>
        <w:t>月</w:t>
      </w:r>
      <w:r>
        <w:rPr>
          <w:rFonts w:hAnsi="仿宋_GB2312" w:cs="仿宋_GB2312"/>
        </w:rPr>
        <w:t>30</w:t>
      </w:r>
      <w:r>
        <w:rPr>
          <w:rFonts w:hAnsi="仿宋_GB2312" w:cs="仿宋_GB2312" w:hint="eastAsia"/>
        </w:rPr>
        <w:t>日。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三、募捐目标和受助人数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（一）募捐目标：</w:t>
      </w:r>
      <w:r>
        <w:rPr>
          <w:rFonts w:hAnsi="仿宋_GB2312" w:cs="仿宋_GB2312"/>
        </w:rPr>
        <w:t>50</w:t>
      </w:r>
      <w:r>
        <w:rPr>
          <w:rFonts w:hAnsi="仿宋_GB2312" w:cs="仿宋_GB2312" w:hint="eastAsia"/>
        </w:rPr>
        <w:t>万元。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（二）受助人数：约</w:t>
      </w:r>
      <w:r>
        <w:rPr>
          <w:rFonts w:hAnsi="仿宋_GB2312" w:cs="仿宋_GB2312"/>
        </w:rPr>
        <w:t>200</w:t>
      </w:r>
      <w:r>
        <w:rPr>
          <w:rFonts w:hAnsi="仿宋_GB2312" w:cs="仿宋_GB2312" w:hint="eastAsia"/>
        </w:rPr>
        <w:t>人。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四、活动形式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开展爱心捐赠活动。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（一）召开理事座谈会。通报活动情况，发动理事及其</w:t>
      </w:r>
      <w:r>
        <w:rPr>
          <w:rFonts w:hAnsi="仿宋_GB2312" w:cs="仿宋_GB2312" w:hint="eastAsia"/>
        </w:rPr>
        <w:lastRenderedPageBreak/>
        <w:t>企业捐款。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（二）通过媒体发动宣传。通过“慈善中国”、“广州市番禺区政府门户网站”、《番禺日报》等广泛宣传，发动社会各界爱心人士和广大师生积极参与捐赠。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五、资助对象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同时具有以下三个条件的家庭经济困难学生：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（一）番禺区户籍；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（二）在读大学生或具有番禺区全日制学校（幼儿园）学籍；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（三）持有市（区）民政部门颁发的“广州市城镇居民或村民最低生活保障金领取证”、“广州市城镇或农村低收入困难家庭证”、市总工会颁发的“广州市特困职工证”之一。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六、捐赠方式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捐赠单位或个人可以通过银行汇款和现场捐赠</w:t>
      </w:r>
      <w:r>
        <w:rPr>
          <w:rFonts w:hAnsi="仿宋_GB2312" w:cs="仿宋_GB2312"/>
        </w:rPr>
        <w:t>2</w:t>
      </w:r>
      <w:r>
        <w:rPr>
          <w:rFonts w:hAnsi="仿宋_GB2312" w:cs="仿宋_GB2312" w:hint="eastAsia"/>
        </w:rPr>
        <w:t>种方式向番禺区教育基金会捐款。具体如下：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（一）银行汇款：单位或个人可以直接通过银行账户向番禺区教育基金会汇款，并请在汇款单中注明“助学圆梦捐款”。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开户名称：广州市番禺区教育基金会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开户银行：中信银行广州番禺支行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账号：</w:t>
      </w:r>
      <w:r>
        <w:rPr>
          <w:rFonts w:hAnsi="仿宋_GB2312" w:cs="仿宋_GB2312"/>
        </w:rPr>
        <w:t>7444010183100001512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（二）现场捐赠：单位或个人可以直接到番禺区教育基金会办公室现场捐赠。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地址：广州市番禺区清河东路</w:t>
      </w:r>
      <w:r>
        <w:rPr>
          <w:rFonts w:hAnsi="仿宋_GB2312" w:cs="仿宋_GB2312"/>
        </w:rPr>
        <w:t>319</w:t>
      </w:r>
      <w:r>
        <w:rPr>
          <w:rFonts w:hAnsi="仿宋_GB2312" w:cs="仿宋_GB2312" w:hint="eastAsia"/>
        </w:rPr>
        <w:t>号区行政办公中心东</w:t>
      </w:r>
      <w:r>
        <w:rPr>
          <w:rFonts w:hAnsi="仿宋_GB2312" w:cs="仿宋_GB2312" w:hint="eastAsia"/>
        </w:rPr>
        <w:lastRenderedPageBreak/>
        <w:t>副楼</w:t>
      </w:r>
      <w:r>
        <w:rPr>
          <w:rFonts w:hAnsi="仿宋_GB2312" w:cs="仿宋_GB2312"/>
        </w:rPr>
        <w:t>421B</w:t>
      </w:r>
      <w:r>
        <w:rPr>
          <w:rFonts w:hAnsi="仿宋_GB2312" w:cs="仿宋_GB2312" w:hint="eastAsia"/>
        </w:rPr>
        <w:t>室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联系电话：</w:t>
      </w:r>
      <w:r>
        <w:rPr>
          <w:rFonts w:hAnsi="仿宋_GB2312" w:cs="仿宋_GB2312"/>
        </w:rPr>
        <w:t>020-84641606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七、款项用途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募集到的资金由区教育基金会根据有关法规和《广州市番禺区教育基金会章程》进行管理和使用，并接受区财政、审计等有关部门以及社会各界的监督。本次所筹集到的资金主要用于扶困助学项目（部分用于本次筹款活动的筹备经费，包括宣传活动费用、管理费用等）。若有剩余款项，则结转到下一年继续用于该项目。</w:t>
      </w:r>
    </w:p>
    <w:p w:rsidR="00941691" w:rsidRDefault="00941691" w:rsidP="00941691">
      <w:pPr>
        <w:spacing w:line="560" w:lineRule="exact"/>
        <w:ind w:firstLineChars="200" w:firstLine="64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八、鸣谢方式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（一）凡捐赠人民币</w:t>
      </w:r>
      <w:r>
        <w:rPr>
          <w:rFonts w:hAnsi="仿宋_GB2312" w:cs="仿宋_GB2312"/>
        </w:rPr>
        <w:t>3</w:t>
      </w:r>
      <w:r>
        <w:rPr>
          <w:rFonts w:hAnsi="仿宋_GB2312" w:cs="仿宋_GB2312" w:hint="eastAsia"/>
        </w:rPr>
        <w:t>万元以上的单位或捐赠人民币</w:t>
      </w:r>
      <w:r>
        <w:rPr>
          <w:rFonts w:hAnsi="仿宋_GB2312" w:cs="仿宋_GB2312"/>
        </w:rPr>
        <w:t>0.3</w:t>
      </w:r>
      <w:r>
        <w:rPr>
          <w:rFonts w:hAnsi="仿宋_GB2312" w:cs="仿宋_GB2312" w:hint="eastAsia"/>
        </w:rPr>
        <w:t>万元以上的个人，将通过“广州市番禺区政府门户网站”向社会公示捐赠者芳名。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（二）凡捐赠人民币</w:t>
      </w:r>
      <w:r>
        <w:rPr>
          <w:rFonts w:hAnsi="仿宋_GB2312" w:cs="仿宋_GB2312"/>
        </w:rPr>
        <w:t>5</w:t>
      </w:r>
      <w:r>
        <w:rPr>
          <w:rFonts w:hAnsi="仿宋_GB2312" w:cs="仿宋_GB2312" w:hint="eastAsia"/>
        </w:rPr>
        <w:t>万元以上的单位或捐赠人民币</w:t>
      </w:r>
      <w:r>
        <w:rPr>
          <w:rFonts w:hAnsi="仿宋_GB2312" w:cs="仿宋_GB2312"/>
        </w:rPr>
        <w:t>0.5</w:t>
      </w:r>
      <w:r>
        <w:rPr>
          <w:rFonts w:hAnsi="仿宋_GB2312" w:cs="仿宋_GB2312" w:hint="eastAsia"/>
        </w:rPr>
        <w:t>万元以上的个人，颁发荣誉证书。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三）领取捐赠票据方式：捐赠者均可取得由区教育基金会开具的《广东省接受社会捐赠专用收据》（以下简称《收据》）。捐赠者到区教育基金会办公室现场捐赠的，可现场获得《收据》；捐赠者通过银行汇款的，可凭缴款通知单原件到区教育基金会办公室换领《收据》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（四）区教育基金会为我省第一批具备公益性捐赠税前扣除资格的单位，各有关企业可凭区教育基金会开具的捐赠《收据》到税务部门办理税收优惠减免。</w:t>
      </w:r>
    </w:p>
    <w:p w:rsidR="00941691" w:rsidRDefault="00941691" w:rsidP="00941691">
      <w:pPr>
        <w:snapToGrid w:val="0"/>
        <w:spacing w:line="560" w:lineRule="exact"/>
        <w:ind w:leftChars="304" w:left="973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九、工作要求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  <w:lang w:val="zh-CN"/>
        </w:rPr>
      </w:pPr>
      <w:r>
        <w:rPr>
          <w:rFonts w:hAnsi="仿宋_GB2312" w:cs="仿宋_GB2312" w:hint="eastAsia"/>
        </w:rPr>
        <w:lastRenderedPageBreak/>
        <w:t>（一）加强组织领导。</w:t>
      </w:r>
      <w:r>
        <w:rPr>
          <w:rFonts w:hAnsi="仿宋_GB2312" w:cs="仿宋_GB2312" w:hint="eastAsia"/>
          <w:lang w:val="zh-CN"/>
        </w:rPr>
        <w:t>严格按照规定开展活动，不得下达捐款指标，不得硬性或变相摊派，确保捐赠款项用于扶助助学。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（二）加大宣传力度。要把宣传工作贯穿募捐活动始终，使社会各界人士关心支持教育事业，积极参与捐款活动，营造良好的教育氛围和育人环境。（</w:t>
      </w:r>
      <w:r>
        <w:rPr>
          <w:rFonts w:hAnsi="仿宋_GB2312" w:cs="仿宋_GB2312"/>
          <w:bCs/>
          <w:spacing w:val="6"/>
        </w:rPr>
        <w:t>2019</w:t>
      </w:r>
      <w:r>
        <w:rPr>
          <w:rFonts w:hAnsi="仿宋_GB2312" w:cs="仿宋_GB2312" w:hint="eastAsia"/>
          <w:bCs/>
          <w:spacing w:val="6"/>
        </w:rPr>
        <w:t>年</w:t>
      </w:r>
      <w:r>
        <w:rPr>
          <w:rFonts w:hAnsi="仿宋_GB2312" w:cs="仿宋_GB2312"/>
          <w:bCs/>
          <w:spacing w:val="6"/>
        </w:rPr>
        <w:t>2</w:t>
      </w:r>
      <w:r>
        <w:rPr>
          <w:rFonts w:hAnsi="仿宋_GB2312" w:cs="仿宋_GB2312" w:hint="eastAsia"/>
          <w:bCs/>
          <w:spacing w:val="6"/>
        </w:rPr>
        <w:t>月</w:t>
      </w:r>
      <w:r>
        <w:rPr>
          <w:rFonts w:hAnsi="仿宋_GB2312" w:cs="仿宋_GB2312"/>
          <w:bCs/>
          <w:spacing w:val="6"/>
        </w:rPr>
        <w:t>25</w:t>
      </w:r>
      <w:r>
        <w:rPr>
          <w:rFonts w:hAnsi="仿宋_GB2312" w:cs="仿宋_GB2312" w:hint="eastAsia"/>
          <w:bCs/>
          <w:spacing w:val="6"/>
        </w:rPr>
        <w:t>日至</w:t>
      </w:r>
      <w:r>
        <w:rPr>
          <w:rFonts w:hAnsi="仿宋_GB2312" w:cs="仿宋_GB2312"/>
          <w:bCs/>
          <w:spacing w:val="6"/>
        </w:rPr>
        <w:t>2019</w:t>
      </w:r>
      <w:r>
        <w:rPr>
          <w:rFonts w:hAnsi="仿宋_GB2312" w:cs="仿宋_GB2312" w:hint="eastAsia"/>
          <w:bCs/>
          <w:spacing w:val="6"/>
        </w:rPr>
        <w:t>年</w:t>
      </w:r>
      <w:r>
        <w:rPr>
          <w:rFonts w:hAnsi="仿宋_GB2312" w:cs="仿宋_GB2312"/>
          <w:bCs/>
          <w:spacing w:val="6"/>
        </w:rPr>
        <w:t>2</w:t>
      </w:r>
      <w:r>
        <w:rPr>
          <w:rFonts w:hAnsi="仿宋_GB2312" w:cs="仿宋_GB2312" w:hint="eastAsia"/>
          <w:bCs/>
          <w:spacing w:val="6"/>
        </w:rPr>
        <w:t>月</w:t>
      </w:r>
      <w:r>
        <w:rPr>
          <w:rFonts w:hAnsi="仿宋_GB2312" w:cs="仿宋_GB2312"/>
          <w:bCs/>
          <w:spacing w:val="6"/>
        </w:rPr>
        <w:t>28</w:t>
      </w:r>
      <w:r>
        <w:rPr>
          <w:rFonts w:hAnsi="仿宋_GB2312" w:cs="仿宋_GB2312" w:hint="eastAsia"/>
          <w:bCs/>
          <w:spacing w:val="6"/>
        </w:rPr>
        <w:t>日，宣传发动；</w:t>
      </w:r>
      <w:r>
        <w:rPr>
          <w:rFonts w:hAnsi="仿宋_GB2312" w:cs="仿宋_GB2312"/>
          <w:bCs/>
          <w:spacing w:val="6"/>
        </w:rPr>
        <w:t>2019</w:t>
      </w:r>
      <w:r>
        <w:rPr>
          <w:rFonts w:hAnsi="仿宋_GB2312" w:cs="仿宋_GB2312" w:hint="eastAsia"/>
          <w:bCs/>
          <w:spacing w:val="6"/>
        </w:rPr>
        <w:t>年</w:t>
      </w:r>
      <w:r>
        <w:rPr>
          <w:rFonts w:hAnsi="仿宋_GB2312" w:cs="仿宋_GB2312"/>
          <w:bCs/>
          <w:spacing w:val="6"/>
        </w:rPr>
        <w:t>3</w:t>
      </w:r>
      <w:r>
        <w:rPr>
          <w:rFonts w:hAnsi="仿宋_GB2312" w:cs="仿宋_GB2312" w:hint="eastAsia"/>
          <w:bCs/>
          <w:spacing w:val="6"/>
        </w:rPr>
        <w:t>月</w:t>
      </w:r>
      <w:r>
        <w:rPr>
          <w:rFonts w:hAnsi="仿宋_GB2312" w:cs="仿宋_GB2312"/>
          <w:bCs/>
          <w:spacing w:val="6"/>
        </w:rPr>
        <w:t>1</w:t>
      </w:r>
      <w:r>
        <w:rPr>
          <w:rFonts w:hAnsi="仿宋_GB2312" w:cs="仿宋_GB2312" w:hint="eastAsia"/>
          <w:bCs/>
          <w:spacing w:val="6"/>
        </w:rPr>
        <w:t>日至</w:t>
      </w:r>
      <w:r>
        <w:rPr>
          <w:rFonts w:hAnsi="仿宋_GB2312" w:cs="仿宋_GB2312"/>
          <w:bCs/>
          <w:spacing w:val="6"/>
        </w:rPr>
        <w:t>2019</w:t>
      </w:r>
      <w:r>
        <w:rPr>
          <w:rFonts w:hAnsi="仿宋_GB2312" w:cs="仿宋_GB2312" w:hint="eastAsia"/>
          <w:bCs/>
          <w:spacing w:val="6"/>
        </w:rPr>
        <w:t>年</w:t>
      </w:r>
      <w:r>
        <w:rPr>
          <w:rFonts w:hAnsi="仿宋_GB2312" w:cs="仿宋_GB2312"/>
          <w:bCs/>
          <w:spacing w:val="6"/>
        </w:rPr>
        <w:t>11</w:t>
      </w:r>
      <w:r>
        <w:rPr>
          <w:rFonts w:hAnsi="仿宋_GB2312" w:cs="仿宋_GB2312" w:hint="eastAsia"/>
          <w:bCs/>
          <w:spacing w:val="6"/>
        </w:rPr>
        <w:t>月</w:t>
      </w:r>
      <w:r>
        <w:rPr>
          <w:rFonts w:hAnsi="仿宋_GB2312" w:cs="仿宋_GB2312"/>
          <w:bCs/>
          <w:spacing w:val="6"/>
        </w:rPr>
        <w:t>30</w:t>
      </w:r>
      <w:r>
        <w:rPr>
          <w:rFonts w:hAnsi="仿宋_GB2312" w:cs="仿宋_GB2312" w:hint="eastAsia"/>
          <w:bCs/>
          <w:spacing w:val="6"/>
        </w:rPr>
        <w:t>日，募捐阶段</w:t>
      </w:r>
      <w:r>
        <w:rPr>
          <w:rFonts w:hAnsi="仿宋_GB2312" w:cs="仿宋_GB2312" w:hint="eastAsia"/>
        </w:rPr>
        <w:t>）</w:t>
      </w:r>
    </w:p>
    <w:p w:rsidR="00941691" w:rsidRDefault="00941691" w:rsidP="00941691">
      <w:pPr>
        <w:spacing w:line="560" w:lineRule="exact"/>
        <w:ind w:firstLineChars="200" w:firstLine="640"/>
        <w:rPr>
          <w:rFonts w:hAnsi="仿宋_GB2312" w:cs="仿宋_GB2312"/>
        </w:rPr>
      </w:pPr>
      <w:r>
        <w:rPr>
          <w:rFonts w:hAnsi="仿宋_GB2312" w:cs="仿宋_GB2312" w:hint="eastAsia"/>
        </w:rPr>
        <w:t>（三）加强管理监督。在捐款接收活动中，要严格执行《中华人民共和国公益事业捐赠法》和《慈善组织公开募捐管理办法》规定，及时做好捐赠接受及信息公开。为确保捐款的安全和正确使用，所有捐款实行收支两条线管理，由区教育基金会设立捐款接收组统一负责接收，实行专账管理。</w:t>
      </w:r>
    </w:p>
    <w:p w:rsidR="00615514" w:rsidRDefault="00941691" w:rsidP="00941691">
      <w:pPr>
        <w:ind w:left="105" w:right="105"/>
      </w:pPr>
      <w:bookmarkStart w:id="0" w:name="_GoBack"/>
      <w:bookmarkEnd w:id="0"/>
      <w:r>
        <w:rPr>
          <w:rFonts w:hAnsi="仿宋_GB2312" w:cs="仿宋_GB2312" w:hint="eastAsia"/>
        </w:rPr>
        <w:t>本方案解释权归广州市番禺区教育基金会所有。</w:t>
      </w:r>
    </w:p>
    <w:sectPr w:rsidR="00615514" w:rsidSect="00615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公文小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1691"/>
    <w:rsid w:val="00041B8C"/>
    <w:rsid w:val="00103875"/>
    <w:rsid w:val="00487EA6"/>
    <w:rsid w:val="00615514"/>
    <w:rsid w:val="00941691"/>
    <w:rsid w:val="00B61786"/>
    <w:rsid w:val="00CB7FAC"/>
    <w:rsid w:val="00E16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691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103875"/>
    <w:pPr>
      <w:keepNext/>
      <w:keepLines/>
      <w:spacing w:before="340" w:after="330" w:line="578" w:lineRule="auto"/>
      <w:outlineLvl w:val="0"/>
    </w:pPr>
    <w:rPr>
      <w:rFonts w:eastAsia="楷体_GB2312"/>
      <w:b/>
      <w:bCs/>
      <w:color w:val="CC3300"/>
      <w:kern w:val="44"/>
      <w:sz w:val="72"/>
      <w:szCs w:val="44"/>
    </w:rPr>
  </w:style>
  <w:style w:type="paragraph" w:styleId="3">
    <w:name w:val="heading 3"/>
    <w:basedOn w:val="a"/>
    <w:next w:val="a"/>
    <w:link w:val="3Char"/>
    <w:qFormat/>
    <w:rsid w:val="00103875"/>
    <w:pPr>
      <w:keepNext/>
      <w:keepLines/>
      <w:spacing w:before="260" w:after="260" w:line="416" w:lineRule="auto"/>
      <w:outlineLvl w:val="2"/>
    </w:pPr>
    <w:rPr>
      <w:rFonts w:eastAsia="宋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03875"/>
    <w:rPr>
      <w:rFonts w:eastAsia="楷体_GB2312"/>
      <w:b/>
      <w:bCs/>
      <w:color w:val="CC3300"/>
      <w:kern w:val="44"/>
      <w:sz w:val="72"/>
      <w:szCs w:val="44"/>
      <w:lang w:val="en-US" w:eastAsia="zh-CN" w:bidi="ar-SA"/>
    </w:rPr>
  </w:style>
  <w:style w:type="character" w:customStyle="1" w:styleId="3Char">
    <w:name w:val="标题 3 Char"/>
    <w:basedOn w:val="a0"/>
    <w:link w:val="3"/>
    <w:rsid w:val="00103875"/>
    <w:rPr>
      <w:b/>
      <w:bCs/>
      <w:kern w:val="2"/>
      <w:sz w:val="32"/>
      <w:szCs w:val="32"/>
    </w:rPr>
  </w:style>
  <w:style w:type="character" w:styleId="a3">
    <w:name w:val="Strong"/>
    <w:basedOn w:val="a0"/>
    <w:uiPriority w:val="22"/>
    <w:qFormat/>
    <w:rsid w:val="00103875"/>
    <w:rPr>
      <w:b/>
    </w:rPr>
  </w:style>
  <w:style w:type="paragraph" w:customStyle="1" w:styleId="10">
    <w:name w:val="列出段落1"/>
    <w:basedOn w:val="a"/>
    <w:uiPriority w:val="34"/>
    <w:qFormat/>
    <w:rsid w:val="00103875"/>
    <w:pPr>
      <w:ind w:firstLineChars="200" w:firstLine="420"/>
    </w:pPr>
    <w:rPr>
      <w:rFonts w:ascii="Calibri" w:eastAsia="微软雅黑" w:hAnsi="Calibri"/>
      <w:sz w:val="21"/>
    </w:rPr>
  </w:style>
  <w:style w:type="paragraph" w:customStyle="1" w:styleId="CharCharChar">
    <w:name w:val="Char Char Char"/>
    <w:basedOn w:val="a"/>
    <w:rsid w:val="00941691"/>
    <w:rPr>
      <w:rFonts w:ascii="Tahoma" w:eastAsia="宋体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248</Words>
  <Characters>1419</Characters>
  <Application>Microsoft Office Word</Application>
  <DocSecurity>0</DocSecurity>
  <Lines>11</Lines>
  <Paragraphs>3</Paragraphs>
  <ScaleCrop>false</ScaleCrop>
  <Company>微软中国</Company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2019-05-20T02:12:00Z</dcterms:created>
  <dcterms:modified xsi:type="dcterms:W3CDTF">2019-05-20T02:14:00Z</dcterms:modified>
</cp:coreProperties>
</file>