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201C1">
      <w:pPr>
        <w:pStyle w:val="10"/>
        <w:keepNext/>
        <w:keepLines/>
        <w:spacing w:before="0" w:after="0"/>
        <w:jc w:val="left"/>
        <w:rPr>
          <w:rFonts w:ascii="方正小标宋简体" w:eastAsia="PMingLiU"/>
          <w:lang w:val="en-US"/>
        </w:rPr>
      </w:pPr>
      <w:bookmarkStart w:id="0" w:name="bookmark2"/>
      <w:bookmarkStart w:id="1" w:name="bookmark0"/>
      <w:bookmarkStart w:id="2" w:name="bookmark1"/>
    </w:p>
    <w:p w14:paraId="4ACD952E">
      <w:pPr>
        <w:pStyle w:val="10"/>
        <w:keepNext/>
        <w:keepLines/>
        <w:spacing w:before="0" w:after="0" w:line="360" w:lineRule="auto"/>
        <w:rPr>
          <w:rFonts w:ascii="方正小标宋简体" w:eastAsia="PMingLiU"/>
          <w:lang w:val="en-US"/>
        </w:rPr>
      </w:pPr>
    </w:p>
    <w:p w14:paraId="767568C3">
      <w:pPr>
        <w:pStyle w:val="10"/>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市桥街中北片</w:t>
      </w:r>
      <w:r>
        <w:rPr>
          <w:rFonts w:hint="eastAsia" w:ascii="方正小标宋简体" w:eastAsia="方正小标宋简体"/>
          <w:b/>
          <w:bCs/>
          <w:sz w:val="44"/>
          <w:szCs w:val="44"/>
          <w:lang w:val="en-US"/>
        </w:rPr>
        <w:t>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中</w:t>
      </w:r>
      <w:r>
        <w:rPr>
          <w:rFonts w:hint="eastAsia" w:ascii="方正小标宋简体" w:eastAsia="方正小标宋简体"/>
          <w:b/>
          <w:bCs/>
          <w:sz w:val="44"/>
          <w:szCs w:val="44"/>
        </w:rPr>
        <w:t>期评估报告</w:t>
      </w:r>
      <w:bookmarkEnd w:id="0"/>
      <w:bookmarkEnd w:id="1"/>
      <w:bookmarkEnd w:id="2"/>
    </w:p>
    <w:p w14:paraId="22443945">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（协议期：</w:t>
      </w:r>
      <w:r>
        <w:rPr>
          <w:rFonts w:hint="eastAsia" w:ascii="方正小标宋简体" w:eastAsia="方正小标宋简体"/>
          <w:b/>
          <w:bCs/>
          <w:sz w:val="44"/>
          <w:szCs w:val="44"/>
          <w:lang w:val="en-US" w:eastAsia="zh-CN"/>
        </w:rPr>
        <w:t>2025年9月1日—2026年8月31日</w:t>
      </w:r>
      <w:r>
        <w:rPr>
          <w:rFonts w:hint="eastAsia" w:ascii="方正小标宋简体" w:eastAsia="方正小标宋简体"/>
          <w:b/>
          <w:bCs/>
          <w:sz w:val="44"/>
          <w:szCs w:val="44"/>
          <w:lang w:eastAsia="zh-CN"/>
        </w:rPr>
        <w:t>）</w:t>
      </w:r>
    </w:p>
    <w:p w14:paraId="16FF0233">
      <w:pPr>
        <w:pStyle w:val="12"/>
        <w:spacing w:after="0" w:line="240" w:lineRule="auto"/>
        <w:ind w:firstLine="2448" w:firstLineChars="765"/>
        <w:jc w:val="both"/>
        <w:rPr>
          <w:rFonts w:ascii="仿宋" w:hAnsi="仿宋" w:eastAsia="PMingLiU"/>
          <w:sz w:val="32"/>
          <w:szCs w:val="32"/>
        </w:rPr>
      </w:pPr>
    </w:p>
    <w:p w14:paraId="35BFB366">
      <w:pPr>
        <w:pStyle w:val="12"/>
        <w:spacing w:after="0" w:line="240" w:lineRule="auto"/>
        <w:ind w:firstLine="2448" w:firstLineChars="765"/>
        <w:jc w:val="both"/>
        <w:rPr>
          <w:rFonts w:ascii="仿宋" w:hAnsi="仿宋" w:eastAsia="PMingLiU"/>
          <w:sz w:val="32"/>
          <w:szCs w:val="32"/>
        </w:rPr>
      </w:pPr>
    </w:p>
    <w:p w14:paraId="04FF0EBF">
      <w:pPr>
        <w:pStyle w:val="12"/>
        <w:spacing w:after="0" w:line="240" w:lineRule="auto"/>
        <w:ind w:firstLine="2448" w:firstLineChars="765"/>
        <w:jc w:val="both"/>
        <w:rPr>
          <w:rFonts w:ascii="仿宋" w:hAnsi="仿宋" w:eastAsia="PMingLiU"/>
          <w:sz w:val="32"/>
          <w:szCs w:val="32"/>
        </w:rPr>
      </w:pPr>
    </w:p>
    <w:p w14:paraId="0C4B43C6">
      <w:pPr>
        <w:pStyle w:val="12"/>
        <w:spacing w:after="0" w:line="240" w:lineRule="auto"/>
        <w:ind w:firstLine="2448" w:firstLineChars="765"/>
        <w:jc w:val="both"/>
        <w:rPr>
          <w:rFonts w:ascii="仿宋" w:hAnsi="仿宋" w:eastAsia="PMingLiU"/>
          <w:sz w:val="32"/>
          <w:szCs w:val="32"/>
        </w:rPr>
      </w:pPr>
    </w:p>
    <w:p w14:paraId="5074573D">
      <w:pPr>
        <w:pStyle w:val="12"/>
        <w:spacing w:after="0" w:line="240" w:lineRule="auto"/>
        <w:ind w:firstLine="2448" w:firstLineChars="765"/>
        <w:jc w:val="both"/>
        <w:rPr>
          <w:rFonts w:ascii="仿宋" w:hAnsi="仿宋" w:eastAsia="PMingLiU"/>
          <w:sz w:val="32"/>
          <w:szCs w:val="32"/>
        </w:rPr>
      </w:pPr>
    </w:p>
    <w:p w14:paraId="7D8272EC">
      <w:pPr>
        <w:pStyle w:val="12"/>
        <w:spacing w:after="0" w:line="240" w:lineRule="auto"/>
        <w:ind w:firstLine="2448" w:firstLineChars="765"/>
        <w:jc w:val="both"/>
        <w:rPr>
          <w:rFonts w:ascii="仿宋" w:hAnsi="仿宋" w:eastAsia="PMingLiU"/>
          <w:sz w:val="32"/>
          <w:szCs w:val="32"/>
        </w:rPr>
      </w:pPr>
    </w:p>
    <w:p w14:paraId="3450D1D9">
      <w:pPr>
        <w:pStyle w:val="12"/>
        <w:spacing w:after="0" w:line="240" w:lineRule="auto"/>
        <w:ind w:firstLine="2448" w:firstLineChars="765"/>
        <w:jc w:val="both"/>
        <w:rPr>
          <w:rFonts w:ascii="仿宋" w:hAnsi="仿宋" w:eastAsia="PMingLiU"/>
          <w:sz w:val="32"/>
          <w:szCs w:val="32"/>
        </w:rPr>
      </w:pPr>
    </w:p>
    <w:p w14:paraId="521503A6">
      <w:pPr>
        <w:pStyle w:val="12"/>
        <w:spacing w:after="0" w:line="240" w:lineRule="auto"/>
        <w:ind w:firstLine="2448" w:firstLineChars="765"/>
        <w:jc w:val="both"/>
        <w:rPr>
          <w:rFonts w:ascii="仿宋" w:hAnsi="仿宋" w:eastAsia="PMingLiU"/>
          <w:sz w:val="32"/>
          <w:szCs w:val="32"/>
        </w:rPr>
      </w:pPr>
    </w:p>
    <w:p w14:paraId="5117DBAA">
      <w:pPr>
        <w:pStyle w:val="12"/>
        <w:spacing w:after="0" w:line="240" w:lineRule="auto"/>
        <w:ind w:firstLine="2448" w:firstLineChars="765"/>
        <w:jc w:val="both"/>
        <w:rPr>
          <w:rFonts w:ascii="仿宋" w:hAnsi="仿宋" w:eastAsia="PMingLiU"/>
          <w:sz w:val="32"/>
          <w:szCs w:val="32"/>
        </w:rPr>
      </w:pPr>
    </w:p>
    <w:p w14:paraId="72424074">
      <w:pPr>
        <w:pStyle w:val="12"/>
        <w:spacing w:after="0" w:line="240" w:lineRule="auto"/>
        <w:ind w:firstLine="2448" w:firstLineChars="765"/>
        <w:jc w:val="both"/>
        <w:rPr>
          <w:rFonts w:ascii="仿宋_GB2312" w:hAnsi="仿宋" w:eastAsia="仿宋_GB2312"/>
          <w:sz w:val="32"/>
          <w:szCs w:val="32"/>
        </w:rPr>
      </w:pPr>
    </w:p>
    <w:p w14:paraId="5B5ADC87">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14:paraId="144F4C7C">
      <w:pPr>
        <w:pStyle w:val="12"/>
        <w:spacing w:after="0" w:line="560" w:lineRule="exact"/>
        <w:ind w:firstLine="1687" w:firstLineChars="525"/>
        <w:jc w:val="both"/>
        <w:rPr>
          <w:rFonts w:ascii="仿宋_GB2312" w:hAnsi="仿宋" w:eastAsia="PMingLiU"/>
          <w:b/>
          <w:sz w:val="32"/>
          <w:szCs w:val="32"/>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市桥街</w:t>
      </w:r>
      <w:r>
        <w:rPr>
          <w:rFonts w:hint="eastAsia" w:ascii="仿宋_GB2312" w:hAnsi="仿宋" w:eastAsia="仿宋_GB2312"/>
          <w:b/>
          <w:sz w:val="32"/>
          <w:szCs w:val="32"/>
          <w:lang w:val="en-US"/>
        </w:rPr>
        <w:t>道办事处</w:t>
      </w:r>
    </w:p>
    <w:p w14:paraId="476DD8A9">
      <w:pPr>
        <w:pStyle w:val="12"/>
        <w:spacing w:after="0" w:line="560" w:lineRule="exact"/>
        <w:ind w:firstLine="1687" w:firstLineChars="525"/>
        <w:jc w:val="both"/>
        <w:rPr>
          <w:rFonts w:hint="eastAsia" w:ascii="仿宋_GB2312" w:hAnsi="仿宋" w:eastAsia="仿宋_GB2312"/>
          <w:b/>
          <w:sz w:val="32"/>
          <w:szCs w:val="32"/>
          <w:lang w:eastAsia="zh-CN"/>
        </w:rPr>
      </w:pPr>
      <w:r>
        <w:rPr>
          <w:rFonts w:hint="eastAsia" w:ascii="仿宋_GB2312" w:hAnsi="仿宋" w:eastAsia="仿宋_GB2312"/>
          <w:b/>
          <w:sz w:val="32"/>
          <w:szCs w:val="32"/>
        </w:rPr>
        <w:t>项目承办方：广州市番禺区</w:t>
      </w:r>
      <w:r>
        <w:rPr>
          <w:rFonts w:hint="eastAsia" w:ascii="仿宋_GB2312" w:hAnsi="仿宋" w:eastAsia="仿宋_GB2312"/>
          <w:b/>
          <w:sz w:val="32"/>
          <w:szCs w:val="32"/>
          <w:lang w:eastAsia="zh-CN"/>
        </w:rPr>
        <w:t>正阳社会工作服务中心</w:t>
      </w:r>
    </w:p>
    <w:p w14:paraId="77326F61">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14:paraId="7ED3F852">
      <w:pPr>
        <w:pStyle w:val="12"/>
        <w:spacing w:after="0" w:line="560" w:lineRule="exact"/>
        <w:ind w:firstLine="1687"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4"/>
      <w:bookmarkStart w:id="4" w:name="bookmark3"/>
      <w:bookmarkStart w:id="5" w:name="bookmark5"/>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6</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3</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13</w:t>
      </w:r>
      <w:r>
        <w:rPr>
          <w:rFonts w:hint="eastAsia" w:ascii="仿宋_GB2312" w:hAnsi="仿宋" w:eastAsia="仿宋_GB2312" w:cs="Times New Roman"/>
          <w:b/>
          <w:sz w:val="32"/>
          <w:szCs w:val="32"/>
          <w:lang w:eastAsia="zh-CN"/>
        </w:rPr>
        <w:t>日</w:t>
      </w:r>
    </w:p>
    <w:p w14:paraId="7FBFD23C">
      <w:pPr>
        <w:pStyle w:val="12"/>
        <w:spacing w:after="0" w:line="240" w:lineRule="auto"/>
        <w:ind w:firstLine="0"/>
      </w:pPr>
    </w:p>
    <w:p w14:paraId="7C3ECFD9">
      <w:pPr>
        <w:pStyle w:val="12"/>
        <w:spacing w:after="0" w:line="240" w:lineRule="auto"/>
        <w:ind w:firstLine="0"/>
      </w:pPr>
    </w:p>
    <w:p w14:paraId="2559136A">
      <w:pPr>
        <w:pStyle w:val="12"/>
        <w:spacing w:after="0" w:line="240" w:lineRule="auto"/>
        <w:ind w:firstLine="0"/>
      </w:pPr>
    </w:p>
    <w:p w14:paraId="437F2749">
      <w:pPr>
        <w:pStyle w:val="12"/>
        <w:spacing w:after="0" w:line="240" w:lineRule="auto"/>
        <w:ind w:firstLine="0"/>
      </w:pPr>
    </w:p>
    <w:p w14:paraId="2B265FB3">
      <w:pPr>
        <w:pStyle w:val="12"/>
        <w:spacing w:after="0" w:line="240" w:lineRule="auto"/>
        <w:ind w:firstLine="0"/>
      </w:pPr>
    </w:p>
    <w:p w14:paraId="56F1A9AC">
      <w:pPr>
        <w:pStyle w:val="12"/>
        <w:spacing w:after="0" w:line="240" w:lineRule="auto"/>
        <w:ind w:firstLine="0"/>
      </w:pPr>
    </w:p>
    <w:p w14:paraId="47030B00">
      <w:pPr>
        <w:pStyle w:val="12"/>
        <w:spacing w:after="0" w:line="240" w:lineRule="auto"/>
        <w:ind w:firstLine="0"/>
      </w:pPr>
    </w:p>
    <w:p w14:paraId="3DA62809">
      <w:pPr>
        <w:pStyle w:val="12"/>
        <w:spacing w:after="0" w:line="240" w:lineRule="auto"/>
        <w:ind w:firstLine="0"/>
      </w:pPr>
    </w:p>
    <w:p w14:paraId="7BA2A2AC">
      <w:pPr>
        <w:pStyle w:val="12"/>
        <w:spacing w:after="0" w:line="240" w:lineRule="auto"/>
        <w:ind w:firstLine="0"/>
      </w:pPr>
    </w:p>
    <w:p w14:paraId="5761383E">
      <w:pPr>
        <w:pStyle w:val="12"/>
        <w:spacing w:after="0" w:line="240" w:lineRule="auto"/>
        <w:ind w:firstLine="0"/>
        <w:rPr>
          <w:rFonts w:eastAsia="PMingLiU"/>
        </w:rPr>
        <w:sectPr>
          <w:pgSz w:w="11900" w:h="16840"/>
          <w:pgMar w:top="1301" w:right="876" w:bottom="1373" w:left="885" w:header="457" w:footer="448" w:gutter="0"/>
          <w:cols w:space="720" w:num="1"/>
          <w:docGrid w:linePitch="360" w:charSpace="0"/>
        </w:sectPr>
      </w:pPr>
    </w:p>
    <w:p w14:paraId="003846A2">
      <w:pPr>
        <w:pStyle w:val="12"/>
        <w:spacing w:after="0" w:line="240" w:lineRule="auto"/>
        <w:ind w:firstLine="0"/>
        <w:rPr>
          <w:rFonts w:eastAsia="PMingLiU"/>
        </w:rPr>
      </w:pPr>
    </w:p>
    <w:p w14:paraId="3BEA76F0">
      <w:pPr>
        <w:pStyle w:val="10"/>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市桥街中北片</w:t>
      </w:r>
      <w:r>
        <w:rPr>
          <w:rFonts w:ascii="方正小标宋简体" w:eastAsia="方正小标宋简体"/>
          <w:b/>
          <w:bCs/>
          <w:lang w:val="en-US"/>
        </w:rPr>
        <w:t>社工服务站</w:t>
      </w:r>
      <w:r>
        <w:rPr>
          <w:rFonts w:hint="eastAsia" w:ascii="方正小标宋简体" w:eastAsia="方正小标宋简体"/>
          <w:b/>
          <w:bCs/>
          <w:lang w:val="en-US" w:eastAsia="zh-CN"/>
        </w:rPr>
        <w:t>中</w:t>
      </w:r>
      <w:r>
        <w:rPr>
          <w:rFonts w:ascii="方正小标宋简体" w:eastAsia="方正小标宋简体"/>
          <w:b/>
          <w:bCs/>
          <w:lang w:val="en-US"/>
        </w:rPr>
        <w:t>期评估报告</w:t>
      </w:r>
      <w:bookmarkEnd w:id="3"/>
      <w:bookmarkEnd w:id="4"/>
      <w:bookmarkEnd w:id="5"/>
    </w:p>
    <w:p w14:paraId="3EC2AC81">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（协议期：</w:t>
      </w:r>
      <w:r>
        <w:rPr>
          <w:rFonts w:hint="eastAsia" w:ascii="方正小标宋简体" w:eastAsia="方正小标宋简体"/>
          <w:b/>
          <w:bCs/>
          <w:sz w:val="44"/>
          <w:szCs w:val="44"/>
          <w:lang w:val="en-US" w:eastAsia="zh-CN"/>
        </w:rPr>
        <w:t>2025年9月1日—2026年8月31日</w:t>
      </w:r>
      <w:r>
        <w:rPr>
          <w:rFonts w:hint="eastAsia" w:ascii="方正小标宋简体" w:eastAsia="方正小标宋简体"/>
          <w:b/>
          <w:bCs/>
          <w:sz w:val="44"/>
          <w:szCs w:val="44"/>
          <w:lang w:eastAsia="zh-CN"/>
        </w:rPr>
        <w:t>）</w:t>
      </w:r>
    </w:p>
    <w:p w14:paraId="77A0389B">
      <w:pPr>
        <w:pStyle w:val="10"/>
        <w:keepNext/>
        <w:keepLines/>
        <w:spacing w:before="0" w:after="0" w:line="560" w:lineRule="exact"/>
        <w:jc w:val="both"/>
        <w:rPr>
          <w:rFonts w:ascii="方正小标宋简体" w:eastAsia="方正小标宋简体"/>
          <w:lang w:val="en-US"/>
        </w:rPr>
      </w:pPr>
    </w:p>
    <w:p w14:paraId="2B1ED19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市桥街中北片</w:t>
      </w:r>
      <w:r>
        <w:rPr>
          <w:rFonts w:hint="eastAsia" w:ascii="仿宋_GB2312" w:eastAsia="仿宋_GB2312"/>
          <w:sz w:val="32"/>
          <w:szCs w:val="32"/>
        </w:rPr>
        <w:t>社工服务站（简称</w:t>
      </w:r>
      <w:r>
        <w:rPr>
          <w:rFonts w:hint="eastAsia" w:ascii="仿宋_GB2312" w:eastAsia="仿宋_GB2312"/>
          <w:sz w:val="32"/>
          <w:szCs w:val="32"/>
          <w:lang w:val="en-US" w:eastAsia="zh-CN"/>
        </w:rPr>
        <w:t>市桥街中北片</w:t>
      </w:r>
      <w:r>
        <w:rPr>
          <w:rFonts w:hint="eastAsia" w:ascii="仿宋_GB2312" w:eastAsia="仿宋_GB2312"/>
          <w:sz w:val="32"/>
          <w:szCs w:val="32"/>
        </w:rPr>
        <w:t>社工站）</w:t>
      </w:r>
      <w:r>
        <w:rPr>
          <w:rFonts w:hint="eastAsia" w:ascii="仿宋_GB2312" w:eastAsia="仿宋_GB2312"/>
          <w:sz w:val="32"/>
          <w:szCs w:val="32"/>
          <w:lang w:eastAsia="zh-CN"/>
        </w:rPr>
        <w:t>中</w:t>
      </w:r>
      <w:r>
        <w:rPr>
          <w:rFonts w:hint="eastAsia" w:ascii="仿宋_GB2312" w:eastAsia="仿宋_GB2312"/>
          <w:sz w:val="32"/>
          <w:szCs w:val="32"/>
        </w:rPr>
        <w:t>期报告，是专业评估人员通过对</w:t>
      </w:r>
      <w:r>
        <w:rPr>
          <w:rFonts w:hint="eastAsia" w:ascii="仿宋_GB2312" w:eastAsia="仿宋_GB2312"/>
          <w:sz w:val="32"/>
          <w:szCs w:val="32"/>
          <w:lang w:val="en-US" w:eastAsia="zh-CN"/>
        </w:rPr>
        <w:t>市桥街中北片</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市桥街中北片</w:t>
      </w:r>
      <w:r>
        <w:rPr>
          <w:rFonts w:hint="eastAsia" w:ascii="仿宋_GB2312" w:eastAsia="仿宋_GB2312"/>
          <w:sz w:val="32"/>
          <w:szCs w:val="32"/>
        </w:rPr>
        <w:t>社工站可以将此报告作为参考，进行服务完善和提升，从多方面扎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14:paraId="115B8A49">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中</w:t>
      </w:r>
      <w:r>
        <w:rPr>
          <w:rFonts w:hint="eastAsia" w:ascii="方正小标宋简体" w:eastAsia="方正小标宋简体"/>
          <w:b/>
          <w:sz w:val="32"/>
          <w:szCs w:val="32"/>
        </w:rPr>
        <w:t>期评估背景</w:t>
      </w:r>
    </w:p>
    <w:p w14:paraId="1F2723F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2026年3月13日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市桥街中北片</w:t>
      </w:r>
      <w:r>
        <w:rPr>
          <w:rFonts w:hint="eastAsia" w:ascii="仿宋_GB2312" w:eastAsia="仿宋_GB2312"/>
          <w:sz w:val="32"/>
          <w:szCs w:val="32"/>
        </w:rPr>
        <w:t>社工站展开了</w:t>
      </w:r>
      <w:r>
        <w:rPr>
          <w:rFonts w:hint="eastAsia" w:ascii="仿宋_GB2312" w:eastAsia="仿宋_GB2312"/>
          <w:sz w:val="32"/>
          <w:szCs w:val="32"/>
          <w:lang w:eastAsia="zh-CN"/>
        </w:rPr>
        <w:t>中</w:t>
      </w:r>
      <w:r>
        <w:rPr>
          <w:rFonts w:hint="eastAsia" w:ascii="仿宋_GB2312" w:eastAsia="仿宋_GB2312"/>
          <w:sz w:val="32"/>
          <w:szCs w:val="32"/>
        </w:rPr>
        <w:t>期评估工作。评估为期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入户困难群众询问</w:t>
      </w:r>
      <w:r>
        <w:rPr>
          <w:rFonts w:hint="eastAsia" w:ascii="仿宋_GB2312" w:eastAsia="仿宋_GB2312"/>
          <w:sz w:val="32"/>
          <w:szCs w:val="32"/>
        </w:rPr>
        <w:t>等形式，对</w:t>
      </w:r>
      <w:r>
        <w:rPr>
          <w:rFonts w:hint="eastAsia" w:ascii="仿宋_GB2312" w:eastAsia="仿宋_GB2312"/>
          <w:sz w:val="32"/>
          <w:szCs w:val="32"/>
          <w:lang w:eastAsia="zh-CN"/>
        </w:rPr>
        <w:t>市桥街中北片社工站</w:t>
      </w:r>
      <w:r>
        <w:rPr>
          <w:rFonts w:hint="eastAsia" w:ascii="仿宋_GB2312" w:eastAsia="仿宋_GB2312"/>
          <w:sz w:val="32"/>
          <w:szCs w:val="32"/>
        </w:rPr>
        <w:t>的项目管理、服务开展情况以及项目成效等方面进行评估。评估团队主要完成了以下几方面的工作：</w:t>
      </w:r>
    </w:p>
    <w:p w14:paraId="19148752">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6" w:name="bookmark6"/>
      <w:bookmarkEnd w:id="6"/>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14:paraId="4E25A4CA">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7" w:name="bookmark7"/>
      <w:bookmarkEnd w:id="7"/>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14:paraId="1EFCC9F3">
      <w:pPr>
        <w:pStyle w:val="12"/>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8" w:name="bookmark8"/>
      <w:bookmarkEnd w:id="8"/>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14:paraId="48CDD2ED">
      <w:pPr>
        <w:pStyle w:val="12"/>
        <w:keepNext w:val="0"/>
        <w:keepLines w:val="0"/>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9" w:name="bookmark9"/>
      <w:bookmarkEnd w:id="9"/>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14:paraId="10ECFDD9">
      <w:pPr>
        <w:pStyle w:val="12"/>
        <w:keepNext w:val="0"/>
        <w:keepLines w:val="0"/>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0" w:name="bookmark10"/>
      <w:bookmarkEnd w:id="10"/>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14:paraId="3F73513F">
      <w:pPr>
        <w:pStyle w:val="12"/>
        <w:keepNext w:val="0"/>
        <w:keepLines w:val="0"/>
        <w:pageBreakBefore w:val="0"/>
        <w:widowControl w:val="0"/>
        <w:tabs>
          <w:tab w:val="left" w:pos="952"/>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1" w:name="bookmark11"/>
      <w:bookmarkEnd w:id="11"/>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14:paraId="53598A1B">
      <w:pPr>
        <w:pStyle w:val="12"/>
        <w:keepNext w:val="0"/>
        <w:keepLines w:val="0"/>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2" w:name="bookmark12"/>
      <w:bookmarkEnd w:id="12"/>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14:paraId="0AF6F9F5">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14:paraId="5F1ED76F">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bookmarkStart w:id="13" w:name="bookmark14"/>
      <w:bookmarkEnd w:id="13"/>
      <w:r>
        <w:rPr>
          <w:rFonts w:hint="eastAsia" w:ascii="仿宋_GB2312" w:eastAsia="宋体"/>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sz w:val="32"/>
          <w:szCs w:val="32"/>
        </w:rPr>
        <w:t>1.《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6D494836">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hint="eastAsia" w:ascii="仿宋_GB2312" w:eastAsia="仿宋_GB2312"/>
          <w:sz w:val="32"/>
          <w:szCs w:val="32"/>
          <w:lang w:val="en-US" w:eastAsia="zh-CN"/>
        </w:rPr>
        <w:t>《广州市社工站购买服务项目评估指标体系》。</w:t>
      </w:r>
    </w:p>
    <w:p w14:paraId="1006B5E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14:paraId="7FB5B717">
      <w:pPr>
        <w:pStyle w:val="12"/>
        <w:keepNext w:val="0"/>
        <w:keepLines w:val="0"/>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4" w:name="bookmark17"/>
      <w:bookmarkEnd w:id="14"/>
      <w:bookmarkStart w:id="15"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14:paraId="30572866">
      <w:pPr>
        <w:pStyle w:val="12"/>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14:paraId="0B70161D">
      <w:pPr>
        <w:pStyle w:val="12"/>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4E8D473C">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60CB8F9D">
      <w:pPr>
        <w:pStyle w:val="12"/>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67429E8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14:paraId="15E01228">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5"/>
      <w:r>
        <w:rPr>
          <w:rFonts w:hint="eastAsia" w:ascii="仿宋_GB2312" w:eastAsia="仿宋_GB2312"/>
          <w:b/>
          <w:sz w:val="32"/>
          <w:szCs w:val="32"/>
        </w:rPr>
        <w:t>三）评估阶段</w:t>
      </w:r>
    </w:p>
    <w:p w14:paraId="4C2B76C3">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5096774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番禺区民政局会同番禺区社会组织联合会根据最新管理办法要求及市桥街中北片社工站项目合同期限确定评估时间，制定好评估计划和评估通知。</w:t>
      </w:r>
    </w:p>
    <w:p w14:paraId="53365404">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24DD94E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市桥街中北片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2BEF5997">
      <w:pPr>
        <w:pStyle w:val="12"/>
        <w:keepNext w:val="0"/>
        <w:keepLines w:val="0"/>
        <w:pageBreakBefore w:val="0"/>
        <w:widowControl w:val="0"/>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1F792BC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评估小组根据评估计划组织实施，对市桥街中北片社工站提供的材料进行审阅，实地考察，进行现场评估并打分。评估小组根据公平、公正的原则，严格按照评估要求，对市桥街中北片社工站进行评估工作。</w:t>
      </w:r>
    </w:p>
    <w:p w14:paraId="5E16242A">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735DDF1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市桥街道办事处及市桥街中北片社工服务站反馈初评意见，对评估结果、存在问题及改进建议等进行沟通确认。</w:t>
      </w:r>
    </w:p>
    <w:p w14:paraId="322EF496">
      <w:pPr>
        <w:pStyle w:val="12"/>
        <w:keepNext w:val="0"/>
        <w:keepLines w:val="0"/>
        <w:pageBreakBefore w:val="0"/>
        <w:widowControl w:val="0"/>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14:paraId="7F843E8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在评估工作结束后10个工作日内，向番禺区民政局、市桥街道办事处及市桥街中北片社工服务站各出具一份评估报告，提出项目存在的问题及改进建议。</w:t>
      </w:r>
    </w:p>
    <w:p w14:paraId="55A2A5B6">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3E5CEF9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市桥街中北片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14:paraId="6C5C7464">
      <w:pPr>
        <w:pStyle w:val="12"/>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14:paraId="1411C85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14:paraId="63205576">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14:paraId="146D5C3F">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14:paraId="4D8BB064">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14:paraId="2BD283F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14:paraId="243D6AEB">
      <w:pPr>
        <w:pStyle w:val="12"/>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14:paraId="71255D94">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60分至80分（不含80分）为合格，60分以下（不含60分）为不合格。评估中若发现有下列情形之一的，评估结果</w:t>
      </w:r>
      <w:r>
        <w:rPr>
          <w:rFonts w:hint="eastAsia" w:ascii="仿宋_GB2312" w:eastAsia="仿宋_GB2312"/>
          <w:sz w:val="32"/>
          <w:szCs w:val="32"/>
          <w:lang w:eastAsia="zh-CN"/>
        </w:rPr>
        <w:t>也确</w:t>
      </w:r>
      <w:r>
        <w:rPr>
          <w:rFonts w:hint="eastAsia" w:ascii="仿宋_GB2312" w:eastAsia="仿宋_GB2312"/>
          <w:sz w:val="32"/>
          <w:szCs w:val="32"/>
        </w:rPr>
        <w:t>定为不合格：</w:t>
      </w:r>
    </w:p>
    <w:p w14:paraId="677C82E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14:paraId="321447A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14:paraId="26ACE682">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14:paraId="245B384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14:paraId="20C475D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14:paraId="7D62AB5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14:paraId="0999112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14:paraId="4644F2A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14:paraId="69EADBD1">
      <w:pPr>
        <w:pStyle w:val="12"/>
        <w:keepNext w:val="0"/>
        <w:keepLines w:val="0"/>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14:paraId="64CD1D9A">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14:paraId="403A01D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市桥街中北片</w:t>
      </w:r>
      <w:r>
        <w:rPr>
          <w:rFonts w:hint="eastAsia" w:ascii="仿宋_GB2312" w:eastAsia="仿宋_GB2312"/>
          <w:sz w:val="32"/>
          <w:szCs w:val="32"/>
        </w:rPr>
        <w:t>社工站</w:t>
      </w:r>
      <w:r>
        <w:rPr>
          <w:rFonts w:hint="eastAsia" w:ascii="仿宋_GB2312" w:eastAsia="仿宋_GB2312"/>
          <w:sz w:val="32"/>
          <w:szCs w:val="32"/>
          <w:lang w:eastAsia="zh-CN"/>
        </w:rPr>
        <w:t>主要服务于市桥街中片、北片</w:t>
      </w:r>
      <w:r>
        <w:rPr>
          <w:rFonts w:hint="eastAsia" w:ascii="仿宋_GB2312" w:eastAsia="仿宋_GB2312"/>
          <w:sz w:val="32"/>
          <w:szCs w:val="32"/>
        </w:rPr>
        <w:t>，</w:t>
      </w:r>
      <w:r>
        <w:rPr>
          <w:rFonts w:hint="eastAsia" w:ascii="仿宋_GB2312" w:eastAsia="仿宋_GB2312"/>
          <w:sz w:val="32"/>
          <w:szCs w:val="32"/>
          <w:lang w:eastAsia="zh-CN"/>
        </w:rPr>
        <w:t>中</w:t>
      </w:r>
      <w:r>
        <w:rPr>
          <w:rFonts w:hint="eastAsia" w:ascii="仿宋_GB2312" w:eastAsia="仿宋_GB2312"/>
          <w:sz w:val="32"/>
          <w:szCs w:val="32"/>
        </w:rPr>
        <w:t>片</w:t>
      </w:r>
      <w:r>
        <w:rPr>
          <w:rFonts w:hint="eastAsia" w:ascii="仿宋_GB2312" w:eastAsia="仿宋_GB2312"/>
          <w:sz w:val="32"/>
          <w:szCs w:val="32"/>
          <w:lang w:eastAsia="zh-CN"/>
        </w:rPr>
        <w:t>社工站地址是</w:t>
      </w:r>
      <w:r>
        <w:rPr>
          <w:rFonts w:hint="eastAsia" w:ascii="仿宋_GB2312" w:eastAsia="仿宋_GB2312"/>
          <w:sz w:val="32"/>
          <w:szCs w:val="32"/>
        </w:rPr>
        <w:t>市桥街海傍路82号</w:t>
      </w:r>
      <w:r>
        <w:rPr>
          <w:rFonts w:hint="eastAsia" w:ascii="仿宋_GB2312" w:eastAsia="仿宋_GB2312"/>
          <w:sz w:val="32"/>
          <w:szCs w:val="32"/>
          <w:lang w:eastAsia="zh-CN"/>
        </w:rPr>
        <w:t>，北</w:t>
      </w:r>
      <w:r>
        <w:rPr>
          <w:rFonts w:hint="eastAsia" w:ascii="仿宋_GB2312" w:eastAsia="仿宋_GB2312"/>
          <w:sz w:val="32"/>
          <w:szCs w:val="32"/>
        </w:rPr>
        <w:t>片</w:t>
      </w:r>
      <w:r>
        <w:rPr>
          <w:rFonts w:hint="eastAsia" w:ascii="仿宋_GB2312" w:eastAsia="仿宋_GB2312"/>
          <w:sz w:val="32"/>
          <w:szCs w:val="32"/>
          <w:lang w:eastAsia="zh-CN"/>
        </w:rPr>
        <w:t>社工站地址是</w:t>
      </w:r>
      <w:r>
        <w:rPr>
          <w:rFonts w:hint="eastAsia" w:ascii="仿宋_GB2312" w:eastAsia="仿宋_GB2312"/>
          <w:sz w:val="32"/>
          <w:szCs w:val="32"/>
        </w:rPr>
        <w:t>市桥街康裕西园7街12座旁</w:t>
      </w:r>
      <w:r>
        <w:rPr>
          <w:rFonts w:hint="eastAsia" w:ascii="仿宋_GB2312" w:eastAsia="仿宋_GB2312"/>
          <w:sz w:val="32"/>
          <w:szCs w:val="32"/>
          <w:lang w:eastAsia="zh-CN"/>
        </w:rPr>
        <w:t>。</w:t>
      </w:r>
      <w:r>
        <w:rPr>
          <w:rFonts w:hint="eastAsia" w:ascii="仿宋_GB2312" w:eastAsia="仿宋_GB2312"/>
          <w:sz w:val="32"/>
          <w:szCs w:val="32"/>
        </w:rPr>
        <w:t>20</w:t>
      </w:r>
      <w:r>
        <w:rPr>
          <w:rFonts w:hint="eastAsia" w:ascii="仿宋_GB2312" w:eastAsia="仿宋_GB2312"/>
          <w:sz w:val="32"/>
          <w:szCs w:val="32"/>
          <w:lang w:val="en-US" w:eastAsia="zh-CN"/>
        </w:rPr>
        <w:t>20年</w:t>
      </w:r>
      <w:r>
        <w:rPr>
          <w:rFonts w:hint="eastAsia" w:ascii="仿宋_GB2312" w:eastAsia="仿宋_GB2312"/>
          <w:sz w:val="32"/>
          <w:szCs w:val="32"/>
        </w:rPr>
        <w:t>至今，由</w:t>
      </w:r>
      <w:r>
        <w:rPr>
          <w:rFonts w:hint="eastAsia" w:ascii="仿宋_GB2312" w:eastAsia="仿宋_GB2312"/>
          <w:sz w:val="32"/>
          <w:szCs w:val="32"/>
          <w:lang w:val="en-US" w:eastAsia="zh-CN"/>
        </w:rPr>
        <w:t>广州市番禺区正阳社会工作服务中心</w:t>
      </w:r>
      <w:r>
        <w:rPr>
          <w:rFonts w:hint="eastAsia" w:ascii="仿宋_GB2312" w:eastAsia="仿宋_GB2312"/>
          <w:sz w:val="32"/>
          <w:szCs w:val="32"/>
        </w:rPr>
        <w:t>负责运营。</w:t>
      </w:r>
      <w:r>
        <w:rPr>
          <w:rFonts w:hint="eastAsia" w:ascii="仿宋_GB2312" w:eastAsia="仿宋_GB2312"/>
          <w:sz w:val="32"/>
          <w:szCs w:val="32"/>
          <w:lang w:eastAsia="zh-CN"/>
        </w:rPr>
        <w:t>市桥街中北片</w:t>
      </w:r>
      <w:r>
        <w:rPr>
          <w:rFonts w:hint="eastAsia" w:ascii="仿宋_GB2312" w:eastAsia="仿宋_GB2312"/>
          <w:sz w:val="32"/>
          <w:szCs w:val="32"/>
        </w:rPr>
        <w:t>社工站主要服务包括：党建引领服务、兜底性民生服务、基础性民生服务、普惠性民生服务四大板块。</w:t>
      </w:r>
    </w:p>
    <w:p w14:paraId="426E578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hAnsi="宋体" w:eastAsia="仿宋_GB2312" w:cs="宋体"/>
          <w:sz w:val="32"/>
          <w:szCs w:val="32"/>
          <w:lang w:eastAsia="zh-CN"/>
        </w:rPr>
        <w:t>截至202</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28</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16</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15</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12</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，相关专业1人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9</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16</w:t>
      </w:r>
      <w:r>
        <w:rPr>
          <w:rFonts w:hint="eastAsia" w:ascii="仿宋_GB2312" w:hAnsi="宋体" w:eastAsia="仿宋_GB2312" w:cs="宋体"/>
          <w:sz w:val="32"/>
          <w:szCs w:val="32"/>
          <w:lang w:eastAsia="zh-CN"/>
        </w:rPr>
        <w:t>名，其中社工专业人员1</w:t>
      </w:r>
      <w:r>
        <w:rPr>
          <w:rFonts w:hint="eastAsia" w:ascii="仿宋_GB2312" w:eastAsia="仿宋_GB2312" w:cs="宋体"/>
          <w:sz w:val="32"/>
          <w:szCs w:val="32"/>
          <w:lang w:val="en-US" w:eastAsia="zh-CN"/>
        </w:rPr>
        <w:t>6</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w:t>
      </w:r>
      <w:r>
        <w:rPr>
          <w:rFonts w:hint="eastAsia" w:ascii="仿宋_GB2312" w:eastAsia="仿宋_GB2312" w:cs="宋体"/>
          <w:sz w:val="32"/>
          <w:szCs w:val="32"/>
          <w:lang w:val="en-US" w:eastAsia="zh-CN"/>
        </w:rPr>
        <w:t>3</w:t>
      </w:r>
      <w:r>
        <w:rPr>
          <w:rFonts w:hint="eastAsia" w:ascii="仿宋_GB2312" w:hAnsi="宋体" w:eastAsia="仿宋_GB2312" w:cs="宋体"/>
          <w:sz w:val="32"/>
          <w:szCs w:val="32"/>
          <w:lang w:eastAsia="zh-CN"/>
        </w:rPr>
        <w:t>人）。此外，社工站配备督导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13.5</w:t>
      </w:r>
      <w:r>
        <w:rPr>
          <w:rFonts w:hint="eastAsia" w:ascii="仿宋_GB2312" w:hAnsi="宋体" w:eastAsia="仿宋_GB2312" w:cs="宋体"/>
          <w:sz w:val="32"/>
          <w:szCs w:val="32"/>
          <w:lang w:eastAsia="zh-CN"/>
        </w:rPr>
        <w:t>年以上。</w:t>
      </w:r>
    </w:p>
    <w:p w14:paraId="262C3AF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color w:val="auto"/>
          <w:sz w:val="32"/>
          <w:szCs w:val="32"/>
          <w:lang w:eastAsia="zh-CN"/>
        </w:rPr>
        <w:t>市桥街中北片</w:t>
      </w:r>
      <w:r>
        <w:rPr>
          <w:rFonts w:hint="eastAsia" w:ascii="仿宋_GB2312" w:eastAsia="仿宋_GB2312"/>
          <w:color w:val="auto"/>
          <w:sz w:val="32"/>
          <w:szCs w:val="32"/>
        </w:rPr>
        <w:t>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192</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sz w:val="32"/>
          <w:szCs w:val="32"/>
        </w:rPr>
        <w:t>社工站</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9</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日至202</w:t>
      </w: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31</w:t>
      </w:r>
      <w:r>
        <w:rPr>
          <w:rFonts w:hint="eastAsia" w:ascii="仿宋_GB2312" w:hAnsi="Times New Roman" w:eastAsia="仿宋_GB2312" w:cs="Times New Roman"/>
          <w:sz w:val="32"/>
          <w:szCs w:val="32"/>
        </w:rPr>
        <w:t>日</w:t>
      </w:r>
      <w:r>
        <w:rPr>
          <w:rFonts w:hint="eastAsia" w:ascii="仿宋_GB2312" w:eastAsia="仿宋_GB2312"/>
          <w:sz w:val="32"/>
          <w:szCs w:val="32"/>
        </w:rPr>
        <w:t>。本次考核期为202</w:t>
      </w:r>
      <w:r>
        <w:rPr>
          <w:rFonts w:hint="eastAsia" w:ascii="仿宋_GB2312" w:eastAsia="仿宋_GB2312"/>
          <w:sz w:val="32"/>
          <w:szCs w:val="32"/>
          <w:lang w:val="en-US" w:eastAsia="zh-CN"/>
        </w:rPr>
        <w:t>5</w:t>
      </w:r>
      <w:r>
        <w:rPr>
          <w:rFonts w:hint="eastAsia" w:ascii="仿宋_GB2312" w:eastAsia="仿宋_GB2312"/>
          <w:sz w:val="32"/>
          <w:szCs w:val="32"/>
        </w:rPr>
        <w:t>年9月1日——202</w:t>
      </w:r>
      <w:r>
        <w:rPr>
          <w:rFonts w:hint="eastAsia" w:ascii="仿宋_GB2312" w:eastAsia="仿宋_GB2312"/>
          <w:sz w:val="32"/>
          <w:szCs w:val="32"/>
          <w:lang w:val="en-US" w:eastAsia="zh-CN"/>
        </w:rPr>
        <w:t>6</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28</w:t>
      </w:r>
      <w:r>
        <w:rPr>
          <w:rFonts w:hint="eastAsia" w:ascii="仿宋_GB2312" w:eastAsia="仿宋_GB2312"/>
          <w:sz w:val="32"/>
          <w:szCs w:val="32"/>
        </w:rPr>
        <w:t>日，考核</w:t>
      </w:r>
      <w:r>
        <w:rPr>
          <w:rFonts w:hint="eastAsia" w:ascii="仿宋_GB2312" w:eastAsia="仿宋_GB2312"/>
          <w:sz w:val="32"/>
          <w:szCs w:val="32"/>
          <w:lang w:val="en-US" w:eastAsia="zh-CN"/>
        </w:rPr>
        <w:t>6</w:t>
      </w:r>
      <w:r>
        <w:rPr>
          <w:rFonts w:hint="eastAsia" w:ascii="仿宋_GB2312" w:eastAsia="仿宋_GB2312"/>
          <w:sz w:val="32"/>
          <w:szCs w:val="32"/>
        </w:rPr>
        <w:t>个月。</w:t>
      </w:r>
    </w:p>
    <w:p w14:paraId="09A1C1A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14:paraId="3F92AF9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社工站共完成家访</w:t>
      </w:r>
      <w:r>
        <w:rPr>
          <w:rFonts w:hint="eastAsia" w:ascii="仿宋_GB2312" w:eastAsia="仿宋_GB2312"/>
          <w:sz w:val="32"/>
          <w:szCs w:val="32"/>
          <w:lang w:val="en-US" w:eastAsia="zh-CN"/>
        </w:rPr>
        <w:t>1617</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1259人次，分别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56.15</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62.95%</w:t>
      </w:r>
      <w:r>
        <w:rPr>
          <w:rFonts w:hint="eastAsia" w:ascii="仿宋_GB2312" w:hAnsi="Times New Roman" w:eastAsia="仿宋_GB2312" w:cs="Times New Roman"/>
          <w:sz w:val="32"/>
          <w:szCs w:val="32"/>
          <w:lang w:eastAsia="zh-CN"/>
        </w:rPr>
        <w:t>；专业</w:t>
      </w:r>
      <w:r>
        <w:rPr>
          <w:rFonts w:hint="eastAsia" w:ascii="仿宋_GB2312" w:eastAsia="仿宋_GB2312"/>
          <w:sz w:val="32"/>
          <w:szCs w:val="32"/>
        </w:rPr>
        <w:t>个案接案</w:t>
      </w:r>
      <w:r>
        <w:rPr>
          <w:rFonts w:hint="eastAsia" w:ascii="仿宋_GB2312" w:eastAsia="仿宋_GB2312"/>
          <w:sz w:val="32"/>
          <w:szCs w:val="32"/>
          <w:lang w:val="en-US" w:eastAsia="zh-CN"/>
        </w:rPr>
        <w:t>12</w:t>
      </w:r>
      <w:r>
        <w:rPr>
          <w:rFonts w:hint="eastAsia" w:ascii="仿宋_GB2312" w:eastAsia="仿宋_GB2312"/>
          <w:sz w:val="32"/>
          <w:szCs w:val="32"/>
        </w:rPr>
        <w:t>个，</w:t>
      </w:r>
      <w:r>
        <w:rPr>
          <w:rFonts w:hint="eastAsia" w:ascii="仿宋_GB2312" w:eastAsia="仿宋_GB2312"/>
          <w:sz w:val="32"/>
          <w:szCs w:val="32"/>
          <w:lang w:eastAsia="zh-CN"/>
        </w:rPr>
        <w:t>服务</w:t>
      </w:r>
      <w:r>
        <w:rPr>
          <w:rFonts w:hint="eastAsia" w:ascii="仿宋_GB2312" w:eastAsia="仿宋_GB2312"/>
          <w:sz w:val="32"/>
          <w:szCs w:val="32"/>
          <w:lang w:val="en-US" w:eastAsia="zh-CN"/>
        </w:rPr>
        <w:t>57节，分别</w:t>
      </w:r>
      <w:r>
        <w:rPr>
          <w:rFonts w:hint="eastAsia" w:ascii="仿宋_GB2312" w:eastAsia="仿宋_GB2312"/>
          <w:sz w:val="32"/>
          <w:szCs w:val="32"/>
        </w:rPr>
        <w:t>完成协议指标量的</w:t>
      </w:r>
      <w:r>
        <w:rPr>
          <w:rFonts w:hint="eastAsia" w:ascii="仿宋_GB2312" w:eastAsia="仿宋_GB2312"/>
          <w:sz w:val="32"/>
          <w:szCs w:val="32"/>
          <w:lang w:val="en-US" w:eastAsia="zh-CN"/>
        </w:rPr>
        <w:t>60.00%、57.00%</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5</w:t>
      </w:r>
      <w:r>
        <w:rPr>
          <w:rFonts w:hint="eastAsia" w:ascii="仿宋_GB2312" w:eastAsia="仿宋_GB2312"/>
          <w:sz w:val="32"/>
          <w:szCs w:val="32"/>
        </w:rPr>
        <w:t>个，</w:t>
      </w:r>
      <w:r>
        <w:rPr>
          <w:rFonts w:hint="eastAsia" w:ascii="仿宋_GB2312" w:eastAsia="仿宋_GB2312"/>
          <w:sz w:val="32"/>
          <w:szCs w:val="32"/>
          <w:lang w:eastAsia="zh-CN"/>
        </w:rPr>
        <w:t>服务</w:t>
      </w:r>
      <w:r>
        <w:rPr>
          <w:rFonts w:hint="eastAsia" w:ascii="仿宋_GB2312" w:eastAsia="仿宋_GB2312"/>
          <w:sz w:val="32"/>
          <w:szCs w:val="32"/>
          <w:lang w:val="en-US" w:eastAsia="zh-CN"/>
        </w:rPr>
        <w:t>28节，服务174人次，分别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83.33</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77.78%、80.56%；</w:t>
      </w:r>
      <w:r>
        <w:rPr>
          <w:rFonts w:hint="eastAsia" w:ascii="仿宋_GB2312" w:eastAsia="仿宋_GB2312"/>
          <w:sz w:val="32"/>
          <w:szCs w:val="32"/>
        </w:rPr>
        <w:t>完成社区活动</w:t>
      </w:r>
      <w:r>
        <w:rPr>
          <w:rFonts w:hint="eastAsia" w:ascii="仿宋_GB2312" w:eastAsia="仿宋_GB2312"/>
          <w:sz w:val="32"/>
          <w:szCs w:val="32"/>
          <w:lang w:val="en-US" w:eastAsia="zh-CN"/>
        </w:rPr>
        <w:t>28</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2709人次</w:t>
      </w:r>
      <w:r>
        <w:rPr>
          <w:rFonts w:hint="eastAsia" w:ascii="仿宋_GB2312" w:eastAsia="仿宋_GB2312"/>
          <w:sz w:val="32"/>
          <w:szCs w:val="32"/>
        </w:rPr>
        <w:t>，分别完成协议指标量的</w:t>
      </w:r>
      <w:r>
        <w:rPr>
          <w:rFonts w:hint="eastAsia" w:ascii="仿宋_GB2312" w:eastAsia="仿宋_GB2312"/>
          <w:sz w:val="32"/>
          <w:szCs w:val="32"/>
          <w:lang w:val="en-US" w:eastAsia="zh-CN"/>
        </w:rPr>
        <w:t>70.00</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154.80</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培育老年志愿者队伍3支，联动志愿者队伍5支，联动社区社会组织6个，分别完成指标的100.00%、62.50%、66.67%。（以上数据由社工站提供，各项目指标完成情况见附件1）</w:t>
      </w:r>
    </w:p>
    <w:p w14:paraId="431111A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市桥街中北片</w:t>
      </w:r>
      <w:r>
        <w:rPr>
          <w:rFonts w:hint="eastAsia" w:ascii="仿宋_GB2312" w:eastAsia="仿宋_GB2312"/>
          <w:sz w:val="32"/>
          <w:szCs w:val="32"/>
        </w:rPr>
        <w:t>社工站服务指标完成情况良好，在服务进度方面整体把握到位。</w:t>
      </w:r>
    </w:p>
    <w:p w14:paraId="4EB2F8D4">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14:paraId="3D5DE3F4">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通过与社工站主任、相关行政人员访谈，查阅相关资料等方式了解社工站运营管理情况，汇总成以下几点：</w:t>
      </w:r>
    </w:p>
    <w:p w14:paraId="52F69EEF">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14:paraId="4AA60A0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bookmarkStart w:id="26" w:name="bookmark31"/>
      <w:bookmarkEnd w:id="26"/>
      <w:r>
        <w:rPr>
          <w:rFonts w:hint="eastAsia" w:ascii="仿宋_GB2312" w:eastAsia="仿宋_GB2312"/>
          <w:sz w:val="32"/>
          <w:szCs w:val="32"/>
          <w:lang w:val="en-US" w:eastAsia="zh-CN"/>
        </w:rPr>
        <w:t>（1）人员配置和管理方面，经查看社工档案和核实人员情况，社工站协议人数16人，截至2026年2月28日,社工总人数16人，其中持证社工15人（中级社工师3人，助理社工师12人），持证社工比例达 93.75%。社工到岗情况，社工应到总人数96人次，实到96人次；持证社工应到66人次，实到90人次；从业三年以上社工11人，占社工总数68.75%；持续在岗16人，稳岗率达100%。社工站有建立人事管理制度，员工有签订劳动合同。继续教育方面，社工培训要求时数576小时，实际完成时数698小时，达标率121.18%。</w:t>
      </w:r>
    </w:p>
    <w:p w14:paraId="327D5C2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规范和服务持续改进方面，社工站有制定服务质量内控机制和内部定期总结反思工作机制，通过例会制度来执行。社工站有组织社工进行专业伦理价值规范评价和服务对象合法权益保障的培训和考核，考核成绩好，多数社工得满分。社工站对项目管理上期评估意见，已进行整改。</w:t>
      </w:r>
    </w:p>
    <w:p w14:paraId="20E51FB2">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（3）宣传渠道多样性方面，社工站通过线上线下多方面进行宣传推广，利用社区活动、宣传单张（册）、服务预告、入户探访、社区走访等形式，多方位、多渠道地宣传社工站的各项服务信息。</w:t>
      </w:r>
    </w:p>
    <w:p w14:paraId="41C7C49F">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14:paraId="706E29F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服务规范方面，查看社工站人员协同情况表，填写内容多数是同社区联动的内容，建议多上报上门探访、服务兜底对象的情况。社工站困难群众和特殊群体人数较多，建议多方位关注独居孤寡老人日常生活的情况，可发展邻居为志愿者，既多方面关心，又可为社工提供服务给予支持。</w:t>
      </w:r>
    </w:p>
    <w:p w14:paraId="7216A214">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（2）服务对象权益保护方面，社工站有定期组织社工进行服务对象合法权益保障考核，社工掌握好，满分的较多，建议调整内容，丰富题型，增大知识面,进一步提升专业性。</w:t>
      </w:r>
    </w:p>
    <w:p w14:paraId="2363A9F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服务持续改进方面，社工站内部的服务质量控制和定期工作总结、反思仍有提升空间，目前是在上一次专业评估后的月度例会上进行，建议社工站根据工作实际召开一次专题的服务质量提升会议，从对困难群众和特殊群体服务技巧到社工文书撰写质量等方面都定期收集、总结、分析、分享，以不断提高社工的服务质量和水平。</w:t>
      </w:r>
    </w:p>
    <w:p w14:paraId="785774A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14:paraId="6FE7D53A">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7CA91BC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14:paraId="32949CE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党建学习积极，促进引领有力。社工站以“红色学习”思想感悟计划为依托，通过“对内建队伍、对外树标杆”的方式积极推动党建学习教育常态化、制度化，5名党员社工轮值领学，深入社区“亮身份、显担当”，主动了解基层群众需求、积极跟踪难题解决，有力展现了“社工+党建”的先锋作用。</w:t>
      </w:r>
    </w:p>
    <w:p w14:paraId="7D8C69B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年度主题明确，服务设计合理。社工站以“协同·发力”为主题，持续发挥党建引领、五社联动的坚实平台助力社区慈善、积极促进站片点与村居形成合力的思路清晰，构建“资源－服务－支持”体系的规划具体、可行，打造“善暖市桥”社区的目标契合在地发展的实际与定位，整体服务设计合理。</w:t>
      </w:r>
    </w:p>
    <w:p w14:paraId="34F956D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特色打造契合辖区实际，专业优势发挥主动。社工站以“切口前移、预防优先、社区为本、就近支持、全人健康、赋能家庭”为核心理念，通过筛查、诊断、干预“三位一体”的整合模式积极响应政策、主动推进转化实践，在整合社区资源、联动医疗顾问、搭建支持网络方面较好地发挥了社工的专业优势，项目设计契合困境长者的需求痛点，服务探索积极、创新。在社区培育方面，社工站联动了13个社区社会组织、4个志愿者队伍，培育了3个老年志愿者队伍持续开展困难群众和特殊群体服务了46场次，服务了718人次。同时，</w:t>
      </w:r>
      <w:r>
        <w:rPr>
          <w:rFonts w:hint="eastAsia" w:ascii="仿宋_GB2312" w:hAnsi="宋体" w:eastAsia="仿宋_GB2312" w:cs="宋体"/>
          <w:sz w:val="32"/>
          <w:szCs w:val="32"/>
          <w:lang w:val="en-US" w:eastAsia="zh-CN"/>
        </w:rPr>
        <w:t>广州社工“红棉守护”热线后台服务记录详实。</w:t>
      </w:r>
    </w:p>
    <w:p w14:paraId="44619B3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筹集社区慈善基金积极，融合中医赋能慈善创新。社工站聚焦辖内1128名困难群众和特殊群体的帮扶需求，创新地在社区搭建了“中医+慈善”的服务平台，通过常态化联动辖区中医专业力量开展中医健康服务，及时地为辖内低保、特困、孤寡、残疾等特殊对象提供了有温度的健康关怀服务，初步探索了“公益体验筹集资源、精准服务回馈困弱”的慈善服务链，成效初显。</w:t>
      </w:r>
    </w:p>
    <w:p w14:paraId="2177BAF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5）服务成果重视工具总结、研究推广，社会美誉度稳步攀升。社工站对可视化产出非常重视，积极结合项目联动专业资源研发“禺乐工程师”工具包，初步产出有《认知干预训练工具包》《服务指引手册》《简易精神状态量表（MMSE）》等可视化产品，在《社会与公益》杂志发表了研究论文，收获了多家合作方、服务对象的感谢信和正面肯定，社会美誉度稳步提升。在服务评价方面，通过问卷调查、电访等方式对112名服务对象开展满意度调研，其中110人满意度达95%以上，综合满意度较高。</w:t>
      </w:r>
    </w:p>
    <w:p w14:paraId="25DA9E9D">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14:paraId="7D6AB0F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4"/>
      <w:bookmarkEnd w:id="29"/>
      <w:bookmarkStart w:id="30" w:name="bookmark45"/>
      <w:bookmarkEnd w:id="30"/>
      <w:bookmarkStart w:id="31" w:name="bookmark43"/>
      <w:bookmarkEnd w:id="31"/>
    </w:p>
    <w:p w14:paraId="65C2E421">
      <w:pPr>
        <w:pStyle w:val="1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党建服务和“五社联动”项目的关注焦点与成效体现仍需强化。建议社工站在聚焦困境帮扶的基础上，着力推动党建服务聚焦重点问题、加快从“形式覆盖”向“实质引领”深度转型，确保党员社工、党组织真正发挥红色力量、资源枢纽与核心协调的先锋模范作用。同时，建议社工站重视“五社联动”项目在助力社区治理、问题解决方面的、可量化的成效体现，通过聚焦联动后的价值发挥及时提炼典型治理案例或助力经验，直观展现多方协同解决社区难题的实际成果。</w:t>
      </w:r>
    </w:p>
    <w:p w14:paraId="790A441B">
      <w:pPr>
        <w:pStyle w:val="1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摸清问题和需求调研时需多关注不同需求在不同片区的交叉分析，并及时形成问题清单、明确问题重点。建议社工站在开展需求调研时，摒弃粗放式统计，深入运用“片区地理特征”与“人群属性”的交叉分析法，精准识别不同网格不同片区下的差异化痛点。并在此基础上，及时将调研数据转化为动态更新的“问题清单”，依据紧急程度与影响范围明确问题或需求的先后主次、轻重缓急，确保资源精准投放、服务专业有效。</w:t>
      </w:r>
    </w:p>
    <w:p w14:paraId="7B97E014">
      <w:pPr>
        <w:pStyle w:val="1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物资资源在自主链接社会慈善资源中的比重有待提升。建议社工站在积极协助筹集社区慈善基金的同时，主动挖掘辖区商户、共建单位及外部基金会的资源潜力，加快提升自主链接社会慈善物资的比重。如通过设计具有吸引力的公益项目或资源置换机制，构建可持续的“社区造血”模式或公益慈善生态，实现物资来源的多元化与社会化。</w:t>
      </w:r>
    </w:p>
    <w:p w14:paraId="7F5AA9A5">
      <w:pPr>
        <w:pStyle w:val="12"/>
        <w:keepNext w:val="0"/>
        <w:keepLines w:val="0"/>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14:paraId="1E44D7C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第一片区：怡乐社区、禺秀社区、侨联社区、北郊村、丹山村、云星村、康裕社区、康乐社区、丹桂社区、侨基社区、富都社区。</w:t>
      </w:r>
    </w:p>
    <w:p w14:paraId="3124224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7E67170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6AEAD05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bookmarkStart w:id="32" w:name="bookmark46"/>
      <w:bookmarkEnd w:id="32"/>
      <w:bookmarkStart w:id="33" w:name="bookmark47"/>
      <w:bookmarkEnd w:id="33"/>
      <w:bookmarkStart w:id="34" w:name="bookmark48"/>
      <w:bookmarkEnd w:id="34"/>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第一片区牢牢锚定兜底民生服务的核心，严格按照协议的要求落实困难群众和特殊群体的建档工作，协议建档数521户541人，实际建档覆盖率达100%，同时完成精细化服务评级精准区分服务需求层级，为分类施策打下坚实基础，兜底服务底数清、台账实，基础工作规范到位。</w:t>
      </w:r>
    </w:p>
    <w:p w14:paraId="230D98D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依托前期精准建档分级成果，第一片区针对不同等级困难群众和特殊群体的差异化需求，针对性地开展入户探访、应急关怀和生活帮扶等专项服务内容，各项服务活动指标完成度均达到100%，做到服务不打折扣、需求精准对接，切实把兜底服务落到实处，服务执行力度与完成质量表现较为突出。</w:t>
      </w:r>
    </w:p>
    <w:p w14:paraId="075F82A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在精准服务的基础上，第一片区主动联动社区、爱心单位等多方资源，针对高需求的不同等级困难群众和特殊群体，重点强化日常随访、特殊时段关怀、个性化帮扶等服务，同步规范服务的跟进与反馈机制，形成从建档分级到服务落地再到效果跟踪的完整闭环，既保障了服务的全覆盖、全达标，也切实解决了服务对象的实际困难，群众获得感和服务满意度稳步提升。</w:t>
      </w:r>
    </w:p>
    <w:p w14:paraId="3DF5489B">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7B3B469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40D6D39F">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评估资料完整性与填写规范性有待提升，第一片区社工服务评估台账存在部分资料（如普惠性服务人员佐证材料）未完整归档问题，且部分台账存在填写失误（如探访日期逻辑错误），影响台账真实性与可信度。建议对照评估指标清单补齐缺失资料，严格落实资料填写、复核、终审三级校验机制，安排专人核对关键信息，保障台账完整、精准，符合评估标准。</w:t>
      </w:r>
    </w:p>
    <w:p w14:paraId="737AE100">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工作计划层级模糊，片点统筹需细化拆分。现有服务工作计划存在站、片、点内容混杂的问题，第一片区个性化的任务目标、举措、分工存在不清晰，不利于片区服务的精准落地。建议优化计划编制逻辑，将总站统筹内容与片区专项内容拆分梳理，单独制定片、点的细化工作计划，明确服务边界、责任主体和实施路径，让方案更具可操作性。</w:t>
      </w:r>
    </w:p>
    <w:p w14:paraId="77724E7F">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在后续服务推进过程中，需进一步推动社工服务的常态化开展，规避服务开展的集中化与碎片化问题，紧扣辖区困难群众和特殊群体日常刚需搭建长效稳定的服务机制。同时强化各类服务活动的经验总结与提炼，深挖典型服务亮点、梳理标准化的服务实操流程。此外，还要着力加强社区、志愿者、爱心单位等不同服务主体间的沟通交流与协同协作，破除服务联动的壁垒，完善多方协同的服务体系，切实提升资源整合效率与整体服务实效。</w:t>
      </w:r>
    </w:p>
    <w:p w14:paraId="680D4C9B">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第二片区：万丰社区、先锋社区、大市社区、田心社区、石街社区、桥东社区、瑞和园社区</w:t>
      </w:r>
    </w:p>
    <w:p w14:paraId="40D167BC">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7E18877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6FA1A03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指标完成方面。协议建档量为587人，周期内累计建档526户587人，经核对纸质材料及综合管理平台的在册信息，片区已100%完成建档指标；片区共开展专业个案服务6人，结案3人，专业个案指标完成率为60%；完成咨询个案18人，咨询个案指标完成率为51.43%；组织大型活动5场次，指标完成比例为100%；组织中小型活动11场次，指标完成比例为73.33%；完成2个主题的小组服务，指标完成率为66.67%；电访459人次，电访指标完成率为57.38%，探访387人次，兜底民生政策宣传6场次，以上服务类别的服务人次符合指标要求，完成率为100%。</w:t>
      </w:r>
    </w:p>
    <w:p w14:paraId="79F4CE2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上期评估意见的整改情况，一是补充了需求调研报告，通过普查、访谈及文献查阅的方式补充了相关数据，从兜底民生服务、基础性民生服务、普惠性民生服务三个方面阐述了人群的共性需求和个性需求，并对各类需求的紧迫性进行了分类，调研结论能较好佐证服务计划的合理性。二是进一步优化了三图，图表设计美观，信息丰富，可读性较强。三是新年度的年度计划和服务逻辑也进行了优化和改善，针对不同的群体都设定了清晰、具体的服务目标。</w:t>
      </w:r>
    </w:p>
    <w:p w14:paraId="1EBDFFE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的专业服务能力扎实，比如“智慧老友记”认知症友好志愿者培育小组在服务设计上能围绕小组目标去搭建组员的能力阶梯，既有认知障碍的专业知识学习，也有筛查量表工具使用的训练与实操，从服务记录中可见小组服务成效较好，组员在最后一节上门为长者做认知评估的实操中能够有效地转化前面学习过的内容。</w:t>
      </w:r>
    </w:p>
    <w:p w14:paraId="1D5C479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（4）个案服务质量较好。经查阅专业个案文书6份、咨询个案文书6份，服务程序得当、需求分析到位、服务计划清晰、服务措施合理、服务成效明确，社工专业作用发挥较好。</w:t>
      </w:r>
    </w:p>
    <w:p w14:paraId="229063FF">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6DD09F2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24E6B44A">
      <w:pPr>
        <w:pStyle w:val="12"/>
        <w:keepNext w:val="0"/>
        <w:keepLines w:val="0"/>
        <w:pageBreakBefore w:val="0"/>
        <w:widowControl w:val="0"/>
        <w:tabs>
          <w:tab w:val="left" w:pos="972"/>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1）年度计划方面，服务内容一栏中缺少中片区全年的小组和社区活动的明确日程安排，亦没有呈现各个社工点的工作量，不利于判断服务计划的安排合理性，也影响开展后续的服务执行过程中的监测工作。建议社工对年度计划进行补充和完善。</w:t>
      </w:r>
    </w:p>
    <w:p w14:paraId="00853E35">
      <w:pPr>
        <w:pStyle w:val="12"/>
        <w:keepNext w:val="0"/>
        <w:keepLines w:val="0"/>
        <w:pageBreakBefore w:val="0"/>
        <w:widowControl w:val="0"/>
        <w:tabs>
          <w:tab w:val="left" w:pos="972"/>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进一步关注分级评估的准确性。抽查SQZB-C-608为精神二级残疾（精神分裂），基本信息显示“无法自理/半自理”，年度分级评估将其生理功能定性为残疾程度“较轻”“可自理”，分级记录与基本信息前后矛盾，最终评级结果为5级；另外，SQZB-C-384为多重二级（听力三级、言语二级、肢体二级）残疾，年度分级评估将其生理功能定性为残疾程度“较轻”、最终评级结果为5级，以上案例的分级结论严谨性不足，应补充与该维度指标对应的客观评估依据，避免仅依赖主观或片面陈述确定评估结论。SQZB-896为独居长者，按照分级评估要求，独居长者应按不低于三级标准服务，片区则按照四级标准服务，与要求不符。建议完善内部复核机制，复核其评估结论准确性，严格按照实际等级提供对等频次的服务。</w:t>
      </w:r>
    </w:p>
    <w:p w14:paraId="5F17A6A4">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14:paraId="59F78891">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14:paraId="0FA933C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市桥街道办事处</w:t>
      </w:r>
      <w:r>
        <w:rPr>
          <w:rFonts w:hint="eastAsia" w:ascii="仿宋_GB2312" w:eastAsia="仿宋_GB2312"/>
          <w:sz w:val="32"/>
          <w:szCs w:val="32"/>
        </w:rPr>
        <w:t>）代表认为，社工站</w:t>
      </w:r>
      <w:r>
        <w:rPr>
          <w:rFonts w:hint="eastAsia" w:ascii="仿宋_GB2312" w:eastAsia="仿宋_GB2312"/>
          <w:sz w:val="32"/>
          <w:szCs w:val="32"/>
          <w:lang w:eastAsia="zh-CN"/>
        </w:rPr>
        <w:t>注重以需求为导向，制定服务方案，充分结合街道各时期中心工作，有针对性地开展服务项目。注重整合资源，发挥慈善资金效用推动困难群众帮扶和特殊群体关爱行动，赢得居民好评。注重项目策划和推广，加强宣传和项目总结，形成工作典范。</w:t>
      </w:r>
    </w:p>
    <w:p w14:paraId="7B549C6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14:paraId="72AD314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市桥街道办事处</w:t>
      </w:r>
      <w:r>
        <w:rPr>
          <w:rFonts w:hint="eastAsia" w:ascii="仿宋_GB2312" w:eastAsia="仿宋_GB2312"/>
          <w:sz w:val="32"/>
          <w:szCs w:val="32"/>
        </w:rPr>
        <w:t>）代表认为，</w:t>
      </w:r>
      <w:r>
        <w:rPr>
          <w:rFonts w:hint="eastAsia" w:ascii="仿宋_GB2312" w:eastAsia="仿宋_GB2312"/>
          <w:sz w:val="32"/>
          <w:szCs w:val="32"/>
          <w:lang w:eastAsia="zh-CN"/>
        </w:rPr>
        <w:t>部分发挥服务阵地使用规范和场室功能，社工站需凸显社工服务品牌。强化困难群众和特殊群体的走访排查，实现他们的全覆盖掌握情况。加强服务精准对接，有针对性地解决实际问题。</w:t>
      </w:r>
    </w:p>
    <w:p w14:paraId="39955121">
      <w:pPr>
        <w:pStyle w:val="12"/>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54A73F70">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3624BF5F">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7E1C82C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项目重视社工能力提升体系的顶层规划。项目结合上期评估意见，优化“需求分析—目标设定—计划执行—定期检视—成效总结”的闭环管理，强化各环节逻辑衔接，实现需求、目标、计划有效匹配。且项目建立分层分类的共学机制，既有社工站层面每月组织的主题共学，也有各片区自行开展的日常学习，同时每季度邀请事务岗社工带领政策专题学习，并组织赴东莞社工站参访交流，团队成员学习主动性强、氛围浓厚。此外，项目重视内部督导人才培养，通过参与共学带领、文书批阅等实务环节培育初级内部督导，储备督导力量，助力一线社工专业成长。</w:t>
      </w:r>
    </w:p>
    <w:p w14:paraId="5909C45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多方协同成效突出。项目社工与村（居）对接紧密，争取米、油等物资资源以及义诊等服务资源，解决困难群体临时托护、居家隐患等实际问题。并建立“双工”常态化协同机制，达成年度兜底服务、颐康站建设合作共识，“双工”协同规范高效，围绕信息互通、政策宣传、服务落地开展协作，合力开展困境儿童退档、特困政策解读、公租房精准推送、开展兜底群体健康讲座等服务，形成多方联动的强大合力。</w:t>
      </w:r>
    </w:p>
    <w:p w14:paraId="3F0C9F5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项目积极推广服务经验。项目聚焦民政领域实务工作，鼓励社工梳理总结服务经验，累计产出案例集、服务指引、工具包及培训课件共20项，覆盖认知障碍、文书规范等多个实务领域，为一线工作提供了标准化指引。案例文章《党建引领聚合力 慈善赋能促善治》发表在《社会与公益》期刊。同时，项目团队面向广东清远、江西上饶等地社工分享困境儿童服务模式，发挥了良好的示范作用。</w:t>
      </w:r>
    </w:p>
    <w:p w14:paraId="2DBCFAAF">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14:paraId="58C286A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14:paraId="47416EA2">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bookmarkStart w:id="36" w:name="bookmark86"/>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项目人员能力提升体系的成效目标管理可进一步强化。当前体系目标以过程性目标为主，侧重于“做了什么”，可衡量成效指标相对不足。建议在各项过程目标基础上补充可量化的成效维度，如在完成继续教育学时要求的同时，可增设知识评估合格率、技能应用转化率等成效指标；在分层培养目标中，将“产出服务品牌成果”细化为成果在实际应用中的可见效益，将“带领共学”与“共学成果在实际工作中的试行比例”挂钩。通过“过程+成效”的双重指标体系，推动能力建设从“投入导向”向“结果导向”转变，切实提升培训实效与专业服务能力。</w:t>
      </w:r>
    </w:p>
    <w:p w14:paraId="63FEAA2B">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需加强对广州市社工站综合管理平台的使用与管理，提升服务记录更新的及时性以保障服务台账规范完整。建立内部监测与管理制度，以规范、及时、完整地填报服务记录与相关信息，确保平台使用符合要求，并使其切实成为支持服务管理、提升工作效能的有效工具。</w:t>
      </w:r>
    </w:p>
    <w:p w14:paraId="3DAC629D">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宣传工作仍有提升空间。一是宣传队伍结构可优化，当前宣传骨干多为管理层，可吸纳更多一线社工参与，壮大基层宣传力量；二是品牌内容产出需提效，三大服务项目季度专刊目前仅推出1季，可建立固定更新机制，强化品牌传播效应；三是持续提升研究水平，加强深度案例的产出与传播，主动对接更多元的传播平台，结合宣传与服务需求，探索建立稳定深度的合作模式，有效扩大宣传广度与影响力，推动项目成果从“内部沉淀”向“行业示范”转化。</w:t>
      </w:r>
    </w:p>
    <w:p w14:paraId="38C3EADB">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三、评估反馈</w:t>
      </w:r>
    </w:p>
    <w:p w14:paraId="330A0358">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评估反馈主要分为两大环节，一是现场反馈环节，二是对评估报告初稿的意见反馈环节。本次市桥街中北片社工站的反馈如下：</w:t>
      </w:r>
    </w:p>
    <w:p w14:paraId="0BC60B9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lang w:val="en-US" w:eastAsia="zh-CN"/>
        </w:rPr>
      </w:pPr>
      <w:r>
        <w:rPr>
          <w:rFonts w:hint="eastAsia" w:ascii="仿宋_GB2312" w:hAnsi="仿宋_GB2312" w:eastAsia="仿宋_GB2312" w:cs="仿宋_GB2312"/>
          <w:b/>
          <w:bCs/>
          <w:sz w:val="32"/>
          <w:szCs w:val="32"/>
          <w:lang w:val="en-US" w:eastAsia="zh-CN"/>
        </w:rPr>
        <w:t>1.</w:t>
      </w:r>
      <w:r>
        <w:rPr>
          <w:rFonts w:hint="eastAsia" w:ascii="仿宋_GB2312" w:eastAsia="仿宋_GB2312"/>
          <w:b/>
          <w:bCs/>
          <w:sz w:val="32"/>
          <w:szCs w:val="32"/>
          <w:lang w:val="en-US" w:eastAsia="zh-CN"/>
        </w:rPr>
        <w:t>现场反馈</w:t>
      </w:r>
      <w:r>
        <w:rPr>
          <w:rFonts w:hint="eastAsia" w:ascii="仿宋_GB2312" w:eastAsia="仿宋_GB2312"/>
          <w:sz w:val="32"/>
          <w:szCs w:val="32"/>
          <w:lang w:val="en-US" w:eastAsia="zh-CN"/>
        </w:rPr>
        <w:t>：经过为期一天的评估，评委针对市桥街中北片社工站的情况，进行了现场总结反馈，在总结反馈环节，市桥街中北片社工站表示对评委们提出的意见和建议无异议。</w:t>
      </w:r>
    </w:p>
    <w:p w14:paraId="6E8E3503">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textAlignment w:val="auto"/>
        <w:rPr>
          <w:rFonts w:hint="eastAsia" w:ascii="方正小标宋简体" w:hAnsi="方正小标宋简体" w:eastAsia="方正小标宋简体" w:cs="方正小标宋简体"/>
          <w:b/>
          <w:bCs/>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：番禺区民政局、市桥街道办事处、市桥街中北片社工站对评估报告初稿无异议。</w:t>
      </w:r>
      <w:bookmarkEnd w:id="36"/>
    </w:p>
    <w:p w14:paraId="517DC9EB">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14:paraId="7251954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3D2C79F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经过评估，市桥街中北片社工站本次中期评估的等级为</w:t>
      </w:r>
      <w:r>
        <w:rPr>
          <w:rFonts w:hint="eastAsia" w:ascii="仿宋_GB2312" w:eastAsia="仿宋_GB2312"/>
          <w:b/>
          <w:bCs/>
          <w:sz w:val="32"/>
          <w:szCs w:val="32"/>
          <w:lang w:val="en-US" w:eastAsia="zh-CN"/>
        </w:rPr>
        <w:t>“优秀”（91.20分）</w:t>
      </w:r>
      <w:r>
        <w:rPr>
          <w:rFonts w:hint="eastAsia" w:ascii="仿宋_GB2312" w:eastAsia="仿宋_GB2312"/>
          <w:sz w:val="32"/>
          <w:szCs w:val="32"/>
          <w:lang w:val="en-US" w:eastAsia="zh-CN"/>
        </w:rPr>
        <w:t>。</w:t>
      </w:r>
    </w:p>
    <w:p w14:paraId="7379952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5"/>
        <w:gridCol w:w="1508"/>
        <w:gridCol w:w="1514"/>
        <w:gridCol w:w="1756"/>
      </w:tblGrid>
      <w:tr w14:paraId="32524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4FA5F7E6">
            <w:pPr>
              <w:pStyle w:val="12"/>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vAlign w:val="center"/>
          </w:tcPr>
          <w:p w14:paraId="2C0D440D">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vAlign w:val="center"/>
          </w:tcPr>
          <w:p w14:paraId="2B357F0B">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vAlign w:val="center"/>
          </w:tcPr>
          <w:p w14:paraId="4B8997B0">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2B460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3A005365">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vAlign w:val="center"/>
          </w:tcPr>
          <w:p w14:paraId="18847FDD">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55</w:t>
            </w:r>
          </w:p>
        </w:tc>
        <w:tc>
          <w:tcPr>
            <w:tcW w:w="731" w:type="pct"/>
            <w:vAlign w:val="center"/>
          </w:tcPr>
          <w:p w14:paraId="2D8DCEB9">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47.25</w:t>
            </w:r>
          </w:p>
        </w:tc>
        <w:tc>
          <w:tcPr>
            <w:tcW w:w="848" w:type="pct"/>
            <w:vAlign w:val="center"/>
          </w:tcPr>
          <w:p w14:paraId="15985105">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47.25</w:t>
            </w:r>
          </w:p>
        </w:tc>
      </w:tr>
      <w:tr w14:paraId="1D7E1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3979F529">
            <w:pPr>
              <w:widowControl/>
              <w:jc w:val="center"/>
              <w:textAlignment w:val="center"/>
              <w:rPr>
                <w:rFonts w:ascii="仿宋_GB2312" w:hAnsi="仿宋_GB2312" w:eastAsia="仿宋_GB2312" w:cs="仿宋_GB2312"/>
                <w:sz w:val="28"/>
                <w:szCs w:val="28"/>
                <w:lang w:eastAsia="zh-CN"/>
              </w:rPr>
            </w:pPr>
            <w:r>
              <w:rPr>
                <w:rStyle w:val="30"/>
                <w:rFonts w:hint="default" w:ascii="仿宋_GB2312" w:hAnsi="仿宋_GB2312" w:eastAsia="仿宋_GB2312" w:cs="仿宋_GB2312"/>
                <w:sz w:val="28"/>
                <w:szCs w:val="28"/>
                <w:lang w:eastAsia="zh-CN"/>
              </w:rPr>
              <w:t>购买方</w:t>
            </w:r>
          </w:p>
        </w:tc>
        <w:tc>
          <w:tcPr>
            <w:tcW w:w="728" w:type="pct"/>
            <w:vAlign w:val="center"/>
          </w:tcPr>
          <w:p w14:paraId="6EC683F3">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20</w:t>
            </w:r>
          </w:p>
        </w:tc>
        <w:tc>
          <w:tcPr>
            <w:tcW w:w="731" w:type="pct"/>
            <w:vAlign w:val="center"/>
          </w:tcPr>
          <w:p w14:paraId="6DF82992">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w:t>
            </w:r>
          </w:p>
        </w:tc>
        <w:tc>
          <w:tcPr>
            <w:tcW w:w="848" w:type="pct"/>
            <w:vAlign w:val="center"/>
          </w:tcPr>
          <w:p w14:paraId="02D98CE4">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w:t>
            </w:r>
          </w:p>
        </w:tc>
      </w:tr>
      <w:tr w14:paraId="4ACA6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687E04F4">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督导中心</w:t>
            </w:r>
          </w:p>
        </w:tc>
        <w:tc>
          <w:tcPr>
            <w:tcW w:w="728" w:type="pct"/>
            <w:vAlign w:val="center"/>
          </w:tcPr>
          <w:p w14:paraId="7A093426">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15</w:t>
            </w:r>
          </w:p>
        </w:tc>
        <w:tc>
          <w:tcPr>
            <w:tcW w:w="731" w:type="pct"/>
            <w:vAlign w:val="center"/>
          </w:tcPr>
          <w:p w14:paraId="21B11EEF">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14.75</w:t>
            </w:r>
          </w:p>
        </w:tc>
        <w:tc>
          <w:tcPr>
            <w:tcW w:w="848" w:type="pct"/>
            <w:vAlign w:val="center"/>
          </w:tcPr>
          <w:p w14:paraId="54C8C100">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14.75</w:t>
            </w:r>
          </w:p>
        </w:tc>
      </w:tr>
      <w:tr w14:paraId="10477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14:paraId="3A36ACF6">
            <w:pPr>
              <w:widowControl/>
              <w:jc w:val="center"/>
              <w:textAlignment w:val="center"/>
              <w:rPr>
                <w:rFonts w:ascii="仿宋_GB2312" w:hAnsi="仿宋_GB2312" w:eastAsia="仿宋_GB2312" w:cs="仿宋_GB2312"/>
                <w:sz w:val="28"/>
                <w:szCs w:val="28"/>
                <w:lang w:eastAsia="zh-CN"/>
              </w:rPr>
            </w:pPr>
            <w:r>
              <w:rPr>
                <w:rStyle w:val="30"/>
                <w:rFonts w:hint="default" w:ascii="仿宋_GB2312" w:hAnsi="仿宋_GB2312" w:eastAsia="仿宋_GB2312" w:cs="仿宋_GB2312"/>
                <w:sz w:val="28"/>
                <w:szCs w:val="28"/>
                <w:lang w:eastAsia="zh-CN"/>
              </w:rPr>
              <w:t>监督方</w:t>
            </w:r>
          </w:p>
        </w:tc>
        <w:tc>
          <w:tcPr>
            <w:tcW w:w="728" w:type="pct"/>
            <w:vAlign w:val="center"/>
          </w:tcPr>
          <w:p w14:paraId="68DC3D17">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10</w:t>
            </w:r>
          </w:p>
        </w:tc>
        <w:tc>
          <w:tcPr>
            <w:tcW w:w="731" w:type="pct"/>
            <w:vAlign w:val="center"/>
          </w:tcPr>
          <w:p w14:paraId="6CA3D6D8">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c>
          <w:tcPr>
            <w:tcW w:w="848" w:type="pct"/>
            <w:vAlign w:val="center"/>
          </w:tcPr>
          <w:p w14:paraId="2F4CD993">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w:t>
            </w:r>
          </w:p>
        </w:tc>
      </w:tr>
      <w:tr w14:paraId="4964B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vAlign w:val="center"/>
          </w:tcPr>
          <w:p w14:paraId="73F14826">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vAlign w:val="center"/>
          </w:tcPr>
          <w:p w14:paraId="2668F0DA">
            <w:pPr>
              <w:widowControl/>
              <w:jc w:val="center"/>
              <w:textAlignment w:val="center"/>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91.20</w:t>
            </w:r>
          </w:p>
        </w:tc>
      </w:tr>
    </w:tbl>
    <w:p w14:paraId="6B40B741">
      <w:pPr>
        <w:pStyle w:val="12"/>
        <w:keepNext w:val="0"/>
        <w:keepLines w:val="0"/>
        <w:pageBreakBefore w:val="0"/>
        <w:widowControl w:val="0"/>
        <w:tabs>
          <w:tab w:val="left" w:pos="1263"/>
        </w:tabs>
        <w:kinsoku/>
        <w:wordWrap/>
        <w:overflowPunct/>
        <w:topLinePunct w:val="0"/>
        <w:autoSpaceDE/>
        <w:autoSpaceDN/>
        <w:bidi w:val="0"/>
        <w:adjustRightInd/>
        <w:snapToGrid/>
        <w:spacing w:line="540" w:lineRule="exact"/>
        <w:ind w:left="0" w:leftChars="0" w:firstLine="643" w:firstLineChars="200"/>
        <w:jc w:val="both"/>
        <w:textAlignment w:val="auto"/>
        <w:rPr>
          <w:rFonts w:hint="eastAsia" w:ascii="方正小标宋简体" w:hAnsi="方正小标宋简体" w:eastAsia="方正小标宋简体" w:cs="方正小标宋简体"/>
          <w:sz w:val="32"/>
          <w:szCs w:val="32"/>
        </w:rPr>
      </w:pPr>
      <w:bookmarkStart w:id="37" w:name="bookmark87"/>
      <w:r>
        <w:rPr>
          <w:rFonts w:hint="eastAsia" w:ascii="方正小标宋简体" w:hAnsi="方正小标宋简体" w:eastAsia="方正小标宋简体" w:cs="方正小标宋简体"/>
          <w:b/>
          <w:bCs/>
          <w:sz w:val="32"/>
          <w:szCs w:val="32"/>
        </w:rPr>
        <w:t>五</w:t>
      </w:r>
      <w:bookmarkEnd w:id="37"/>
      <w:r>
        <w:rPr>
          <w:rFonts w:hint="eastAsia" w:ascii="方正小标宋简体" w:hAnsi="方正小标宋简体" w:eastAsia="方正小标宋简体" w:cs="方正小标宋简体"/>
          <w:b/>
          <w:bCs/>
          <w:sz w:val="32"/>
          <w:szCs w:val="32"/>
        </w:rPr>
        <w:t>、结语</w:t>
      </w:r>
    </w:p>
    <w:p w14:paraId="7B76623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市桥街中北片社工服务站在番禺区民政局、</w:t>
      </w:r>
      <w:r>
        <w:rPr>
          <w:rFonts w:hint="eastAsia" w:ascii="仿宋_GB2312" w:eastAsia="仿宋_GB2312"/>
          <w:color w:val="auto"/>
          <w:sz w:val="32"/>
          <w:szCs w:val="32"/>
          <w:lang w:eastAsia="zh-CN"/>
        </w:rPr>
        <w:t>市桥街党工委和市桥街道办事处</w:t>
      </w:r>
      <w:r>
        <w:rPr>
          <w:rFonts w:hint="eastAsia" w:ascii="仿宋_GB2312" w:eastAsia="仿宋_GB2312"/>
          <w:sz w:val="32"/>
          <w:szCs w:val="32"/>
          <w:lang w:eastAsia="zh-CN"/>
        </w:rPr>
        <w:t>的大力支持下，在广州市番禺区</w:t>
      </w:r>
      <w:r>
        <w:rPr>
          <w:rFonts w:hint="eastAsia" w:ascii="仿宋_GB2312" w:eastAsia="仿宋_GB2312"/>
          <w:sz w:val="32"/>
          <w:szCs w:val="32"/>
          <w:lang w:val="en-US" w:eastAsia="zh-CN"/>
        </w:rPr>
        <w:t>正阳</w:t>
      </w:r>
      <w:r>
        <w:rPr>
          <w:rFonts w:hint="eastAsia" w:ascii="仿宋_GB2312" w:eastAsia="仿宋_GB2312"/>
          <w:sz w:val="32"/>
          <w:szCs w:val="32"/>
          <w:lang w:eastAsia="zh-CN"/>
        </w:rPr>
        <w:t>社会工作服务中心的努力下，已运营</w:t>
      </w:r>
      <w:r>
        <w:rPr>
          <w:rFonts w:hint="eastAsia" w:ascii="仿宋_GB2312" w:eastAsia="仿宋_GB2312"/>
          <w:sz w:val="32"/>
          <w:szCs w:val="32"/>
          <w:lang w:val="en-US" w:eastAsia="zh-CN"/>
        </w:rPr>
        <w:t>多年</w:t>
      </w:r>
      <w:r>
        <w:rPr>
          <w:rFonts w:hint="eastAsia" w:ascii="仿宋_GB2312" w:eastAsia="仿宋_GB2312"/>
          <w:sz w:val="32"/>
          <w:szCs w:val="32"/>
          <w:lang w:eastAsia="zh-CN"/>
        </w:rPr>
        <w:t>时间，社工队伍专业，有制定服务质量内控机制和内部定期总结反思工作机制，社工能按照相关流程规范和指引开展落实服务工作，宣传渠道多样性方面，通过线上线下多方面进行宣传推广。</w:t>
      </w:r>
      <w:r>
        <w:rPr>
          <w:rFonts w:hint="eastAsia" w:ascii="仿宋_GB2312" w:eastAsia="仿宋_GB2312"/>
          <w:sz w:val="32"/>
          <w:szCs w:val="32"/>
          <w:lang w:val="en-US" w:eastAsia="zh-CN"/>
        </w:rPr>
        <w:t>服务成果重视工具总结、研究推广，社会美誉度稳步攀升。</w:t>
      </w:r>
      <w:r>
        <w:rPr>
          <w:rFonts w:hint="eastAsia" w:ascii="仿宋_GB2312" w:eastAsia="仿宋_GB2312"/>
          <w:sz w:val="32"/>
          <w:szCs w:val="32"/>
          <w:lang w:eastAsia="zh-CN"/>
        </w:rPr>
        <w:t>注重整合资源，发挥慈善资金效用推动困难群众帮扶和特殊群体关爱行动，赢得居民好评。</w:t>
      </w:r>
    </w:p>
    <w:p w14:paraId="7F31593B">
      <w:pPr>
        <w:pStyle w:val="12"/>
        <w:keepNext w:val="0"/>
        <w:keepLines w:val="0"/>
        <w:pageBreakBefore w:val="0"/>
        <w:widowControl w:val="0"/>
        <w:tabs>
          <w:tab w:val="left" w:pos="972"/>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建议市桥街中北片社工站社工站在聚焦困境帮扶的基础上，着力推动党建服务聚焦重点问题、加快从“形式覆盖”向“实质引领”深度转型，在摸清问题和需求调研时需多关注不同需求在不同片区的交叉分析，并及时形成问题清单、明确问题重点。优化服务计划编制逻辑，将总站统筹内容与片区内容拆分梳理，单独制定片、点的细化工作计划，明确服务边界、责任主体和实施路径，让方案更具可操作性，以及对年度计划进行补充和完善。进一步关注分级评估的准确性，完善内部复核机制，复核其评估结论准确性，严格按照实际等级提供对等频次的服务。</w:t>
      </w:r>
    </w:p>
    <w:p w14:paraId="2341B0C4">
      <w:pPr>
        <w:pStyle w:val="12"/>
        <w:spacing w:after="160" w:line="560" w:lineRule="exact"/>
        <w:ind w:left="0" w:leftChars="0" w:firstLine="0" w:firstLineChars="0"/>
        <w:rPr>
          <w:rFonts w:ascii="仿宋_GB2312" w:eastAsia="仿宋_GB2312"/>
          <w:sz w:val="32"/>
          <w:szCs w:val="32"/>
        </w:rPr>
      </w:pPr>
    </w:p>
    <w:p w14:paraId="499C9EE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附件：1.市桥街中北片社工服务站指标完成情况统计表</w:t>
      </w:r>
    </w:p>
    <w:p w14:paraId="4868056C">
      <w:pPr>
        <w:pStyle w:val="12"/>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both"/>
        <w:textAlignment w:val="auto"/>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2.市桥街中北片社工服务站工作人员情况统计表</w:t>
      </w:r>
    </w:p>
    <w:p w14:paraId="08ECA20F">
      <w:pPr>
        <w:rPr>
          <w:rFonts w:hint="eastAsia" w:ascii="仿宋_GB2312" w:hAnsi="仿宋_GB2312" w:eastAsia="仿宋_GB2312" w:cs="仿宋_GB2312"/>
          <w:sz w:val="32"/>
          <w:szCs w:val="32"/>
          <w:lang w:eastAsia="zh-CN"/>
        </w:rPr>
      </w:pPr>
    </w:p>
    <w:p w14:paraId="7CF33073">
      <w:pPr>
        <w:rPr>
          <w:rFonts w:hint="eastAsia" w:ascii="仿宋_GB2312" w:hAnsi="仿宋_GB2312" w:eastAsia="仿宋_GB2312" w:cs="仿宋_GB2312"/>
          <w:sz w:val="32"/>
          <w:szCs w:val="32"/>
          <w:lang w:eastAsia="zh-CN"/>
        </w:rPr>
      </w:pPr>
    </w:p>
    <w:p w14:paraId="7DAAB46A">
      <w:pPr>
        <w:rPr>
          <w:rFonts w:hint="eastAsia" w:ascii="仿宋_GB2312" w:hAnsi="仿宋_GB2312" w:eastAsia="仿宋_GB2312" w:cs="仿宋_GB2312"/>
          <w:sz w:val="32"/>
          <w:szCs w:val="32"/>
          <w:lang w:eastAsia="zh-CN"/>
        </w:rPr>
      </w:pPr>
    </w:p>
    <w:p w14:paraId="38DF96A5">
      <w:pPr>
        <w:rPr>
          <w:rFonts w:hint="eastAsia" w:ascii="仿宋_GB2312" w:hAnsi="仿宋_GB2312" w:eastAsia="仿宋_GB2312" w:cs="仿宋_GB2312"/>
          <w:sz w:val="32"/>
          <w:szCs w:val="32"/>
          <w:lang w:eastAsia="zh-CN"/>
        </w:rPr>
      </w:pPr>
    </w:p>
    <w:p w14:paraId="1F20DF98">
      <w:pPr>
        <w:tabs>
          <w:tab w:val="left" w:pos="1960"/>
        </w:tabs>
        <w:spacing w:line="560" w:lineRule="exact"/>
        <w:rPr>
          <w:rFonts w:ascii="仿宋_GB2312" w:hAnsi="仿宋_GB2312" w:eastAsia="仿宋_GB2312" w:cs="仿宋_GB2312"/>
          <w:sz w:val="32"/>
          <w:szCs w:val="32"/>
          <w:lang w:eastAsia="zh-CN"/>
        </w:rPr>
      </w:pPr>
      <w:r>
        <w:rPr>
          <w:rFonts w:hint="eastAsia" w:eastAsia="宋体"/>
          <w:lang w:eastAsia="zh-CN"/>
        </w:rPr>
        <w:tab/>
      </w:r>
      <w:r>
        <w:rPr>
          <w:rFonts w:hint="eastAsia" w:eastAsia="宋体"/>
          <w:lang w:eastAsia="zh-CN"/>
        </w:rPr>
        <w:t xml:space="preserve">                                                </w:t>
      </w:r>
      <w:r>
        <w:rPr>
          <w:rFonts w:hint="eastAsia" w:ascii="仿宋_GB2312" w:hAnsi="仿宋_GB2312" w:eastAsia="仿宋_GB2312" w:cs="仿宋_GB2312"/>
          <w:sz w:val="32"/>
          <w:szCs w:val="32"/>
          <w:lang w:eastAsia="zh-CN"/>
        </w:rPr>
        <w:t>广州市番禺区社会组织联合会</w:t>
      </w:r>
    </w:p>
    <w:p w14:paraId="51A60A7C">
      <w:pPr>
        <w:tabs>
          <w:tab w:val="left" w:pos="1960"/>
        </w:tabs>
        <w:spacing w:line="560" w:lineRule="exact"/>
        <w:ind w:firstLine="5760" w:firstLineChars="18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lang w:eastAsia="zh-CN"/>
        </w:rPr>
        <w:t>日</w:t>
      </w:r>
      <w:bookmarkStart w:id="38" w:name="_GoBack"/>
      <w:bookmarkEnd w:id="38"/>
    </w:p>
    <w:sectPr>
      <w:footerReference r:id="rId3" w:type="default"/>
      <w:footerReference r:id="rId4" w:type="even"/>
      <w:pgSz w:w="11900" w:h="16840"/>
      <w:pgMar w:top="1298" w:right="879" w:bottom="1372" w:left="884"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D8833">
    <w:pPr>
      <w:pStyle w:val="4"/>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5B90D14C">
                          <w:pPr>
                            <w:pStyle w:val="4"/>
                          </w:pPr>
                          <w:r>
                            <w:fldChar w:fldCharType="begin"/>
                          </w:r>
                          <w:r>
                            <w:instrText xml:space="preserve"> PAGE  \* MERGEFORMAT </w:instrText>
                          </w:r>
                          <w:r>
                            <w:fldChar w:fldCharType="separate"/>
                          </w:r>
                          <w:r>
                            <w:t>15</w:t>
                          </w:r>
                          <w:r>
                            <w:fldChar w:fldCharType="end"/>
                          </w:r>
                        </w:p>
                      </w:txbxContent>
                    </wps:txbx>
                    <wps:bodyPr vert="horz" wrap="none" lIns="0" tIns="0" rIns="0" bIns="0" anchor="t">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lOUvQMkBAACSAwAADgAAAAAAAAABACAAAAAfAQAAZHJzL2Uyb0Rv&#10;Yy54bWxQSwUGAAAAAAYABgBZAQAAWgUAAAAA&#10;">
              <v:fill on="f" focussize="0,0"/>
              <v:stroke on="f"/>
              <v:imagedata o:title=""/>
              <o:lock v:ext="edit" aspectratio="f"/>
              <v:textbox inset="0mm,0mm,0mm,0mm" style="mso-fit-shape-to-text:t;">
                <w:txbxContent>
                  <w:p w14:paraId="5B90D14C">
                    <w:pPr>
                      <w:pStyle w:val="4"/>
                    </w:pPr>
                    <w:r>
                      <w:fldChar w:fldCharType="begin"/>
                    </w:r>
                    <w:r>
                      <w:instrText xml:space="preserve"> PAGE  \* MERGEFORMAT </w:instrText>
                    </w:r>
                    <w:r>
                      <w:fldChar w:fldCharType="separate"/>
                    </w:r>
                    <w:r>
                      <w:t>15</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0F3D9">
    <w:pPr>
      <w:pStyle w:val="4"/>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B07B6B0">
                          <w:pPr>
                            <w:pStyle w:val="4"/>
                          </w:pPr>
                          <w:r>
                            <w:fldChar w:fldCharType="begin"/>
                          </w:r>
                          <w:r>
                            <w:instrText xml:space="preserve"> PAGE  \* MERGEFORMAT </w:instrText>
                          </w:r>
                          <w:r>
                            <w:fldChar w:fldCharType="separate"/>
                          </w:r>
                          <w:r>
                            <w:t>16</w:t>
                          </w:r>
                          <w:r>
                            <w:fldChar w:fldCharType="end"/>
                          </w:r>
                        </w:p>
                      </w:txbxContent>
                    </wps:txbx>
                    <wps:bodyPr vert="horz" wrap="none" lIns="0" tIns="0" rIns="0" bIns="0" anchor="t">
                      <a:spAutoFit/>
                    </wps:bodyPr>
                  </wps:wsp>
                </a:graphicData>
              </a:graphic>
            </wp:anchor>
          </w:drawing>
        </mc:Choice>
        <mc:Fallback>
          <w:pict>
            <v:rect id="文本框 7"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XW5UtAAAAAFAQAADwAAAAAAAAABACAAAAAiAAAAZHJzL2Rvd25yZXYu&#10;eG1sUEsBAhQAFAAAAAgAh07iQHVaAHHKAQAAkgMAAA4AAAAAAAAAAQAgAAAAHwEAAGRycy9lMm9E&#10;b2MueG1sUEsFBgAAAAAGAAYAWQEAAFsFAAAAAA==&#10;">
              <v:fill on="f" focussize="0,0"/>
              <v:stroke on="f"/>
              <v:imagedata o:title=""/>
              <o:lock v:ext="edit" aspectratio="f"/>
              <v:textbox inset="0mm,0mm,0mm,0mm" style="mso-fit-shape-to-text:t;">
                <w:txbxContent>
                  <w:p w14:paraId="7B07B6B0">
                    <w:pPr>
                      <w:pStyle w:val="4"/>
                    </w:pPr>
                    <w:r>
                      <w:fldChar w:fldCharType="begin"/>
                    </w:r>
                    <w:r>
                      <w:instrText xml:space="preserve"> PAGE  \* MERGEFORMAT </w:instrText>
                    </w:r>
                    <w:r>
                      <w:fldChar w:fldCharType="separate"/>
                    </w:r>
                    <w:r>
                      <w:t>16</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2D07156"/>
    <w:rsid w:val="143D1571"/>
    <w:rsid w:val="15773A8C"/>
    <w:rsid w:val="17FE1890"/>
    <w:rsid w:val="395B6E26"/>
    <w:rsid w:val="4AC11DE8"/>
    <w:rsid w:val="4DE44DDC"/>
    <w:rsid w:val="551D2F1E"/>
    <w:rsid w:val="56CD4D78"/>
    <w:rsid w:val="623C6A18"/>
    <w:rsid w:val="68020429"/>
    <w:rsid w:val="71202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29"/>
    <w:qFormat/>
    <w:uiPriority w:val="0"/>
    <w:pPr>
      <w:tabs>
        <w:tab w:val="center" w:pos="4153"/>
        <w:tab w:val="right" w:pos="8306"/>
      </w:tabs>
      <w:snapToGrid w:val="0"/>
    </w:pPr>
    <w:rPr>
      <w:sz w:val="18"/>
      <w:szCs w:val="18"/>
    </w:rPr>
  </w:style>
  <w:style w:type="paragraph" w:styleId="5">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qFormat/>
    <w:uiPriority w:val="0"/>
    <w:rPr>
      <w:sz w:val="20"/>
      <w:szCs w:val="20"/>
      <w:u w:val="none"/>
      <w:shd w:val="clear" w:color="auto" w:fill="auto"/>
      <w:lang w:val="zh-TW" w:eastAsia="zh-TW" w:bidi="zh-TW"/>
    </w:rPr>
  </w:style>
  <w:style w:type="paragraph" w:customStyle="1" w:styleId="14">
    <w:name w:val="Header or footer|2"/>
    <w:basedOn w:val="1"/>
    <w:link w:val="13"/>
    <w:qFormat/>
    <w:uiPriority w:val="0"/>
    <w:rPr>
      <w:sz w:val="20"/>
      <w:szCs w:val="20"/>
      <w:lang w:val="zh-TW" w:eastAsia="zh-TW" w:bidi="zh-TW"/>
    </w:rPr>
  </w:style>
  <w:style w:type="character" w:customStyle="1" w:styleId="15">
    <w:name w:val="Header or footer|1_"/>
    <w:basedOn w:val="8"/>
    <w:link w:val="16"/>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qFormat/>
    <w:uiPriority w:val="0"/>
    <w:rPr>
      <w:rFonts w:ascii="宋体" w:hAnsi="宋体" w:eastAsia="宋体" w:cs="宋体"/>
      <w:sz w:val="26"/>
      <w:szCs w:val="26"/>
      <w:lang w:val="zh-TW" w:eastAsia="zh-TW" w:bidi="zh-TW"/>
    </w:rPr>
  </w:style>
  <w:style w:type="character" w:customStyle="1" w:styleId="17">
    <w:name w:val="Body text|2_"/>
    <w:basedOn w:val="8"/>
    <w:link w:val="18"/>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qFormat/>
    <w:uiPriority w:val="0"/>
    <w:rPr>
      <w:rFonts w:ascii="宋体" w:hAnsi="宋体" w:eastAsia="宋体" w:cs="宋体"/>
      <w:sz w:val="15"/>
      <w:szCs w:val="15"/>
      <w:lang w:val="zh-TW" w:eastAsia="zh-TW" w:bidi="zh-TW"/>
    </w:rPr>
  </w:style>
  <w:style w:type="character" w:customStyle="1" w:styleId="25">
    <w:name w:val="Picture caption|1_"/>
    <w:basedOn w:val="8"/>
    <w:link w:val="26"/>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qFormat/>
    <w:uiPriority w:val="0"/>
    <w:pPr>
      <w:jc w:val="center"/>
    </w:pPr>
    <w:rPr>
      <w:rFonts w:ascii="宋体" w:hAnsi="宋体" w:eastAsia="宋体" w:cs="宋体"/>
      <w:sz w:val="20"/>
      <w:szCs w:val="20"/>
      <w:lang w:val="zh-TW" w:eastAsia="zh-TW" w:bidi="zh-TW"/>
    </w:rPr>
  </w:style>
  <w:style w:type="paragraph" w:styleId="27">
    <w:name w:val="List Paragraph"/>
    <w:basedOn w:val="1"/>
    <w:qFormat/>
    <w:uiPriority w:val="34"/>
    <w:pPr>
      <w:ind w:firstLine="420" w:firstLineChars="200"/>
    </w:pPr>
  </w:style>
  <w:style w:type="character" w:customStyle="1" w:styleId="28">
    <w:name w:val="页眉 Char"/>
    <w:basedOn w:val="8"/>
    <w:link w:val="5"/>
    <w:qFormat/>
    <w:uiPriority w:val="0"/>
    <w:rPr>
      <w:rFonts w:eastAsia="Times New Roman"/>
      <w:color w:val="000000"/>
      <w:sz w:val="18"/>
      <w:szCs w:val="18"/>
      <w:lang w:eastAsia="en-US" w:bidi="en-US"/>
    </w:rPr>
  </w:style>
  <w:style w:type="character" w:customStyle="1" w:styleId="29">
    <w:name w:val="页脚 Char"/>
    <w:basedOn w:val="8"/>
    <w:link w:val="4"/>
    <w:qFormat/>
    <w:uiPriority w:val="0"/>
    <w:rPr>
      <w:rFonts w:eastAsia="Times New Roman"/>
      <w:color w:val="000000"/>
      <w:sz w:val="18"/>
      <w:szCs w:val="18"/>
      <w:lang w:eastAsia="en-US" w:bidi="en-US"/>
    </w:rPr>
  </w:style>
  <w:style w:type="character" w:customStyle="1" w:styleId="30">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152dfd07-9fb5-47a2-b1b9-777e7e217404</errorID>
      <errorWord>详实</errorWord>
      <group>L1_Word</group>
      <groupName>字词问题</groupName>
      <ability>L2_Typo</ability>
      <abilityName>字词错误</abilityName>
      <candidateList>
        <item>翔实</item>
      </candidateList>
      <explain/>
      <paraID>34F956D5</paraID>
      <start>190</start>
      <end>192</end>
      <status>ignored</status>
      <modifiedWord/>
      <trackRevisions>false</trackRevisions>
    </reviewItem>
    <reviewItem>
      <errorID>45303fb9-2a54-4bc4-beb4-abf2c03418f4</errorID>
      <errorWord>积极</errorWord>
      <group>L1_Word</group>
      <groupName>字词问题</groupName>
      <ability>L2_Typo</ability>
      <abilityName>字词错误</abilityName>
      <candidateList>
        <item>积金</item>
      </candidateList>
      <explain/>
      <paraID>31C08F82</paraID>
      <start>11</start>
      <end>13</end>
      <status>ignored</status>
      <modifiedWord/>
      <trackRevisions>false</trackRevisions>
    </reviewItem>
    <reviewItem>
      <errorID>5c256bbc-ba30-475c-8016-626149ac1c9c</errorID>
      <errorWord>MM</errorWord>
      <group>L1_Official</group>
      <groupName>公文问题</groupName>
      <ability>L2_Official</ability>
      <abilityName>公文问题</abilityName>
      <candidateList/>
      <explain>公文中禁止出现该词语</explain>
      <paraID>2177BAF8</paraID>
      <start>107</start>
      <end>109</end>
      <status>ignored</status>
      <modifiedWord/>
      <trackRevisions>false</trackRevisions>
    </reviewItem>
    <reviewItem>
      <errorID>6402a871-90dc-49f0-8032-8bcd8d2aad71</errorID>
      <errorWord>他们的</errorWord>
      <group>L1_Word</group>
      <groupName>字词问题</groupName>
      <ability>L2_Typo</ability>
      <abilityName>字词错误</abilityName>
      <candidateList>
        <item>他们</item>
      </candidateList>
      <explain/>
      <paraID>72AD3145</paraID>
      <start>67</start>
      <end>70</end>
      <status>ignored</status>
      <modifiedWord/>
      <trackRevisions>false</trackRevisions>
    </reviewItem>
    <reviewItem>
      <errorID>954d1750-19f8-4eea-95b7-e94502c22d6a</errorID>
      <errorWord>，、</errorWord>
      <group>L1_Punc</group>
      <groupName>标点问题</groupName>
      <ability>L2_Punc</ability>
      <abilityName>标点符号检查</abilityName>
      <candidateList>
        <item>，</item>
      </candidateList>
      <explain/>
      <paraID>47416EA2</paraID>
      <start>163</start>
      <end>164</end>
      <status>modified</status>
      <modifiedWord>，</modifiedWord>
      <trackRevisions>false</trackRevisions>
    </reviewItem>
    <reviewItem>
      <errorID>1c1619ca-cf34-4d13-b03e-deac01139cbf</errorID>
      <errorWord>，</errorWord>
      <group>L1_Word</group>
      <groupName>字词问题</groupName>
      <ability>L2_Typo</ability>
      <abilityName>字词错误</abilityName>
      <candidateList>
        <item>，在</item>
      </candidateList>
      <explain/>
      <paraID>7F31593B</paraID>
      <start>61</start>
      <end>63</end>
      <status>modified</status>
      <modifiedWord>，在</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e1fc33-3454-4c7b-afd8-54a5ff7684d6}">
  <ds:schemaRefs/>
</ds:datastoreItem>
</file>

<file path=docProps/app.xml><?xml version="1.0" encoding="utf-8"?>
<Properties xmlns="http://schemas.openxmlformats.org/officeDocument/2006/extended-properties" xmlns:vt="http://schemas.openxmlformats.org/officeDocument/2006/docPropsVTypes">
  <Template>Normal</Template>
  <Pages>19</Pages>
  <Words>10993</Words>
  <Characters>11385</Characters>
  <Paragraphs>250</Paragraphs>
  <TotalTime>2</TotalTime>
  <ScaleCrop>false</ScaleCrop>
  <LinksUpToDate>false</LinksUpToDate>
  <CharactersWithSpaces>11437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2023-07-26T19:06:00Z</dcterms:created>
  <dc:creator>WPS Office</dc:creator>
  <cp:lastModifiedBy>番禺区社联会</cp:lastModifiedBy>
  <dcterms:modified xsi:type="dcterms:W3CDTF">2026-04-01T03:19:24Z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0B62B276637848A8BEF2F8AA2BED9D51_13</vt:lpwstr>
  </property>
  <property fmtid="{D5CDD505-2E9C-101B-9397-08002B2CF9AE}" pid="4" name="KSOTemplateDocerSaveRecord">
    <vt:lpwstr>eyJoZGlkIjoiZDZhZGYwNTVjNmEwZDlmYmM0M2UzYmUxZTMyY2ZhNTgiLCJ1c2VySWQiOiIyOTU1NTMyNTMifQ==</vt:lpwstr>
  </property>
</Properties>
</file>