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9A91D2">
      <w:pPr>
        <w:pStyle w:val="13"/>
        <w:keepNext/>
        <w:keepLines/>
        <w:spacing w:before="0" w:after="0" w:line="560" w:lineRule="exact"/>
        <w:rPr>
          <w:rFonts w:ascii="方正小标宋简体" w:eastAsia="方正小标宋简体"/>
          <w:color w:val="auto"/>
          <w:lang w:val="en-US"/>
        </w:rPr>
      </w:pPr>
      <w:bookmarkStart w:id="0" w:name="bookmark1"/>
      <w:bookmarkStart w:id="1" w:name="bookmark2"/>
      <w:bookmarkStart w:id="2" w:name="bookmark0"/>
    </w:p>
    <w:p w14:paraId="0795C27B">
      <w:pPr>
        <w:pStyle w:val="13"/>
        <w:keepNext/>
        <w:keepLines/>
        <w:spacing w:before="0" w:after="0" w:line="560" w:lineRule="exact"/>
        <w:rPr>
          <w:rFonts w:ascii="方正小标宋简体" w:eastAsia="PMingLiU"/>
          <w:color w:val="auto"/>
          <w:lang w:val="en-US"/>
        </w:rPr>
      </w:pPr>
    </w:p>
    <w:p w14:paraId="3BF3B77C">
      <w:pPr>
        <w:pStyle w:val="13"/>
        <w:keepNext/>
        <w:keepLines/>
        <w:spacing w:before="0" w:after="0" w:line="560" w:lineRule="exact"/>
        <w:rPr>
          <w:rFonts w:ascii="方正小标宋简体" w:eastAsia="PMingLiU"/>
          <w:color w:val="auto"/>
          <w:lang w:val="en-US"/>
        </w:rPr>
      </w:pPr>
    </w:p>
    <w:p w14:paraId="2C659EE2">
      <w:pPr>
        <w:pStyle w:val="13"/>
        <w:keepNext/>
        <w:keepLines/>
        <w:spacing w:before="0" w:after="0" w:line="560" w:lineRule="exact"/>
        <w:rPr>
          <w:rFonts w:ascii="方正小标宋简体" w:eastAsia="方正小标宋简体"/>
          <w:b/>
          <w:bCs/>
          <w:color w:val="auto"/>
          <w:sz w:val="44"/>
          <w:szCs w:val="44"/>
        </w:rPr>
      </w:pPr>
      <w:r>
        <w:rPr>
          <w:rFonts w:hint="eastAsia" w:ascii="方正小标宋简体" w:eastAsia="方正小标宋简体"/>
          <w:b/>
          <w:bCs/>
          <w:color w:val="auto"/>
          <w:sz w:val="44"/>
          <w:szCs w:val="44"/>
          <w:lang w:val="en-US" w:eastAsia="zh-CN"/>
        </w:rPr>
        <w:t>新造镇</w:t>
      </w:r>
      <w:r>
        <w:rPr>
          <w:rFonts w:hint="eastAsia" w:ascii="方正小标宋简体" w:eastAsia="方正小标宋简体"/>
          <w:b/>
          <w:bCs/>
          <w:color w:val="auto"/>
          <w:sz w:val="44"/>
          <w:szCs w:val="44"/>
          <w:lang w:val="en-US"/>
        </w:rPr>
        <w:t>社工</w:t>
      </w:r>
      <w:r>
        <w:rPr>
          <w:rFonts w:hint="eastAsia" w:ascii="方正小标宋简体" w:eastAsia="方正小标宋简体"/>
          <w:b/>
          <w:bCs/>
          <w:color w:val="auto"/>
          <w:sz w:val="44"/>
          <w:szCs w:val="44"/>
        </w:rPr>
        <w:t>服务站</w:t>
      </w:r>
      <w:r>
        <w:rPr>
          <w:rFonts w:hint="eastAsia" w:ascii="方正小标宋简体" w:eastAsia="方正小标宋简体"/>
          <w:b/>
          <w:bCs/>
          <w:color w:val="auto"/>
          <w:sz w:val="44"/>
          <w:szCs w:val="44"/>
          <w:lang w:eastAsia="zh-CN"/>
        </w:rPr>
        <w:t>中期</w:t>
      </w:r>
      <w:r>
        <w:rPr>
          <w:rFonts w:hint="eastAsia" w:ascii="方正小标宋简体" w:eastAsia="方正小标宋简体"/>
          <w:b/>
          <w:bCs/>
          <w:color w:val="auto"/>
          <w:sz w:val="44"/>
          <w:szCs w:val="44"/>
        </w:rPr>
        <w:t>评估报告</w:t>
      </w:r>
      <w:bookmarkEnd w:id="0"/>
      <w:bookmarkEnd w:id="1"/>
      <w:bookmarkEnd w:id="2"/>
    </w:p>
    <w:p w14:paraId="5E558C77">
      <w:pPr>
        <w:pStyle w:val="13"/>
        <w:keepNext/>
        <w:keepLines/>
        <w:spacing w:before="0" w:after="0" w:line="560" w:lineRule="exact"/>
        <w:rPr>
          <w:rFonts w:ascii="方正小标宋简体" w:eastAsia="方正小标宋简体"/>
          <w:b/>
          <w:bCs/>
          <w:color w:val="auto"/>
          <w:sz w:val="44"/>
          <w:szCs w:val="44"/>
          <w:lang w:eastAsia="zh-CN"/>
        </w:rPr>
      </w:pPr>
      <w:r>
        <w:rPr>
          <w:rFonts w:hint="eastAsia" w:ascii="方正小标宋简体" w:eastAsia="方正小标宋简体"/>
          <w:b/>
          <w:bCs/>
          <w:color w:val="auto"/>
          <w:sz w:val="44"/>
          <w:szCs w:val="44"/>
          <w:lang w:eastAsia="zh-CN"/>
        </w:rPr>
        <w:t>（协议期：202</w:t>
      </w:r>
      <w:r>
        <w:rPr>
          <w:rFonts w:hint="eastAsia" w:ascii="方正小标宋简体" w:eastAsia="方正小标宋简体"/>
          <w:b/>
          <w:bCs/>
          <w:color w:val="auto"/>
          <w:sz w:val="44"/>
          <w:szCs w:val="44"/>
          <w:lang w:val="en-US" w:eastAsia="zh-CN"/>
        </w:rPr>
        <w:t>5</w:t>
      </w:r>
      <w:r>
        <w:rPr>
          <w:rFonts w:hint="eastAsia" w:ascii="方正小标宋简体" w:eastAsia="方正小标宋简体"/>
          <w:b/>
          <w:bCs/>
          <w:color w:val="auto"/>
          <w:sz w:val="44"/>
          <w:szCs w:val="44"/>
          <w:lang w:eastAsia="zh-CN"/>
        </w:rPr>
        <w:t>年</w:t>
      </w:r>
      <w:r>
        <w:rPr>
          <w:rFonts w:hint="eastAsia" w:ascii="方正小标宋简体" w:eastAsia="方正小标宋简体"/>
          <w:b/>
          <w:bCs/>
          <w:color w:val="auto"/>
          <w:sz w:val="44"/>
          <w:szCs w:val="44"/>
          <w:lang w:val="en-US" w:eastAsia="zh-CN"/>
        </w:rPr>
        <w:t>9</w:t>
      </w:r>
      <w:r>
        <w:rPr>
          <w:rFonts w:hint="eastAsia" w:ascii="方正小标宋简体" w:eastAsia="方正小标宋简体"/>
          <w:b/>
          <w:bCs/>
          <w:color w:val="auto"/>
          <w:sz w:val="44"/>
          <w:szCs w:val="44"/>
          <w:lang w:eastAsia="zh-CN"/>
        </w:rPr>
        <w:t>月</w:t>
      </w:r>
      <w:r>
        <w:rPr>
          <w:rFonts w:hint="eastAsia" w:ascii="方正小标宋简体" w:eastAsia="方正小标宋简体"/>
          <w:b/>
          <w:bCs/>
          <w:color w:val="auto"/>
          <w:sz w:val="44"/>
          <w:szCs w:val="44"/>
          <w:lang w:val="en-US" w:eastAsia="zh-CN"/>
        </w:rPr>
        <w:t>1</w:t>
      </w:r>
      <w:r>
        <w:rPr>
          <w:rFonts w:hint="eastAsia" w:ascii="方正小标宋简体" w:eastAsia="方正小标宋简体"/>
          <w:b/>
          <w:bCs/>
          <w:color w:val="auto"/>
          <w:sz w:val="44"/>
          <w:szCs w:val="44"/>
          <w:lang w:eastAsia="zh-CN"/>
        </w:rPr>
        <w:t>日—202</w:t>
      </w:r>
      <w:r>
        <w:rPr>
          <w:rFonts w:hint="eastAsia" w:ascii="方正小标宋简体" w:eastAsia="方正小标宋简体"/>
          <w:b/>
          <w:bCs/>
          <w:color w:val="auto"/>
          <w:sz w:val="44"/>
          <w:szCs w:val="44"/>
          <w:lang w:val="en-US" w:eastAsia="zh-CN"/>
        </w:rPr>
        <w:t>6</w:t>
      </w:r>
      <w:r>
        <w:rPr>
          <w:rFonts w:hint="eastAsia" w:ascii="方正小标宋简体" w:eastAsia="方正小标宋简体"/>
          <w:b/>
          <w:bCs/>
          <w:color w:val="auto"/>
          <w:sz w:val="44"/>
          <w:szCs w:val="44"/>
          <w:lang w:eastAsia="zh-CN"/>
        </w:rPr>
        <w:t>年8月</w:t>
      </w:r>
      <w:r>
        <w:rPr>
          <w:rFonts w:hint="eastAsia" w:ascii="方正小标宋简体" w:eastAsia="方正小标宋简体"/>
          <w:b/>
          <w:bCs/>
          <w:color w:val="auto"/>
          <w:sz w:val="44"/>
          <w:szCs w:val="44"/>
          <w:lang w:val="en-US" w:eastAsia="zh-CN"/>
        </w:rPr>
        <w:t>31</w:t>
      </w:r>
      <w:r>
        <w:rPr>
          <w:rFonts w:hint="eastAsia" w:ascii="方正小标宋简体" w:eastAsia="方正小标宋简体"/>
          <w:b/>
          <w:bCs/>
          <w:color w:val="auto"/>
          <w:sz w:val="44"/>
          <w:szCs w:val="44"/>
          <w:lang w:eastAsia="zh-CN"/>
        </w:rPr>
        <w:t>日）</w:t>
      </w:r>
    </w:p>
    <w:p w14:paraId="569972F8">
      <w:pPr>
        <w:pStyle w:val="15"/>
        <w:spacing w:after="0" w:line="560" w:lineRule="exact"/>
        <w:ind w:firstLine="2522" w:firstLineChars="900"/>
        <w:jc w:val="both"/>
        <w:rPr>
          <w:rFonts w:ascii="仿宋_GB2312" w:eastAsia="PMingLiU"/>
          <w:b/>
          <w:color w:val="auto"/>
        </w:rPr>
      </w:pPr>
      <w:bookmarkStart w:id="3" w:name="bookmark4"/>
      <w:bookmarkStart w:id="4" w:name="bookmark5"/>
      <w:bookmarkStart w:id="5" w:name="bookmark3"/>
    </w:p>
    <w:p w14:paraId="78A63022">
      <w:pPr>
        <w:pStyle w:val="15"/>
        <w:spacing w:after="0" w:line="560" w:lineRule="exact"/>
        <w:ind w:firstLine="2522" w:firstLineChars="900"/>
        <w:jc w:val="both"/>
        <w:rPr>
          <w:rFonts w:ascii="仿宋_GB2312" w:eastAsia="PMingLiU"/>
          <w:b/>
          <w:color w:val="auto"/>
        </w:rPr>
      </w:pPr>
    </w:p>
    <w:p w14:paraId="67E37B27">
      <w:pPr>
        <w:pStyle w:val="15"/>
        <w:spacing w:after="0" w:line="560" w:lineRule="exact"/>
        <w:ind w:firstLine="2522" w:firstLineChars="900"/>
        <w:jc w:val="both"/>
        <w:rPr>
          <w:rFonts w:ascii="仿宋_GB2312" w:eastAsia="PMingLiU"/>
          <w:b/>
          <w:color w:val="auto"/>
        </w:rPr>
      </w:pPr>
    </w:p>
    <w:p w14:paraId="35DC7A40">
      <w:pPr>
        <w:pStyle w:val="15"/>
        <w:spacing w:after="0" w:line="560" w:lineRule="exact"/>
        <w:ind w:firstLine="2522" w:firstLineChars="900"/>
        <w:jc w:val="both"/>
        <w:rPr>
          <w:rFonts w:ascii="仿宋_GB2312" w:eastAsia="PMingLiU"/>
          <w:b/>
          <w:color w:val="auto"/>
        </w:rPr>
      </w:pPr>
    </w:p>
    <w:p w14:paraId="17F26E42">
      <w:pPr>
        <w:pStyle w:val="15"/>
        <w:spacing w:after="0" w:line="560" w:lineRule="exact"/>
        <w:ind w:firstLine="2522" w:firstLineChars="900"/>
        <w:jc w:val="both"/>
        <w:rPr>
          <w:rFonts w:ascii="仿宋_GB2312" w:eastAsia="PMingLiU"/>
          <w:b/>
          <w:color w:val="auto"/>
        </w:rPr>
      </w:pPr>
    </w:p>
    <w:p w14:paraId="78E2FD25">
      <w:pPr>
        <w:pStyle w:val="15"/>
        <w:spacing w:after="0" w:line="560" w:lineRule="exact"/>
        <w:ind w:firstLine="2522" w:firstLineChars="900"/>
        <w:jc w:val="both"/>
        <w:rPr>
          <w:rFonts w:ascii="仿宋_GB2312" w:eastAsia="PMingLiU"/>
          <w:b/>
          <w:color w:val="auto"/>
        </w:rPr>
      </w:pPr>
    </w:p>
    <w:p w14:paraId="1FEFAAD2">
      <w:pPr>
        <w:pStyle w:val="15"/>
        <w:spacing w:after="0" w:line="560" w:lineRule="exact"/>
        <w:ind w:firstLine="2522" w:firstLineChars="900"/>
        <w:jc w:val="both"/>
        <w:rPr>
          <w:rFonts w:ascii="仿宋_GB2312" w:eastAsia="PMingLiU"/>
          <w:b/>
          <w:color w:val="auto"/>
        </w:rPr>
      </w:pPr>
    </w:p>
    <w:p w14:paraId="6ADF3EF3">
      <w:pPr>
        <w:pStyle w:val="15"/>
        <w:spacing w:after="0" w:line="560" w:lineRule="exact"/>
        <w:ind w:firstLine="2522" w:firstLineChars="900"/>
        <w:jc w:val="both"/>
        <w:rPr>
          <w:rFonts w:ascii="仿宋_GB2312" w:eastAsia="PMingLiU"/>
          <w:b/>
          <w:color w:val="auto"/>
        </w:rPr>
      </w:pPr>
    </w:p>
    <w:p w14:paraId="148213F1">
      <w:pPr>
        <w:pStyle w:val="15"/>
        <w:spacing w:after="0" w:line="560" w:lineRule="exact"/>
        <w:ind w:firstLine="2522" w:firstLineChars="900"/>
        <w:jc w:val="both"/>
        <w:rPr>
          <w:rFonts w:ascii="仿宋_GB2312" w:eastAsia="PMingLiU"/>
          <w:b/>
          <w:color w:val="auto"/>
        </w:rPr>
      </w:pPr>
    </w:p>
    <w:p w14:paraId="339458B7">
      <w:pPr>
        <w:pStyle w:val="15"/>
        <w:spacing w:after="0" w:line="560" w:lineRule="exact"/>
        <w:ind w:firstLine="2522" w:firstLineChars="900"/>
        <w:jc w:val="both"/>
        <w:rPr>
          <w:rFonts w:ascii="仿宋_GB2312" w:eastAsia="PMingLiU"/>
          <w:b/>
          <w:color w:val="auto"/>
        </w:rPr>
      </w:pPr>
    </w:p>
    <w:p w14:paraId="259AE816">
      <w:pPr>
        <w:pStyle w:val="15"/>
        <w:spacing w:after="0" w:line="560" w:lineRule="exact"/>
        <w:ind w:firstLine="2086" w:firstLineChars="742"/>
        <w:jc w:val="both"/>
        <w:rPr>
          <w:rFonts w:ascii="仿宋_GB2312" w:eastAsia="仿宋_GB2312"/>
          <w:b/>
          <w:color w:val="auto"/>
        </w:rPr>
      </w:pPr>
      <w:r>
        <w:rPr>
          <w:rFonts w:hint="eastAsia" w:ascii="仿宋_GB2312" w:eastAsia="仿宋_GB2312"/>
          <w:b/>
          <w:color w:val="auto"/>
        </w:rPr>
        <w:t>评估委托方：广州市</w:t>
      </w:r>
      <w:r>
        <w:rPr>
          <w:rFonts w:hint="eastAsia" w:ascii="仿宋_GB2312" w:eastAsia="仿宋_GB2312"/>
          <w:b/>
          <w:color w:val="auto"/>
          <w:lang w:val="en-US"/>
        </w:rPr>
        <w:t>番禺</w:t>
      </w:r>
      <w:r>
        <w:rPr>
          <w:rFonts w:hint="eastAsia" w:ascii="仿宋_GB2312" w:eastAsia="仿宋_GB2312"/>
          <w:b/>
          <w:color w:val="auto"/>
        </w:rPr>
        <w:t>区民政局</w:t>
      </w:r>
    </w:p>
    <w:p w14:paraId="6B7E6A6B">
      <w:pPr>
        <w:pStyle w:val="15"/>
        <w:spacing w:after="0" w:line="560" w:lineRule="exact"/>
        <w:ind w:firstLine="2086" w:firstLineChars="742"/>
        <w:jc w:val="both"/>
        <w:rPr>
          <w:rFonts w:ascii="仿宋_GB2312" w:eastAsia="仿宋_GB2312"/>
          <w:b/>
          <w:color w:val="auto"/>
          <w:lang w:val="en-US"/>
        </w:rPr>
      </w:pPr>
      <w:r>
        <w:rPr>
          <w:rFonts w:hint="eastAsia" w:ascii="仿宋_GB2312" w:eastAsia="仿宋_GB2312"/>
          <w:b/>
          <w:color w:val="auto"/>
        </w:rPr>
        <w:t>项目购买方：广州市</w:t>
      </w:r>
      <w:r>
        <w:rPr>
          <w:rFonts w:hint="eastAsia" w:ascii="仿宋_GB2312" w:eastAsia="仿宋_GB2312"/>
          <w:b/>
          <w:color w:val="auto"/>
          <w:lang w:val="en-US"/>
        </w:rPr>
        <w:t>番禺区</w:t>
      </w:r>
      <w:r>
        <w:rPr>
          <w:rFonts w:hint="eastAsia" w:ascii="仿宋_GB2312" w:eastAsia="仿宋_GB2312"/>
          <w:b/>
          <w:color w:val="auto"/>
          <w:lang w:val="en-US" w:eastAsia="zh-CN"/>
        </w:rPr>
        <w:t>新造镇人民政府</w:t>
      </w:r>
    </w:p>
    <w:p w14:paraId="23855E50">
      <w:pPr>
        <w:pStyle w:val="15"/>
        <w:spacing w:after="0" w:line="560" w:lineRule="exact"/>
        <w:ind w:firstLine="2086" w:firstLineChars="742"/>
        <w:jc w:val="both"/>
        <w:rPr>
          <w:rFonts w:ascii="仿宋_GB2312" w:eastAsia="仿宋_GB2312"/>
          <w:b/>
          <w:color w:val="auto"/>
          <w:lang w:eastAsia="zh-CN"/>
        </w:rPr>
      </w:pPr>
      <w:r>
        <w:rPr>
          <w:rFonts w:hint="eastAsia" w:ascii="仿宋_GB2312" w:eastAsia="仿宋_GB2312"/>
          <w:b/>
          <w:color w:val="auto"/>
        </w:rPr>
        <w:t>项目承办方：广州市</w:t>
      </w:r>
      <w:r>
        <w:rPr>
          <w:rFonts w:hint="eastAsia" w:ascii="仿宋_GB2312" w:eastAsia="仿宋_GB2312"/>
          <w:b/>
          <w:color w:val="auto"/>
          <w:lang w:eastAsia="zh-CN"/>
        </w:rPr>
        <w:t>洋城社会工作服务中心</w:t>
      </w:r>
    </w:p>
    <w:p w14:paraId="57F74AAF">
      <w:pPr>
        <w:pStyle w:val="15"/>
        <w:spacing w:after="0" w:line="560" w:lineRule="exact"/>
        <w:ind w:firstLine="2086" w:firstLineChars="742"/>
        <w:jc w:val="both"/>
        <w:rPr>
          <w:rFonts w:ascii="仿宋_GB2312" w:eastAsia="仿宋_GB2312"/>
          <w:b/>
          <w:color w:val="auto"/>
        </w:rPr>
      </w:pPr>
      <w:r>
        <w:rPr>
          <w:rFonts w:hint="eastAsia" w:ascii="仿宋_GB2312" w:eastAsia="仿宋_GB2312"/>
          <w:b/>
          <w:color w:val="auto"/>
        </w:rPr>
        <w:t>项目评估方：</w:t>
      </w:r>
      <w:r>
        <w:rPr>
          <w:rFonts w:hint="eastAsia" w:ascii="仿宋_GB2312" w:eastAsia="仿宋_GB2312"/>
          <w:b/>
          <w:color w:val="auto"/>
          <w:lang w:val="en-US"/>
        </w:rPr>
        <w:t>广州市番禺区</w:t>
      </w:r>
      <w:r>
        <w:rPr>
          <w:rFonts w:hint="eastAsia" w:ascii="仿宋_GB2312" w:eastAsia="仿宋_GB2312"/>
          <w:b/>
          <w:color w:val="auto"/>
        </w:rPr>
        <w:t>社会组织联合会</w:t>
      </w:r>
    </w:p>
    <w:p w14:paraId="3145EC9F">
      <w:pPr>
        <w:pStyle w:val="15"/>
        <w:spacing w:after="0" w:line="560" w:lineRule="exact"/>
        <w:ind w:firstLine="2086" w:firstLineChars="742"/>
        <w:jc w:val="both"/>
        <w:rPr>
          <w:rFonts w:ascii="仿宋_GB2312" w:eastAsia="仿宋_GB2312"/>
          <w:b/>
          <w:color w:val="auto"/>
        </w:rPr>
      </w:pPr>
      <w:r>
        <w:rPr>
          <w:rFonts w:hint="eastAsia" w:ascii="仿宋_GB2312" w:eastAsia="仿宋_GB2312"/>
          <w:b/>
          <w:color w:val="auto"/>
        </w:rPr>
        <w:t>评估日期：</w:t>
      </w:r>
      <w:r>
        <w:rPr>
          <w:rFonts w:hint="eastAsia" w:ascii="仿宋_GB2312" w:eastAsia="仿宋_GB2312"/>
          <w:b/>
          <w:color w:val="auto"/>
          <w:lang w:val="en-US" w:eastAsia="zh-CN"/>
        </w:rPr>
        <w:t>2026年3</w:t>
      </w:r>
      <w:r>
        <w:rPr>
          <w:rFonts w:hint="eastAsia" w:ascii="仿宋_GB2312" w:eastAsia="仿宋_GB2312"/>
          <w:b/>
          <w:color w:val="auto"/>
          <w:lang w:val="en-US"/>
        </w:rPr>
        <w:t>月</w:t>
      </w:r>
      <w:r>
        <w:rPr>
          <w:rFonts w:hint="eastAsia" w:ascii="仿宋_GB2312" w:eastAsia="仿宋_GB2312"/>
          <w:b/>
          <w:color w:val="auto"/>
          <w:lang w:val="en-US" w:eastAsia="zh-CN"/>
        </w:rPr>
        <w:t>10</w:t>
      </w:r>
      <w:r>
        <w:rPr>
          <w:rFonts w:hint="eastAsia" w:ascii="仿宋_GB2312" w:eastAsia="仿宋_GB2312"/>
          <w:b/>
          <w:color w:val="auto"/>
          <w:lang w:val="en-US"/>
        </w:rPr>
        <w:t>日</w:t>
      </w:r>
    </w:p>
    <w:p w14:paraId="43684111">
      <w:pPr>
        <w:pStyle w:val="15"/>
        <w:spacing w:after="0" w:line="240" w:lineRule="auto"/>
        <w:ind w:firstLine="0"/>
        <w:rPr>
          <w:color w:val="auto"/>
        </w:rPr>
      </w:pPr>
    </w:p>
    <w:p w14:paraId="5F8E20F8">
      <w:pPr>
        <w:pStyle w:val="15"/>
        <w:spacing w:after="0" w:line="240" w:lineRule="auto"/>
        <w:ind w:firstLine="0"/>
        <w:rPr>
          <w:color w:val="auto"/>
        </w:rPr>
      </w:pPr>
    </w:p>
    <w:p w14:paraId="69208ECD">
      <w:pPr>
        <w:pStyle w:val="15"/>
        <w:spacing w:after="0" w:line="240" w:lineRule="auto"/>
        <w:ind w:firstLine="0"/>
        <w:rPr>
          <w:color w:val="auto"/>
        </w:rPr>
      </w:pPr>
    </w:p>
    <w:p w14:paraId="52B35A73">
      <w:pPr>
        <w:pStyle w:val="15"/>
        <w:spacing w:after="0" w:line="240" w:lineRule="auto"/>
        <w:ind w:firstLine="0"/>
        <w:rPr>
          <w:color w:val="auto"/>
        </w:rPr>
      </w:pPr>
    </w:p>
    <w:p w14:paraId="5A8A877A">
      <w:pPr>
        <w:pStyle w:val="15"/>
        <w:spacing w:after="0" w:line="240" w:lineRule="auto"/>
        <w:ind w:firstLine="0"/>
        <w:rPr>
          <w:rFonts w:eastAsia="PMingLiU"/>
          <w:color w:val="auto"/>
        </w:rPr>
        <w:sectPr>
          <w:pgSz w:w="11900" w:h="16840"/>
          <w:pgMar w:top="1301" w:right="876" w:bottom="1373" w:left="885" w:header="457" w:footer="448" w:gutter="0"/>
          <w:cols w:space="720" w:num="1"/>
          <w:docGrid w:linePitch="360" w:charSpace="0"/>
        </w:sectPr>
      </w:pPr>
    </w:p>
    <w:p w14:paraId="577A877E">
      <w:pPr>
        <w:pStyle w:val="15"/>
        <w:spacing w:after="0" w:line="240" w:lineRule="auto"/>
        <w:ind w:firstLine="0"/>
        <w:rPr>
          <w:color w:val="auto"/>
        </w:rPr>
      </w:pPr>
    </w:p>
    <w:bookmarkEnd w:id="3"/>
    <w:bookmarkEnd w:id="4"/>
    <w:bookmarkEnd w:id="5"/>
    <w:p w14:paraId="3B957884">
      <w:pPr>
        <w:pStyle w:val="13"/>
        <w:keepNext/>
        <w:keepLines/>
        <w:spacing w:before="0" w:after="0" w:line="560" w:lineRule="exact"/>
        <w:rPr>
          <w:rFonts w:ascii="方正小标宋简体" w:eastAsia="方正小标宋简体"/>
          <w:b/>
          <w:bCs/>
          <w:color w:val="auto"/>
          <w:sz w:val="44"/>
          <w:szCs w:val="44"/>
        </w:rPr>
      </w:pPr>
      <w:r>
        <w:rPr>
          <w:rFonts w:hint="eastAsia" w:ascii="方正小标宋简体" w:eastAsia="方正小标宋简体"/>
          <w:b/>
          <w:bCs/>
          <w:color w:val="auto"/>
          <w:sz w:val="44"/>
          <w:szCs w:val="44"/>
          <w:lang w:val="en-US" w:eastAsia="zh-CN"/>
        </w:rPr>
        <w:t>新造镇</w:t>
      </w:r>
      <w:r>
        <w:rPr>
          <w:rFonts w:hint="eastAsia" w:ascii="方正小标宋简体" w:eastAsia="方正小标宋简体"/>
          <w:b/>
          <w:bCs/>
          <w:color w:val="auto"/>
          <w:sz w:val="44"/>
          <w:szCs w:val="44"/>
          <w:lang w:val="en-US"/>
        </w:rPr>
        <w:t>社工</w:t>
      </w:r>
      <w:r>
        <w:rPr>
          <w:rFonts w:hint="eastAsia" w:ascii="方正小标宋简体" w:eastAsia="方正小标宋简体"/>
          <w:b/>
          <w:bCs/>
          <w:color w:val="auto"/>
          <w:sz w:val="44"/>
          <w:szCs w:val="44"/>
        </w:rPr>
        <w:t>服务站</w:t>
      </w:r>
      <w:r>
        <w:rPr>
          <w:rFonts w:hint="eastAsia" w:ascii="方正小标宋简体" w:eastAsia="方正小标宋简体"/>
          <w:b/>
          <w:bCs/>
          <w:color w:val="auto"/>
          <w:sz w:val="44"/>
          <w:szCs w:val="44"/>
          <w:lang w:eastAsia="zh-CN"/>
        </w:rPr>
        <w:t>中期</w:t>
      </w:r>
      <w:r>
        <w:rPr>
          <w:rFonts w:hint="eastAsia" w:ascii="方正小标宋简体" w:eastAsia="方正小标宋简体"/>
          <w:b/>
          <w:bCs/>
          <w:color w:val="auto"/>
          <w:sz w:val="44"/>
          <w:szCs w:val="44"/>
        </w:rPr>
        <w:t>评估报告</w:t>
      </w:r>
    </w:p>
    <w:p w14:paraId="6BEDA846">
      <w:pPr>
        <w:pStyle w:val="13"/>
        <w:keepNext/>
        <w:keepLines/>
        <w:spacing w:before="0" w:after="0" w:line="560" w:lineRule="exact"/>
        <w:rPr>
          <w:rFonts w:ascii="方正小标宋简体" w:eastAsia="方正小标宋简体"/>
          <w:b/>
          <w:bCs/>
          <w:color w:val="auto"/>
          <w:sz w:val="44"/>
          <w:szCs w:val="44"/>
          <w:lang w:eastAsia="zh-CN"/>
        </w:rPr>
      </w:pPr>
      <w:r>
        <w:rPr>
          <w:rFonts w:hint="eastAsia" w:ascii="方正小标宋简体" w:eastAsia="方正小标宋简体"/>
          <w:b/>
          <w:bCs/>
          <w:color w:val="auto"/>
          <w:sz w:val="44"/>
          <w:szCs w:val="44"/>
          <w:lang w:eastAsia="zh-CN"/>
        </w:rPr>
        <w:t>（协议期：202</w:t>
      </w:r>
      <w:r>
        <w:rPr>
          <w:rFonts w:hint="eastAsia" w:ascii="方正小标宋简体" w:eastAsia="方正小标宋简体"/>
          <w:b/>
          <w:bCs/>
          <w:color w:val="auto"/>
          <w:sz w:val="44"/>
          <w:szCs w:val="44"/>
          <w:lang w:val="en-US" w:eastAsia="zh-CN"/>
        </w:rPr>
        <w:t>5</w:t>
      </w:r>
      <w:r>
        <w:rPr>
          <w:rFonts w:hint="eastAsia" w:ascii="方正小标宋简体" w:eastAsia="方正小标宋简体"/>
          <w:b/>
          <w:bCs/>
          <w:color w:val="auto"/>
          <w:sz w:val="44"/>
          <w:szCs w:val="44"/>
          <w:lang w:eastAsia="zh-CN"/>
        </w:rPr>
        <w:t>年</w:t>
      </w:r>
      <w:r>
        <w:rPr>
          <w:rFonts w:hint="eastAsia" w:ascii="方正小标宋简体" w:eastAsia="方正小标宋简体"/>
          <w:b/>
          <w:bCs/>
          <w:color w:val="auto"/>
          <w:sz w:val="44"/>
          <w:szCs w:val="44"/>
          <w:lang w:val="en-US" w:eastAsia="zh-CN"/>
        </w:rPr>
        <w:t>9</w:t>
      </w:r>
      <w:r>
        <w:rPr>
          <w:rFonts w:hint="eastAsia" w:ascii="方正小标宋简体" w:eastAsia="方正小标宋简体"/>
          <w:b/>
          <w:bCs/>
          <w:color w:val="auto"/>
          <w:sz w:val="44"/>
          <w:szCs w:val="44"/>
          <w:lang w:eastAsia="zh-CN"/>
        </w:rPr>
        <w:t>月</w:t>
      </w:r>
      <w:r>
        <w:rPr>
          <w:rFonts w:hint="eastAsia" w:ascii="方正小标宋简体" w:eastAsia="方正小标宋简体"/>
          <w:b/>
          <w:bCs/>
          <w:color w:val="auto"/>
          <w:sz w:val="44"/>
          <w:szCs w:val="44"/>
          <w:lang w:val="en-US" w:eastAsia="zh-CN"/>
        </w:rPr>
        <w:t>1</w:t>
      </w:r>
      <w:r>
        <w:rPr>
          <w:rFonts w:hint="eastAsia" w:ascii="方正小标宋简体" w:eastAsia="方正小标宋简体"/>
          <w:b/>
          <w:bCs/>
          <w:color w:val="auto"/>
          <w:sz w:val="44"/>
          <w:szCs w:val="44"/>
          <w:lang w:eastAsia="zh-CN"/>
        </w:rPr>
        <w:t>日—202</w:t>
      </w:r>
      <w:r>
        <w:rPr>
          <w:rFonts w:hint="eastAsia" w:ascii="方正小标宋简体" w:eastAsia="方正小标宋简体"/>
          <w:b/>
          <w:bCs/>
          <w:color w:val="auto"/>
          <w:sz w:val="44"/>
          <w:szCs w:val="44"/>
          <w:lang w:val="en-US" w:eastAsia="zh-CN"/>
        </w:rPr>
        <w:t>6</w:t>
      </w:r>
      <w:r>
        <w:rPr>
          <w:rFonts w:hint="eastAsia" w:ascii="方正小标宋简体" w:eastAsia="方正小标宋简体"/>
          <w:b/>
          <w:bCs/>
          <w:color w:val="auto"/>
          <w:sz w:val="44"/>
          <w:szCs w:val="44"/>
          <w:lang w:eastAsia="zh-CN"/>
        </w:rPr>
        <w:t>年8月</w:t>
      </w:r>
      <w:r>
        <w:rPr>
          <w:rFonts w:hint="eastAsia" w:ascii="方正小标宋简体" w:eastAsia="方正小标宋简体"/>
          <w:b/>
          <w:bCs/>
          <w:color w:val="auto"/>
          <w:sz w:val="44"/>
          <w:szCs w:val="44"/>
          <w:lang w:val="en-US" w:eastAsia="zh-CN"/>
        </w:rPr>
        <w:t>31</w:t>
      </w:r>
      <w:r>
        <w:rPr>
          <w:rFonts w:hint="eastAsia" w:ascii="方正小标宋简体" w:eastAsia="方正小标宋简体"/>
          <w:b/>
          <w:bCs/>
          <w:color w:val="auto"/>
          <w:sz w:val="44"/>
          <w:szCs w:val="44"/>
          <w:lang w:eastAsia="zh-CN"/>
        </w:rPr>
        <w:t>日）</w:t>
      </w:r>
    </w:p>
    <w:p w14:paraId="7AC2FE04">
      <w:pPr>
        <w:pStyle w:val="15"/>
        <w:spacing w:after="0" w:line="560" w:lineRule="exact"/>
        <w:ind w:firstLine="0"/>
        <w:rPr>
          <w:rFonts w:ascii="方正小标宋简体" w:eastAsia="方正小标宋简体"/>
          <w:b/>
          <w:bCs/>
          <w:color w:val="auto"/>
          <w:sz w:val="44"/>
          <w:szCs w:val="44"/>
          <w:lang w:val="en-US" w:eastAsia="zh-CN"/>
        </w:rPr>
      </w:pPr>
    </w:p>
    <w:p w14:paraId="6079CC59">
      <w:pPr>
        <w:pStyle w:val="15"/>
        <w:pageBreakBefore w:val="0"/>
        <w:widowControl w:val="0"/>
        <w:kinsoku/>
        <w:wordWrap/>
        <w:overflowPunct/>
        <w:topLinePunct w:val="0"/>
        <w:autoSpaceDE/>
        <w:autoSpaceDN/>
        <w:bidi w:val="0"/>
        <w:adjustRightInd/>
        <w:snapToGrid/>
        <w:spacing w:after="0" w:line="520" w:lineRule="exact"/>
        <w:ind w:firstLine="578"/>
        <w:jc w:val="both"/>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新造镇社工服务站</w:t>
      </w:r>
      <w:r>
        <w:rPr>
          <w:rFonts w:hint="eastAsia" w:ascii="仿宋_GB2312" w:eastAsia="仿宋_GB2312"/>
          <w:color w:val="auto"/>
          <w:sz w:val="32"/>
          <w:szCs w:val="32"/>
        </w:rPr>
        <w:t>（简称</w:t>
      </w:r>
      <w:r>
        <w:rPr>
          <w:rFonts w:hint="eastAsia" w:ascii="仿宋_GB2312" w:eastAsia="仿宋_GB2312"/>
          <w:color w:val="auto"/>
          <w:sz w:val="32"/>
          <w:szCs w:val="32"/>
          <w:lang w:val="en-US" w:eastAsia="zh-CN"/>
        </w:rPr>
        <w:t>新造镇</w:t>
      </w:r>
      <w:r>
        <w:rPr>
          <w:rFonts w:hint="eastAsia" w:ascii="仿宋_GB2312" w:eastAsia="仿宋_GB2312"/>
          <w:color w:val="auto"/>
          <w:sz w:val="32"/>
          <w:szCs w:val="32"/>
        </w:rPr>
        <w:t>社工站）</w:t>
      </w:r>
      <w:r>
        <w:rPr>
          <w:rFonts w:hint="eastAsia" w:ascii="仿宋_GB2312" w:eastAsia="仿宋_GB2312"/>
          <w:color w:val="auto"/>
          <w:sz w:val="32"/>
          <w:szCs w:val="32"/>
          <w:lang w:eastAsia="zh-CN"/>
        </w:rPr>
        <w:t>中期</w:t>
      </w:r>
      <w:r>
        <w:rPr>
          <w:rFonts w:hint="eastAsia" w:ascii="仿宋_GB2312" w:eastAsia="仿宋_GB2312"/>
          <w:color w:val="auto"/>
          <w:sz w:val="32"/>
          <w:szCs w:val="32"/>
        </w:rPr>
        <w:t>报告，是专业评估人员通过对</w:t>
      </w:r>
      <w:r>
        <w:rPr>
          <w:rFonts w:hint="eastAsia" w:ascii="仿宋_GB2312" w:eastAsia="仿宋_GB2312"/>
          <w:color w:val="auto"/>
          <w:sz w:val="32"/>
          <w:szCs w:val="32"/>
          <w:lang w:val="en-US" w:eastAsia="zh-CN"/>
        </w:rPr>
        <w:t>新造镇</w:t>
      </w:r>
      <w:r>
        <w:rPr>
          <w:rFonts w:hint="eastAsia" w:ascii="仿宋_GB2312" w:eastAsia="仿宋_GB2312"/>
          <w:color w:val="auto"/>
          <w:sz w:val="32"/>
          <w:szCs w:val="32"/>
        </w:rPr>
        <w:t>社工站项目阶段性服务的全面调查、综合分析和科学判断，确定目标是否可行，总结服务开展情况，以及服务成效体现的总结文书。经过</w:t>
      </w:r>
      <w:r>
        <w:rPr>
          <w:rFonts w:hint="eastAsia" w:ascii="仿宋_GB2312" w:hAnsi="Times New Roman" w:eastAsia="仿宋_GB2312" w:cs="Times New Roman"/>
          <w:color w:val="auto"/>
          <w:sz w:val="32"/>
          <w:szCs w:val="32"/>
        </w:rPr>
        <w:t>5</w:t>
      </w:r>
      <w:r>
        <w:rPr>
          <w:rFonts w:hint="eastAsia" w:ascii="仿宋_GB2312" w:eastAsia="仿宋_GB2312"/>
          <w:color w:val="auto"/>
          <w:sz w:val="32"/>
          <w:szCs w:val="32"/>
        </w:rPr>
        <w:t>位专家及</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名工作人员</w:t>
      </w:r>
      <w:r>
        <w:rPr>
          <w:rFonts w:hint="eastAsia" w:ascii="仿宋_GB2312" w:eastAsia="仿宋_GB2312"/>
          <w:color w:val="auto"/>
          <w:sz w:val="32"/>
          <w:szCs w:val="32"/>
          <w:lang w:val="en-US"/>
        </w:rPr>
        <w:t>对</w:t>
      </w:r>
      <w:r>
        <w:rPr>
          <w:rFonts w:hint="eastAsia" w:ascii="仿宋_GB2312" w:eastAsia="仿宋_GB2312"/>
          <w:color w:val="auto"/>
          <w:sz w:val="32"/>
          <w:szCs w:val="32"/>
        </w:rPr>
        <w:t>社工站展开为期一天的实地考察、访谈、查阅资料等形式的评估，形成此报告。</w:t>
      </w:r>
      <w:r>
        <w:rPr>
          <w:rFonts w:hint="eastAsia" w:ascii="仿宋_GB2312" w:eastAsia="仿宋_GB2312"/>
          <w:color w:val="auto"/>
          <w:sz w:val="32"/>
          <w:szCs w:val="32"/>
          <w:lang w:val="en-US" w:eastAsia="zh-CN"/>
        </w:rPr>
        <w:t>新造镇</w:t>
      </w:r>
      <w:r>
        <w:rPr>
          <w:rFonts w:hint="eastAsia" w:ascii="仿宋_GB2312" w:eastAsia="仿宋_GB2312"/>
          <w:color w:val="auto"/>
          <w:sz w:val="32"/>
          <w:szCs w:val="32"/>
        </w:rPr>
        <w:t>社工站可以将此报告作为参考，进行服务完善和提升，从多方面</w:t>
      </w:r>
      <w:r>
        <w:rPr>
          <w:rFonts w:hint="eastAsia" w:ascii="仿宋_GB2312" w:eastAsia="仿宋_GB2312"/>
          <w:color w:val="auto"/>
          <w:sz w:val="32"/>
          <w:szCs w:val="32"/>
          <w:lang w:eastAsia="zh-CN"/>
        </w:rPr>
        <w:t>夯</w:t>
      </w:r>
      <w:r>
        <w:rPr>
          <w:rFonts w:hint="eastAsia" w:ascii="仿宋_GB2312" w:eastAsia="仿宋_GB2312"/>
          <w:color w:val="auto"/>
          <w:sz w:val="32"/>
          <w:szCs w:val="32"/>
        </w:rPr>
        <w:t>实服务基础，拓展服务面，提升服务的专业化水平。本报告尽量呈现社工站的实际情况，因评估时间较短的关系，社工站部分服务成效不完全体现在报告</w:t>
      </w:r>
      <w:r>
        <w:rPr>
          <w:rFonts w:hint="eastAsia" w:ascii="仿宋_GB2312" w:eastAsia="仿宋_GB2312"/>
          <w:color w:val="auto"/>
          <w:sz w:val="32"/>
          <w:szCs w:val="32"/>
          <w:lang w:eastAsia="zh-CN"/>
        </w:rPr>
        <w:t>中</w:t>
      </w:r>
      <w:r>
        <w:rPr>
          <w:rFonts w:hint="eastAsia" w:ascii="仿宋_GB2312" w:eastAsia="仿宋_GB2312"/>
          <w:color w:val="auto"/>
          <w:sz w:val="32"/>
          <w:szCs w:val="32"/>
        </w:rPr>
        <w:t>。</w:t>
      </w:r>
    </w:p>
    <w:p w14:paraId="764652E8">
      <w:pPr>
        <w:pStyle w:val="13"/>
        <w:keepNext/>
        <w:keepLines/>
        <w:pageBreakBefore w:val="0"/>
        <w:widowControl w:val="0"/>
        <w:kinsoku/>
        <w:wordWrap/>
        <w:overflowPunct/>
        <w:topLinePunct w:val="0"/>
        <w:autoSpaceDE/>
        <w:autoSpaceDN/>
        <w:bidi w:val="0"/>
        <w:adjustRightInd/>
        <w:snapToGrid/>
        <w:spacing w:before="0" w:after="0" w:line="520" w:lineRule="exact"/>
        <w:ind w:firstLine="643"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一、</w:t>
      </w:r>
      <w:r>
        <w:rPr>
          <w:rFonts w:hint="eastAsia" w:ascii="方正小标宋简体" w:eastAsia="方正小标宋简体"/>
          <w:b/>
          <w:bCs/>
          <w:color w:val="auto"/>
          <w:sz w:val="32"/>
          <w:szCs w:val="28"/>
          <w:lang w:val="en-US" w:eastAsia="zh-CN"/>
        </w:rPr>
        <w:t>中期</w:t>
      </w:r>
      <w:r>
        <w:rPr>
          <w:rFonts w:hint="eastAsia" w:ascii="方正小标宋简体" w:eastAsia="方正小标宋简体"/>
          <w:b/>
          <w:bCs/>
          <w:color w:val="auto"/>
          <w:sz w:val="32"/>
          <w:szCs w:val="28"/>
          <w:lang w:val="en-US"/>
        </w:rPr>
        <w:t>评估背景</w:t>
      </w:r>
    </w:p>
    <w:p w14:paraId="78C1DA2A">
      <w:pPr>
        <w:pStyle w:val="15"/>
        <w:pageBreakBefore w:val="0"/>
        <w:widowControl w:val="0"/>
        <w:kinsoku/>
        <w:wordWrap/>
        <w:overflowPunct/>
        <w:topLinePunct w:val="0"/>
        <w:autoSpaceDE/>
        <w:autoSpaceDN/>
        <w:bidi w:val="0"/>
        <w:adjustRightInd/>
        <w:snapToGrid/>
        <w:spacing w:after="0" w:line="520" w:lineRule="exact"/>
        <w:ind w:firstLine="578"/>
        <w:jc w:val="both"/>
        <w:textAlignment w:val="auto"/>
        <w:rPr>
          <w:rFonts w:ascii="仿宋_GB2312" w:eastAsia="仿宋_GB2312"/>
          <w:color w:val="auto"/>
          <w:sz w:val="32"/>
          <w:szCs w:val="32"/>
          <w:lang w:val="en-US" w:eastAsia="zh-CN"/>
        </w:rPr>
      </w:pPr>
      <w:r>
        <w:rPr>
          <w:rFonts w:hint="eastAsia" w:ascii="仿宋_GB2312" w:eastAsia="仿宋_GB2312"/>
          <w:color w:val="auto"/>
          <w:sz w:val="32"/>
          <w:szCs w:val="32"/>
          <w:lang w:val="en-US" w:eastAsia="zh-CN"/>
        </w:rPr>
        <w:t>2026年3月10日，番禺区社会组织联合会5位评委及2名工作人员对新造镇社工站展开了中期评估工作。评估为期1天，主要通过听取社工站介绍、实地考察、查阅资料、面谈（访谈）、填写问卷、电访困难群众询问等形式，对新造镇社工站的项目管理、服务开展情况以及项目成效等方面进行评估。评估团队主要完成了以下几方面的工作：</w:t>
      </w:r>
    </w:p>
    <w:p w14:paraId="640D3963">
      <w:pPr>
        <w:pStyle w:val="15"/>
        <w:pageBreakBefore w:val="0"/>
        <w:widowControl w:val="0"/>
        <w:kinsoku/>
        <w:wordWrap/>
        <w:overflowPunct/>
        <w:topLinePunct w:val="0"/>
        <w:autoSpaceDE/>
        <w:autoSpaceDN/>
        <w:bidi w:val="0"/>
        <w:adjustRightInd/>
        <w:snapToGrid/>
        <w:spacing w:after="0" w:line="520" w:lineRule="exact"/>
        <w:ind w:firstLine="643" w:firstLineChars="200"/>
        <w:jc w:val="both"/>
        <w:textAlignment w:val="auto"/>
        <w:rPr>
          <w:rFonts w:ascii="仿宋_GB2312" w:hAnsi="仿宋_GB2312" w:eastAsia="仿宋_GB2312" w:cs="仿宋_GB2312"/>
          <w:sz w:val="32"/>
          <w:szCs w:val="32"/>
        </w:rPr>
      </w:pPr>
      <w:bookmarkStart w:id="6" w:name="bookmark6"/>
      <w:bookmarkEnd w:id="6"/>
      <w:r>
        <w:rPr>
          <w:rFonts w:hint="eastAsia" w:ascii="仿宋_GB2312" w:hAnsi="仿宋_GB2312" w:eastAsia="仿宋_GB2312" w:cs="仿宋_GB2312"/>
          <w:b/>
          <w:sz w:val="32"/>
          <w:szCs w:val="32"/>
          <w:lang w:val="en-US"/>
        </w:rPr>
        <w:t>1.</w:t>
      </w:r>
      <w:r>
        <w:rPr>
          <w:rFonts w:hint="eastAsia" w:ascii="仿宋_GB2312" w:hAnsi="仿宋_GB2312" w:eastAsia="仿宋_GB2312" w:cs="仿宋_GB2312"/>
          <w:b/>
          <w:sz w:val="32"/>
          <w:szCs w:val="32"/>
        </w:rPr>
        <w:t>听取介绍。</w:t>
      </w:r>
      <w:r>
        <w:rPr>
          <w:rFonts w:hint="eastAsia" w:ascii="仿宋_GB2312" w:hAnsi="仿宋_GB2312" w:eastAsia="仿宋_GB2312" w:cs="仿宋_GB2312"/>
          <w:sz w:val="32"/>
          <w:szCs w:val="32"/>
        </w:rPr>
        <w:t>由社工站负责人介绍社工站的运营及服务情况、各项指标完成情况。</w:t>
      </w:r>
    </w:p>
    <w:p w14:paraId="5477C740">
      <w:pPr>
        <w:pStyle w:val="15"/>
        <w:pageBreakBefore w:val="0"/>
        <w:widowControl w:val="0"/>
        <w:tabs>
          <w:tab w:val="left" w:pos="981"/>
        </w:tabs>
        <w:kinsoku/>
        <w:wordWrap/>
        <w:overflowPunct/>
        <w:topLinePunct w:val="0"/>
        <w:autoSpaceDE/>
        <w:autoSpaceDN/>
        <w:bidi w:val="0"/>
        <w:adjustRightInd/>
        <w:snapToGrid/>
        <w:spacing w:after="0" w:line="520" w:lineRule="exact"/>
        <w:ind w:firstLine="643" w:firstLineChars="200"/>
        <w:jc w:val="both"/>
        <w:textAlignment w:val="auto"/>
        <w:rPr>
          <w:rFonts w:ascii="仿宋_GB2312" w:hAnsi="仿宋_GB2312" w:eastAsia="仿宋_GB2312" w:cs="仿宋_GB2312"/>
          <w:sz w:val="32"/>
          <w:szCs w:val="32"/>
        </w:rPr>
      </w:pPr>
      <w:bookmarkStart w:id="7" w:name="bookmark7"/>
      <w:bookmarkEnd w:id="7"/>
      <w:r>
        <w:rPr>
          <w:rFonts w:hint="eastAsia" w:ascii="仿宋_GB2312" w:hAnsi="仿宋_GB2312" w:eastAsia="仿宋_GB2312" w:cs="仿宋_GB2312"/>
          <w:b/>
          <w:sz w:val="32"/>
          <w:szCs w:val="32"/>
          <w:lang w:val="en-US"/>
        </w:rPr>
        <w:t>2.</w:t>
      </w:r>
      <w:r>
        <w:rPr>
          <w:rFonts w:hint="eastAsia" w:ascii="仿宋_GB2312" w:hAnsi="仿宋_GB2312" w:eastAsia="仿宋_GB2312" w:cs="仿宋_GB2312"/>
          <w:b/>
          <w:sz w:val="32"/>
          <w:szCs w:val="32"/>
        </w:rPr>
        <w:t>实地观察。</w:t>
      </w:r>
      <w:r>
        <w:rPr>
          <w:rFonts w:hint="eastAsia" w:ascii="仿宋_GB2312" w:hAnsi="仿宋_GB2312" w:eastAsia="仿宋_GB2312" w:cs="仿宋_GB2312"/>
          <w:sz w:val="32"/>
          <w:szCs w:val="32"/>
        </w:rPr>
        <w:t>主要针对社工站硬件建设情况方面进行观察，以评估其设施开展专业服务的适宜性。</w:t>
      </w:r>
    </w:p>
    <w:p w14:paraId="67B8C567">
      <w:pPr>
        <w:pStyle w:val="15"/>
        <w:pageBreakBefore w:val="0"/>
        <w:widowControl w:val="0"/>
        <w:tabs>
          <w:tab w:val="left" w:pos="976"/>
        </w:tabs>
        <w:kinsoku/>
        <w:wordWrap/>
        <w:overflowPunct/>
        <w:topLinePunct w:val="0"/>
        <w:autoSpaceDE/>
        <w:autoSpaceDN/>
        <w:bidi w:val="0"/>
        <w:adjustRightInd/>
        <w:snapToGrid/>
        <w:spacing w:after="0" w:line="520" w:lineRule="exact"/>
        <w:ind w:firstLine="643" w:firstLineChars="200"/>
        <w:jc w:val="both"/>
        <w:textAlignment w:val="auto"/>
        <w:rPr>
          <w:rFonts w:ascii="仿宋_GB2312" w:hAnsi="仿宋_GB2312" w:eastAsia="仿宋_GB2312" w:cs="仿宋_GB2312"/>
          <w:sz w:val="32"/>
          <w:szCs w:val="32"/>
        </w:rPr>
      </w:pPr>
      <w:bookmarkStart w:id="8" w:name="bookmark8"/>
      <w:bookmarkEnd w:id="8"/>
      <w:r>
        <w:rPr>
          <w:rFonts w:hint="eastAsia" w:ascii="仿宋_GB2312" w:hAnsi="仿宋_GB2312" w:eastAsia="仿宋_GB2312" w:cs="仿宋_GB2312"/>
          <w:b/>
          <w:sz w:val="32"/>
          <w:szCs w:val="32"/>
          <w:lang w:val="en-US"/>
        </w:rPr>
        <w:t>3.</w:t>
      </w:r>
      <w:r>
        <w:rPr>
          <w:rFonts w:hint="eastAsia" w:ascii="仿宋_GB2312" w:hAnsi="仿宋_GB2312" w:eastAsia="仿宋_GB2312" w:cs="仿宋_GB2312"/>
          <w:b/>
          <w:sz w:val="32"/>
          <w:szCs w:val="32"/>
        </w:rPr>
        <w:t>查阅资料。</w:t>
      </w:r>
      <w:r>
        <w:rPr>
          <w:rFonts w:hint="eastAsia" w:ascii="仿宋_GB2312" w:hAnsi="仿宋_GB2312" w:eastAsia="仿宋_GB2312" w:cs="仿宋_GB2312"/>
          <w:sz w:val="32"/>
          <w:szCs w:val="32"/>
        </w:rPr>
        <w:t>查阅社工站</w:t>
      </w:r>
      <w:r>
        <w:rPr>
          <w:rFonts w:hint="eastAsia" w:ascii="仿宋_GB2312" w:hAnsi="仿宋_GB2312" w:eastAsia="仿宋_GB2312" w:cs="仿宋_GB2312"/>
          <w:sz w:val="32"/>
          <w:szCs w:val="32"/>
          <w:lang w:eastAsia="zh-CN"/>
        </w:rPr>
        <w:t>运营</w:t>
      </w:r>
      <w:r>
        <w:rPr>
          <w:rFonts w:hint="eastAsia" w:ascii="仿宋_GB2312" w:hAnsi="仿宋_GB2312" w:eastAsia="仿宋_GB2312" w:cs="仿宋_GB2312"/>
          <w:sz w:val="32"/>
          <w:szCs w:val="32"/>
        </w:rPr>
        <w:t>、人事管理制度及专业服务记录等方面的资料。</w:t>
      </w:r>
    </w:p>
    <w:p w14:paraId="60DD9089">
      <w:pPr>
        <w:pStyle w:val="15"/>
        <w:pageBreakBefore w:val="0"/>
        <w:widowControl w:val="0"/>
        <w:tabs>
          <w:tab w:val="left" w:pos="986"/>
        </w:tabs>
        <w:kinsoku/>
        <w:wordWrap/>
        <w:overflowPunct/>
        <w:topLinePunct w:val="0"/>
        <w:autoSpaceDE/>
        <w:autoSpaceDN/>
        <w:bidi w:val="0"/>
        <w:adjustRightInd/>
        <w:snapToGrid/>
        <w:spacing w:after="0" w:line="520" w:lineRule="exact"/>
        <w:ind w:firstLine="643" w:firstLineChars="200"/>
        <w:jc w:val="both"/>
        <w:textAlignment w:val="auto"/>
        <w:rPr>
          <w:rFonts w:ascii="仿宋_GB2312" w:hAnsi="仿宋_GB2312" w:eastAsia="仿宋_GB2312" w:cs="仿宋_GB2312"/>
          <w:sz w:val="32"/>
          <w:szCs w:val="32"/>
        </w:rPr>
      </w:pPr>
      <w:bookmarkStart w:id="9" w:name="bookmark9"/>
      <w:bookmarkEnd w:id="9"/>
      <w:r>
        <w:rPr>
          <w:rFonts w:hint="eastAsia" w:ascii="仿宋_GB2312" w:hAnsi="仿宋_GB2312" w:eastAsia="仿宋_GB2312" w:cs="仿宋_GB2312"/>
          <w:b/>
          <w:sz w:val="32"/>
          <w:szCs w:val="32"/>
          <w:lang w:val="en-US"/>
        </w:rPr>
        <w:t>4.</w:t>
      </w:r>
      <w:r>
        <w:rPr>
          <w:rFonts w:hint="eastAsia" w:ascii="仿宋_GB2312" w:hAnsi="仿宋_GB2312" w:eastAsia="仿宋_GB2312" w:cs="仿宋_GB2312"/>
          <w:b/>
          <w:sz w:val="32"/>
          <w:szCs w:val="32"/>
          <w:lang w:eastAsia="zh-CN"/>
        </w:rPr>
        <w:t>分组</w:t>
      </w:r>
      <w:r>
        <w:rPr>
          <w:rFonts w:hint="eastAsia" w:ascii="仿宋_GB2312" w:hAnsi="仿宋_GB2312" w:eastAsia="仿宋_GB2312" w:cs="仿宋_GB2312"/>
          <w:b/>
          <w:sz w:val="32"/>
          <w:szCs w:val="32"/>
        </w:rPr>
        <w:t>评估访谈。</w:t>
      </w:r>
      <w:r>
        <w:rPr>
          <w:rFonts w:hint="eastAsia" w:ascii="仿宋_GB2312" w:hAnsi="仿宋_GB2312" w:eastAsia="仿宋_GB2312" w:cs="仿宋_GB2312"/>
          <w:sz w:val="32"/>
          <w:szCs w:val="32"/>
        </w:rPr>
        <w:t>评委与社工进行访谈，了解社工服务推进情况，了解社工对服务的理解，以及开展服务的总结反思。</w:t>
      </w:r>
    </w:p>
    <w:p w14:paraId="5C9451F7">
      <w:pPr>
        <w:pStyle w:val="15"/>
        <w:pageBreakBefore w:val="0"/>
        <w:widowControl w:val="0"/>
        <w:tabs>
          <w:tab w:val="left" w:pos="986"/>
        </w:tabs>
        <w:kinsoku/>
        <w:wordWrap/>
        <w:overflowPunct/>
        <w:topLinePunct w:val="0"/>
        <w:autoSpaceDE/>
        <w:autoSpaceDN/>
        <w:bidi w:val="0"/>
        <w:adjustRightInd/>
        <w:snapToGrid/>
        <w:spacing w:after="0" w:line="520" w:lineRule="exact"/>
        <w:ind w:firstLine="643" w:firstLineChars="200"/>
        <w:jc w:val="both"/>
        <w:textAlignment w:val="auto"/>
        <w:rPr>
          <w:rFonts w:ascii="仿宋_GB2312" w:hAnsi="仿宋_GB2312" w:eastAsia="仿宋_GB2312" w:cs="仿宋_GB2312"/>
          <w:sz w:val="32"/>
          <w:szCs w:val="32"/>
        </w:rPr>
      </w:pPr>
      <w:bookmarkStart w:id="10" w:name="bookmark10"/>
      <w:bookmarkEnd w:id="10"/>
      <w:r>
        <w:rPr>
          <w:rFonts w:hint="eastAsia" w:ascii="仿宋_GB2312" w:hAnsi="仿宋_GB2312" w:eastAsia="仿宋_GB2312" w:cs="仿宋_GB2312"/>
          <w:b/>
          <w:sz w:val="32"/>
          <w:szCs w:val="32"/>
          <w:lang w:val="en-US"/>
        </w:rPr>
        <w:t>5.</w:t>
      </w:r>
      <w:bookmarkStart w:id="11" w:name="bookmark12"/>
      <w:bookmarkEnd w:id="11"/>
      <w:r>
        <w:rPr>
          <w:rFonts w:hint="eastAsia" w:ascii="仿宋_GB2312" w:hAnsi="仿宋_GB2312" w:eastAsia="仿宋_GB2312" w:cs="仿宋_GB2312"/>
          <w:b/>
          <w:sz w:val="32"/>
          <w:szCs w:val="32"/>
        </w:rPr>
        <w:t>总结反馈。</w:t>
      </w:r>
      <w:r>
        <w:rPr>
          <w:rFonts w:hint="eastAsia" w:ascii="仿宋_GB2312" w:hAnsi="仿宋_GB2312" w:eastAsia="仿宋_GB2312" w:cs="仿宋_GB2312"/>
          <w:sz w:val="32"/>
          <w:szCs w:val="32"/>
        </w:rPr>
        <w:t>由评委团队对评估进行总结，与社工站社工进行反馈，听取街道购买方对社工站工作开展的意见和建议，了解社工站同事对本次活动的反馈。</w:t>
      </w:r>
    </w:p>
    <w:p w14:paraId="4AB77F66">
      <w:pPr>
        <w:pStyle w:val="15"/>
        <w:pageBreakBefore w:val="0"/>
        <w:widowControl w:val="0"/>
        <w:kinsoku/>
        <w:wordWrap/>
        <w:overflowPunct/>
        <w:topLinePunct w:val="0"/>
        <w:autoSpaceDE/>
        <w:autoSpaceDN/>
        <w:bidi w:val="0"/>
        <w:adjustRightInd/>
        <w:snapToGrid/>
        <w:spacing w:after="0" w:line="520" w:lineRule="exact"/>
        <w:ind w:firstLine="643" w:firstLineChars="200"/>
        <w:jc w:val="both"/>
        <w:textAlignment w:val="auto"/>
        <w:rPr>
          <w:rFonts w:ascii="仿宋_GB2312" w:hAnsi="仿宋_GB2312" w:eastAsia="仿宋_GB2312" w:cs="仿宋_GB2312"/>
          <w:b/>
          <w:sz w:val="32"/>
          <w:szCs w:val="32"/>
        </w:rPr>
      </w:pPr>
      <w:bookmarkStart w:id="12" w:name="bookmark13"/>
      <w:r>
        <w:rPr>
          <w:rFonts w:hint="eastAsia" w:ascii="仿宋_GB2312" w:hAnsi="仿宋_GB2312" w:eastAsia="仿宋_GB2312" w:cs="仿宋_GB2312"/>
          <w:b/>
          <w:sz w:val="32"/>
          <w:szCs w:val="32"/>
        </w:rPr>
        <w:t>（</w:t>
      </w:r>
      <w:bookmarkEnd w:id="12"/>
      <w:r>
        <w:rPr>
          <w:rFonts w:hint="eastAsia" w:ascii="仿宋_GB2312" w:hAnsi="仿宋_GB2312" w:eastAsia="仿宋_GB2312" w:cs="仿宋_GB2312"/>
          <w:b/>
          <w:sz w:val="32"/>
          <w:szCs w:val="32"/>
        </w:rPr>
        <w:t>一）评估依据</w:t>
      </w:r>
    </w:p>
    <w:p w14:paraId="7B164B79">
      <w:pPr>
        <w:pStyle w:val="15"/>
        <w:pageBreakBefore w:val="0"/>
        <w:widowControl w:val="0"/>
        <w:numPr>
          <w:ilvl w:val="0"/>
          <w:numId w:val="1"/>
        </w:numPr>
        <w:tabs>
          <w:tab w:val="left" w:pos="981"/>
        </w:tabs>
        <w:kinsoku/>
        <w:wordWrap/>
        <w:overflowPunct/>
        <w:topLinePunct w:val="0"/>
        <w:autoSpaceDE/>
        <w:autoSpaceDN/>
        <w:bidi w:val="0"/>
        <w:adjustRightInd/>
        <w:snapToGrid/>
        <w:spacing w:after="0" w:line="520" w:lineRule="exact"/>
        <w:ind w:firstLine="643" w:firstLineChars="200"/>
        <w:jc w:val="both"/>
        <w:textAlignment w:val="auto"/>
        <w:rPr>
          <w:rFonts w:ascii="仿宋_GB2312" w:hAnsi="仿宋_GB2312" w:eastAsia="仿宋_GB2312" w:cs="仿宋_GB2312"/>
          <w:sz w:val="32"/>
          <w:szCs w:val="32"/>
        </w:rPr>
      </w:pPr>
      <w:bookmarkStart w:id="13" w:name="bookmark14"/>
      <w:bookmarkEnd w:id="13"/>
      <w:r>
        <w:rPr>
          <w:rFonts w:hint="eastAsia" w:ascii="仿宋_GB2312" w:hAnsi="仿宋_GB2312" w:eastAsia="仿宋_GB2312" w:cs="仿宋_GB2312"/>
          <w:b/>
          <w:bCs/>
          <w:sz w:val="32"/>
          <w:szCs w:val="32"/>
        </w:rPr>
        <w:t>政策依据：</w:t>
      </w:r>
      <w:r>
        <w:rPr>
          <w:rFonts w:hint="eastAsia" w:ascii="仿宋_GB2312" w:hAnsi="仿宋_GB2312" w:eastAsia="仿宋_GB2312" w:cs="仿宋_GB2312"/>
          <w:sz w:val="32"/>
          <w:szCs w:val="32"/>
        </w:rPr>
        <w:t>《社会工作服务项目绩效评估指南》《广州市社工服务站管理办法》《广州市社工站购买服务项目评估办法》《广州市社工站岗位职责》《广州市社会工作服务条例》《广州市社工站购买服务项目服务清单（民政领域社会工作）》《广州市社工站购买服务项目服务标准》等。</w:t>
      </w:r>
    </w:p>
    <w:p w14:paraId="38EB7861">
      <w:pPr>
        <w:pStyle w:val="15"/>
        <w:pageBreakBefore w:val="0"/>
        <w:widowControl w:val="0"/>
        <w:numPr>
          <w:ilvl w:val="0"/>
          <w:numId w:val="1"/>
        </w:numPr>
        <w:tabs>
          <w:tab w:val="left" w:pos="981"/>
        </w:tabs>
        <w:kinsoku/>
        <w:wordWrap/>
        <w:overflowPunct/>
        <w:topLinePunct w:val="0"/>
        <w:autoSpaceDE/>
        <w:autoSpaceDN/>
        <w:bidi w:val="0"/>
        <w:adjustRightInd/>
        <w:snapToGrid/>
        <w:spacing w:after="0" w:line="520" w:lineRule="exact"/>
        <w:ind w:firstLine="643" w:firstLineChars="200"/>
        <w:jc w:val="both"/>
        <w:textAlignment w:val="auto"/>
        <w:rPr>
          <w:rFonts w:ascii="仿宋_GB2312" w:hAnsi="仿宋_GB2312" w:eastAsia="仿宋_GB2312" w:cs="仿宋_GB2312"/>
          <w:sz w:val="32"/>
          <w:szCs w:val="32"/>
        </w:rPr>
      </w:pPr>
      <w:bookmarkStart w:id="14" w:name="bookmark15"/>
      <w:bookmarkEnd w:id="14"/>
      <w:r>
        <w:rPr>
          <w:rFonts w:hint="eastAsia" w:ascii="仿宋_GB2312" w:hAnsi="仿宋_GB2312" w:eastAsia="仿宋_GB2312" w:cs="仿宋_GB2312"/>
          <w:b/>
          <w:bCs/>
          <w:sz w:val="32"/>
          <w:szCs w:val="32"/>
        </w:rPr>
        <w:t>评估标准依据：</w:t>
      </w:r>
      <w:r>
        <w:rPr>
          <w:rFonts w:hint="eastAsia" w:ascii="仿宋_GB2312" w:hAnsi="仿宋_GB2312" w:eastAsia="仿宋_GB2312" w:cs="仿宋_GB2312"/>
          <w:sz w:val="32"/>
          <w:szCs w:val="32"/>
        </w:rPr>
        <w:t>《广州市社工站购买服务项目评估指标体系》。</w:t>
      </w:r>
    </w:p>
    <w:p w14:paraId="1D06CAD3">
      <w:pPr>
        <w:pStyle w:val="15"/>
        <w:pageBreakBefore w:val="0"/>
        <w:widowControl w:val="0"/>
        <w:kinsoku/>
        <w:wordWrap/>
        <w:overflowPunct/>
        <w:topLinePunct w:val="0"/>
        <w:autoSpaceDE/>
        <w:autoSpaceDN/>
        <w:bidi w:val="0"/>
        <w:adjustRightInd/>
        <w:snapToGrid/>
        <w:spacing w:after="0" w:line="520" w:lineRule="exact"/>
        <w:ind w:firstLine="643" w:firstLineChars="200"/>
        <w:jc w:val="both"/>
        <w:textAlignment w:val="auto"/>
        <w:rPr>
          <w:rFonts w:ascii="仿宋_GB2312" w:hAnsi="仿宋_GB2312" w:eastAsia="仿宋_GB2312" w:cs="仿宋_GB2312"/>
          <w:b/>
          <w:sz w:val="32"/>
          <w:szCs w:val="32"/>
        </w:rPr>
      </w:pPr>
      <w:bookmarkStart w:id="15" w:name="bookmark16"/>
      <w:r>
        <w:rPr>
          <w:rFonts w:hint="eastAsia" w:ascii="仿宋_GB2312" w:hAnsi="仿宋_GB2312" w:eastAsia="仿宋_GB2312" w:cs="仿宋_GB2312"/>
          <w:b/>
          <w:sz w:val="32"/>
          <w:szCs w:val="32"/>
        </w:rPr>
        <w:t>（</w:t>
      </w:r>
      <w:bookmarkEnd w:id="15"/>
      <w:r>
        <w:rPr>
          <w:rFonts w:hint="eastAsia" w:ascii="仿宋_GB2312" w:hAnsi="仿宋_GB2312" w:eastAsia="仿宋_GB2312" w:cs="仿宋_GB2312"/>
          <w:b/>
          <w:sz w:val="32"/>
          <w:szCs w:val="32"/>
        </w:rPr>
        <w:t>二）评估原则</w:t>
      </w:r>
    </w:p>
    <w:p w14:paraId="3CBF2CD8">
      <w:pPr>
        <w:pStyle w:val="15"/>
        <w:pageBreakBefore w:val="0"/>
        <w:widowControl w:val="0"/>
        <w:numPr>
          <w:ilvl w:val="0"/>
          <w:numId w:val="2"/>
        </w:numPr>
        <w:tabs>
          <w:tab w:val="left" w:pos="986"/>
        </w:tabs>
        <w:kinsoku/>
        <w:wordWrap/>
        <w:overflowPunct/>
        <w:topLinePunct w:val="0"/>
        <w:autoSpaceDE/>
        <w:autoSpaceDN/>
        <w:bidi w:val="0"/>
        <w:adjustRightInd/>
        <w:snapToGrid/>
        <w:spacing w:after="0" w:line="520" w:lineRule="exact"/>
        <w:ind w:firstLine="643" w:firstLineChars="200"/>
        <w:jc w:val="both"/>
        <w:textAlignment w:val="auto"/>
        <w:rPr>
          <w:rFonts w:ascii="仿宋_GB2312" w:hAnsi="仿宋_GB2312" w:eastAsia="仿宋_GB2312" w:cs="仿宋_GB2312"/>
          <w:sz w:val="32"/>
          <w:szCs w:val="32"/>
        </w:rPr>
      </w:pPr>
      <w:bookmarkStart w:id="16" w:name="bookmark17"/>
      <w:bookmarkEnd w:id="16"/>
      <w:r>
        <w:rPr>
          <w:rFonts w:hint="eastAsia" w:ascii="仿宋_GB2312" w:hAnsi="仿宋_GB2312" w:eastAsia="仿宋_GB2312" w:cs="仿宋_GB2312"/>
          <w:b/>
          <w:sz w:val="32"/>
          <w:szCs w:val="32"/>
        </w:rPr>
        <w:t>真实诚信原则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评估要求项目运营方必须以实事求是的态度对待评估，本着诚实守信的原则，提供和展示能够真实、客观反映其项目运营状况的依据和有效资料，以供评估小组考察。</w:t>
      </w:r>
    </w:p>
    <w:p w14:paraId="436F509C">
      <w:pPr>
        <w:pStyle w:val="15"/>
        <w:pageBreakBefore w:val="0"/>
        <w:widowControl w:val="0"/>
        <w:numPr>
          <w:ilvl w:val="0"/>
          <w:numId w:val="2"/>
        </w:numPr>
        <w:tabs>
          <w:tab w:val="left" w:pos="991"/>
        </w:tabs>
        <w:kinsoku/>
        <w:wordWrap/>
        <w:overflowPunct/>
        <w:topLinePunct w:val="0"/>
        <w:autoSpaceDE/>
        <w:autoSpaceDN/>
        <w:bidi w:val="0"/>
        <w:adjustRightInd/>
        <w:snapToGrid/>
        <w:spacing w:after="0" w:line="520" w:lineRule="exact"/>
        <w:ind w:firstLine="643" w:firstLineChars="200"/>
        <w:jc w:val="both"/>
        <w:textAlignment w:val="auto"/>
        <w:rPr>
          <w:rFonts w:ascii="仿宋_GB2312" w:hAnsi="仿宋_GB2312" w:eastAsia="仿宋_GB2312" w:cs="仿宋_GB2312"/>
          <w:sz w:val="32"/>
          <w:szCs w:val="32"/>
        </w:rPr>
      </w:pPr>
      <w:bookmarkStart w:id="17" w:name="bookmark18"/>
      <w:bookmarkEnd w:id="17"/>
      <w:r>
        <w:rPr>
          <w:rFonts w:hint="eastAsia" w:ascii="仿宋_GB2312" w:hAnsi="仿宋_GB2312" w:eastAsia="仿宋_GB2312" w:cs="仿宋_GB2312"/>
          <w:b/>
          <w:sz w:val="32"/>
          <w:szCs w:val="32"/>
        </w:rPr>
        <w:t>客观公正原则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评估要求所有评委恪守</w:t>
      </w:r>
      <w:r>
        <w:rPr>
          <w:rFonts w:hint="eastAsia" w:ascii="仿宋_GB2312" w:hAnsi="仿宋_GB2312" w:eastAsia="仿宋_GB2312" w:cs="仿宋_GB2312"/>
          <w:sz w:val="32"/>
          <w:szCs w:val="32"/>
          <w:lang w:val="zh-CN" w:eastAsia="zh-CN" w:bidi="zh-CN"/>
        </w:rPr>
        <w:t>“客</w:t>
      </w:r>
      <w:r>
        <w:rPr>
          <w:rFonts w:hint="eastAsia" w:ascii="仿宋_GB2312" w:hAnsi="仿宋_GB2312" w:eastAsia="仿宋_GB2312" w:cs="仿宋_GB2312"/>
          <w:sz w:val="32"/>
          <w:szCs w:val="32"/>
        </w:rPr>
        <w:t>观公正的第三方”评估者角色，依据事实和真实情况给出客观、中肯评价意见或结论。</w:t>
      </w:r>
    </w:p>
    <w:p w14:paraId="28DB2D34">
      <w:pPr>
        <w:pStyle w:val="15"/>
        <w:pageBreakBefore w:val="0"/>
        <w:widowControl w:val="0"/>
        <w:numPr>
          <w:ilvl w:val="0"/>
          <w:numId w:val="2"/>
        </w:numPr>
        <w:tabs>
          <w:tab w:val="left" w:pos="976"/>
        </w:tabs>
        <w:kinsoku/>
        <w:wordWrap/>
        <w:overflowPunct/>
        <w:topLinePunct w:val="0"/>
        <w:autoSpaceDE/>
        <w:autoSpaceDN/>
        <w:bidi w:val="0"/>
        <w:adjustRightInd/>
        <w:snapToGrid/>
        <w:spacing w:after="0" w:line="520" w:lineRule="exact"/>
        <w:ind w:firstLine="643" w:firstLineChars="200"/>
        <w:jc w:val="both"/>
        <w:textAlignment w:val="auto"/>
        <w:rPr>
          <w:rFonts w:ascii="仿宋_GB2312" w:hAnsi="仿宋_GB2312" w:eastAsia="仿宋_GB2312" w:cs="仿宋_GB2312"/>
          <w:sz w:val="32"/>
          <w:szCs w:val="32"/>
        </w:rPr>
      </w:pPr>
      <w:bookmarkStart w:id="18" w:name="bookmark19"/>
      <w:bookmarkEnd w:id="18"/>
      <w:r>
        <w:rPr>
          <w:rFonts w:hint="eastAsia" w:ascii="仿宋_GB2312" w:hAnsi="仿宋_GB2312" w:eastAsia="仿宋_GB2312" w:cs="仿宋_GB2312"/>
          <w:b/>
          <w:sz w:val="32"/>
          <w:szCs w:val="32"/>
        </w:rPr>
        <w:t>证据为本原则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评估要求项目运营方应提供有事实依据的证明资料或记录，来展示其项目运营的真实状况和成效；同时，评估要求所有评委以真实有效的工作痕迹记录为依据，做出客观公正的专业评估分析和判断。</w:t>
      </w:r>
    </w:p>
    <w:p w14:paraId="478F7BF9">
      <w:pPr>
        <w:pStyle w:val="15"/>
        <w:pageBreakBefore w:val="0"/>
        <w:widowControl w:val="0"/>
        <w:numPr>
          <w:ilvl w:val="0"/>
          <w:numId w:val="2"/>
        </w:numPr>
        <w:tabs>
          <w:tab w:val="left" w:pos="981"/>
        </w:tabs>
        <w:kinsoku/>
        <w:wordWrap/>
        <w:overflowPunct/>
        <w:topLinePunct w:val="0"/>
        <w:autoSpaceDE/>
        <w:autoSpaceDN/>
        <w:bidi w:val="0"/>
        <w:adjustRightInd/>
        <w:snapToGrid/>
        <w:spacing w:after="0" w:line="520" w:lineRule="exact"/>
        <w:ind w:firstLine="643" w:firstLineChars="200"/>
        <w:jc w:val="both"/>
        <w:textAlignment w:val="auto"/>
        <w:rPr>
          <w:rFonts w:ascii="仿宋_GB2312" w:hAnsi="仿宋_GB2312" w:eastAsia="仿宋_GB2312" w:cs="仿宋_GB2312"/>
          <w:sz w:val="32"/>
          <w:szCs w:val="32"/>
        </w:rPr>
      </w:pPr>
      <w:bookmarkStart w:id="19" w:name="bookmark20"/>
      <w:bookmarkEnd w:id="19"/>
      <w:r>
        <w:rPr>
          <w:rFonts w:hint="eastAsia" w:ascii="仿宋_GB2312" w:hAnsi="仿宋_GB2312" w:eastAsia="仿宋_GB2312" w:cs="仿宋_GB2312"/>
          <w:b/>
          <w:sz w:val="32"/>
          <w:szCs w:val="32"/>
        </w:rPr>
        <w:t>以评促进原则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评估要求评委要本着促进项目运营质量和成效的目标原则实施评估活动，给出评估指导意见，评估意见应具体、清晰、可行，能够切实指导项目运营团队持续改善服务成效和质量。</w:t>
      </w:r>
    </w:p>
    <w:p w14:paraId="0D06B331">
      <w:pPr>
        <w:pStyle w:val="15"/>
        <w:pageBreakBefore w:val="0"/>
        <w:widowControl w:val="0"/>
        <w:numPr>
          <w:ilvl w:val="0"/>
          <w:numId w:val="2"/>
        </w:numPr>
        <w:tabs>
          <w:tab w:val="left" w:pos="991"/>
        </w:tabs>
        <w:kinsoku/>
        <w:wordWrap/>
        <w:overflowPunct/>
        <w:topLinePunct w:val="0"/>
        <w:autoSpaceDE/>
        <w:autoSpaceDN/>
        <w:bidi w:val="0"/>
        <w:adjustRightInd/>
        <w:snapToGrid/>
        <w:spacing w:after="0" w:line="520" w:lineRule="exact"/>
        <w:ind w:firstLine="643" w:firstLineChars="200"/>
        <w:jc w:val="both"/>
        <w:textAlignment w:val="auto"/>
        <w:rPr>
          <w:rFonts w:ascii="仿宋_GB2312" w:hAnsi="仿宋_GB2312" w:eastAsia="仿宋_GB2312" w:cs="仿宋_GB2312"/>
          <w:sz w:val="32"/>
          <w:szCs w:val="32"/>
        </w:rPr>
      </w:pPr>
      <w:bookmarkStart w:id="20" w:name="bookmark21"/>
      <w:bookmarkEnd w:id="20"/>
      <w:r>
        <w:rPr>
          <w:rFonts w:hint="eastAsia" w:ascii="仿宋_GB2312" w:hAnsi="仿宋_GB2312" w:eastAsia="仿宋_GB2312" w:cs="仿宋_GB2312"/>
          <w:b/>
          <w:sz w:val="32"/>
          <w:szCs w:val="32"/>
        </w:rPr>
        <w:t>回避监督原则：</w:t>
      </w:r>
      <w:r>
        <w:rPr>
          <w:rFonts w:hint="eastAsia" w:ascii="仿宋_GB2312" w:hAnsi="仿宋_GB2312" w:eastAsia="仿宋_GB2312" w:cs="仿宋_GB2312"/>
          <w:sz w:val="32"/>
          <w:szCs w:val="32"/>
        </w:rPr>
        <w:t>评估要求评委在评估前与被评估方有单独接触、有利益关系或冲突的，均应回避；被评估方有权监督评估团队的评估工作，并有权提出合理异议或回避要求，以免评估失去公正性和可信度。</w:t>
      </w:r>
    </w:p>
    <w:p w14:paraId="6F4428E5">
      <w:pPr>
        <w:pStyle w:val="15"/>
        <w:pageBreakBefore w:val="0"/>
        <w:widowControl w:val="0"/>
        <w:numPr>
          <w:ilvl w:val="0"/>
          <w:numId w:val="2"/>
        </w:numPr>
        <w:tabs>
          <w:tab w:val="left" w:pos="991"/>
        </w:tabs>
        <w:kinsoku/>
        <w:wordWrap/>
        <w:overflowPunct/>
        <w:topLinePunct w:val="0"/>
        <w:autoSpaceDE/>
        <w:autoSpaceDN/>
        <w:bidi w:val="0"/>
        <w:adjustRightInd/>
        <w:snapToGrid/>
        <w:spacing w:after="0" w:line="520" w:lineRule="exact"/>
        <w:ind w:firstLine="643" w:firstLineChars="200"/>
        <w:jc w:val="both"/>
        <w:textAlignment w:val="auto"/>
        <w:rPr>
          <w:rFonts w:ascii="仿宋_GB2312" w:hAnsi="仿宋_GB2312" w:eastAsia="仿宋_GB2312" w:cs="仿宋_GB2312"/>
          <w:sz w:val="32"/>
          <w:szCs w:val="32"/>
        </w:rPr>
      </w:pPr>
      <w:bookmarkStart w:id="21" w:name="bookmark22"/>
      <w:bookmarkEnd w:id="21"/>
      <w:r>
        <w:rPr>
          <w:rFonts w:hint="eastAsia" w:ascii="仿宋_GB2312" w:hAnsi="仿宋_GB2312" w:eastAsia="仿宋_GB2312" w:cs="仿宋_GB2312"/>
          <w:b/>
          <w:sz w:val="32"/>
          <w:szCs w:val="32"/>
        </w:rPr>
        <w:t>保密尊重原则：</w:t>
      </w:r>
      <w:r>
        <w:rPr>
          <w:rFonts w:hint="eastAsia" w:ascii="仿宋_GB2312" w:hAnsi="仿宋_GB2312" w:eastAsia="仿宋_GB2312" w:cs="仿宋_GB2312"/>
          <w:sz w:val="32"/>
          <w:szCs w:val="32"/>
        </w:rPr>
        <w:t>评估要求评委应尊重和保护其工作中所接触、发现或遇到的涉及服务对象隐私权等所有受法律保护的事项，并依法负有保密职责；评估要求评委在评估过程中应尊重被评估方的所有原创性专业技术、方法等成果，并依法负有保密职责。</w:t>
      </w:r>
    </w:p>
    <w:p w14:paraId="1FF1B602">
      <w:pPr>
        <w:pStyle w:val="15"/>
        <w:pageBreakBefore w:val="0"/>
        <w:widowControl w:val="0"/>
        <w:kinsoku/>
        <w:wordWrap/>
        <w:overflowPunct/>
        <w:topLinePunct w:val="0"/>
        <w:autoSpaceDE/>
        <w:autoSpaceDN/>
        <w:bidi w:val="0"/>
        <w:adjustRightInd/>
        <w:snapToGrid/>
        <w:spacing w:after="0" w:line="520" w:lineRule="exact"/>
        <w:ind w:firstLine="643" w:firstLineChars="200"/>
        <w:jc w:val="both"/>
        <w:textAlignment w:val="auto"/>
        <w:rPr>
          <w:rFonts w:ascii="仿宋_GB2312" w:hAnsi="仿宋_GB2312" w:eastAsia="仿宋_GB2312" w:cs="仿宋_GB2312"/>
          <w:b/>
          <w:sz w:val="32"/>
          <w:szCs w:val="32"/>
        </w:rPr>
      </w:pPr>
      <w:bookmarkStart w:id="22" w:name="bookmark23"/>
      <w:r>
        <w:rPr>
          <w:rFonts w:hint="eastAsia" w:ascii="仿宋_GB2312" w:hAnsi="仿宋_GB2312" w:eastAsia="仿宋_GB2312" w:cs="仿宋_GB2312"/>
          <w:b/>
          <w:sz w:val="32"/>
          <w:szCs w:val="32"/>
        </w:rPr>
        <w:t>（</w:t>
      </w:r>
      <w:bookmarkEnd w:id="22"/>
      <w:r>
        <w:rPr>
          <w:rFonts w:hint="eastAsia" w:ascii="仿宋_GB2312" w:hAnsi="仿宋_GB2312" w:eastAsia="仿宋_GB2312" w:cs="仿宋_GB2312"/>
          <w:b/>
          <w:sz w:val="32"/>
          <w:szCs w:val="32"/>
        </w:rPr>
        <w:t>三）评估阶段</w:t>
      </w:r>
    </w:p>
    <w:p w14:paraId="101A833E">
      <w:pPr>
        <w:pStyle w:val="15"/>
        <w:pageBreakBefore w:val="0"/>
        <w:widowControl w:val="0"/>
        <w:numPr>
          <w:ilvl w:val="0"/>
          <w:numId w:val="3"/>
        </w:numPr>
        <w:tabs>
          <w:tab w:val="left" w:pos="992"/>
        </w:tabs>
        <w:kinsoku/>
        <w:wordWrap/>
        <w:overflowPunct/>
        <w:topLinePunct w:val="0"/>
        <w:autoSpaceDE/>
        <w:autoSpaceDN/>
        <w:bidi w:val="0"/>
        <w:adjustRightInd/>
        <w:snapToGrid/>
        <w:spacing w:after="0" w:line="520" w:lineRule="exact"/>
        <w:ind w:firstLine="643" w:firstLineChars="200"/>
        <w:jc w:val="both"/>
        <w:textAlignment w:val="auto"/>
        <w:rPr>
          <w:rFonts w:ascii="仿宋_GB2312" w:hAnsi="仿宋_GB2312" w:eastAsia="仿宋_GB2312" w:cs="仿宋_GB2312"/>
          <w:b/>
          <w:sz w:val="32"/>
          <w:szCs w:val="32"/>
        </w:rPr>
      </w:pPr>
      <w:bookmarkStart w:id="23" w:name="bookmark24"/>
      <w:bookmarkEnd w:id="23"/>
      <w:r>
        <w:rPr>
          <w:rFonts w:hint="eastAsia" w:ascii="仿宋_GB2312" w:hAnsi="仿宋_GB2312" w:eastAsia="仿宋_GB2312" w:cs="仿宋_GB2312"/>
          <w:b/>
          <w:sz w:val="32"/>
          <w:szCs w:val="32"/>
          <w:lang w:eastAsia="zh-CN"/>
        </w:rPr>
        <w:t>制定评估计划</w:t>
      </w:r>
    </w:p>
    <w:p w14:paraId="58B5912D">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番禺区民政局会同</w:t>
      </w:r>
      <w:r>
        <w:rPr>
          <w:rFonts w:hint="eastAsia" w:ascii="仿宋_GB2312" w:hAnsi="仿宋_GB2312" w:eastAsia="仿宋_GB2312" w:cs="仿宋_GB2312"/>
          <w:sz w:val="32"/>
          <w:szCs w:val="32"/>
          <w:lang w:val="en-US"/>
        </w:rPr>
        <w:t>番禺区社会组织联合会</w:t>
      </w:r>
      <w:r>
        <w:rPr>
          <w:rFonts w:hint="eastAsia" w:ascii="仿宋_GB2312" w:hAnsi="仿宋_GB2312" w:eastAsia="仿宋_GB2312" w:cs="仿宋_GB2312"/>
          <w:sz w:val="32"/>
          <w:szCs w:val="32"/>
          <w:lang w:eastAsia="zh-CN"/>
        </w:rPr>
        <w:t>根据最新管理办法要求及新造镇社工站项目合同期限确定评估时间，制定好评估计划和评估通知。</w:t>
      </w:r>
    </w:p>
    <w:p w14:paraId="6B28EA3C">
      <w:pPr>
        <w:pStyle w:val="15"/>
        <w:pageBreakBefore w:val="0"/>
        <w:widowControl w:val="0"/>
        <w:numPr>
          <w:ilvl w:val="0"/>
          <w:numId w:val="3"/>
        </w:numPr>
        <w:tabs>
          <w:tab w:val="left" w:pos="992"/>
        </w:tabs>
        <w:kinsoku/>
        <w:wordWrap/>
        <w:overflowPunct/>
        <w:topLinePunct w:val="0"/>
        <w:autoSpaceDE/>
        <w:autoSpaceDN/>
        <w:bidi w:val="0"/>
        <w:adjustRightInd/>
        <w:snapToGrid/>
        <w:spacing w:after="0" w:line="520" w:lineRule="exact"/>
        <w:ind w:firstLine="643"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自我评审阶段</w:t>
      </w:r>
    </w:p>
    <w:p w14:paraId="78F26021">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新造镇</w:t>
      </w:r>
      <w:r>
        <w:rPr>
          <w:rFonts w:hint="eastAsia" w:ascii="仿宋_GB2312" w:hAnsi="仿宋_GB2312" w:eastAsia="仿宋_GB2312" w:cs="仿宋_GB2312"/>
          <w:sz w:val="32"/>
          <w:szCs w:val="32"/>
        </w:rPr>
        <w:t>社工站结合《广州市社工站购买服务项目评估指标体系》和签订的服务协议，逐项对照，准备材料，结合实际进行自我评估，并完成自评报告的报送工作。</w:t>
      </w:r>
    </w:p>
    <w:p w14:paraId="4B74F70C">
      <w:pPr>
        <w:pStyle w:val="15"/>
        <w:pageBreakBefore w:val="0"/>
        <w:widowControl w:val="0"/>
        <w:numPr>
          <w:ilvl w:val="0"/>
          <w:numId w:val="3"/>
        </w:numPr>
        <w:tabs>
          <w:tab w:val="left" w:pos="1001"/>
        </w:tabs>
        <w:kinsoku/>
        <w:wordWrap/>
        <w:overflowPunct/>
        <w:topLinePunct w:val="0"/>
        <w:autoSpaceDE/>
        <w:autoSpaceDN/>
        <w:bidi w:val="0"/>
        <w:adjustRightInd/>
        <w:snapToGrid/>
        <w:spacing w:after="0" w:line="520" w:lineRule="exact"/>
        <w:ind w:firstLine="643" w:firstLineChars="200"/>
        <w:jc w:val="both"/>
        <w:textAlignment w:val="auto"/>
        <w:rPr>
          <w:rFonts w:ascii="仿宋_GB2312" w:hAnsi="仿宋_GB2312" w:eastAsia="仿宋_GB2312" w:cs="仿宋_GB2312"/>
          <w:b/>
          <w:sz w:val="32"/>
          <w:szCs w:val="32"/>
        </w:rPr>
      </w:pPr>
      <w:bookmarkStart w:id="24" w:name="bookmark25"/>
      <w:bookmarkEnd w:id="24"/>
      <w:r>
        <w:rPr>
          <w:rFonts w:hint="eastAsia" w:ascii="仿宋_GB2312" w:hAnsi="仿宋_GB2312" w:eastAsia="仿宋_GB2312" w:cs="仿宋_GB2312"/>
          <w:b/>
          <w:sz w:val="32"/>
          <w:szCs w:val="32"/>
        </w:rPr>
        <w:t>实地评估阶段</w:t>
      </w:r>
    </w:p>
    <w:p w14:paraId="18772169">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评估小组根据评估计划组织实施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对</w:t>
      </w:r>
      <w:r>
        <w:rPr>
          <w:rFonts w:hint="eastAsia" w:ascii="仿宋_GB2312" w:hAnsi="仿宋_GB2312" w:eastAsia="仿宋_GB2312" w:cs="仿宋_GB2312"/>
          <w:sz w:val="32"/>
          <w:szCs w:val="32"/>
          <w:lang w:val="en-US" w:eastAsia="zh-CN"/>
        </w:rPr>
        <w:t>新造镇</w:t>
      </w:r>
      <w:r>
        <w:rPr>
          <w:rFonts w:hint="eastAsia" w:ascii="仿宋_GB2312" w:hAnsi="仿宋_GB2312" w:eastAsia="仿宋_GB2312" w:cs="仿宋_GB2312"/>
          <w:sz w:val="32"/>
          <w:szCs w:val="32"/>
        </w:rPr>
        <w:t>社工站提供的材料进行审阅，实地考察，进行现场评估并打分。评估小组根据公平、公正的原则，严格按照评估要求，对</w:t>
      </w:r>
      <w:r>
        <w:rPr>
          <w:rFonts w:hint="eastAsia" w:ascii="仿宋_GB2312" w:hAnsi="仿宋_GB2312" w:eastAsia="仿宋_GB2312" w:cs="仿宋_GB2312"/>
          <w:sz w:val="32"/>
          <w:szCs w:val="32"/>
          <w:lang w:val="en-US" w:eastAsia="zh-CN"/>
        </w:rPr>
        <w:t>新造镇</w:t>
      </w:r>
      <w:r>
        <w:rPr>
          <w:rFonts w:hint="eastAsia" w:ascii="仿宋_GB2312" w:hAnsi="仿宋_GB2312" w:eastAsia="仿宋_GB2312" w:cs="仿宋_GB2312"/>
          <w:sz w:val="32"/>
          <w:szCs w:val="32"/>
        </w:rPr>
        <w:t>社工站进行评估工作。</w:t>
      </w:r>
    </w:p>
    <w:p w14:paraId="368D7EE5">
      <w:pPr>
        <w:pStyle w:val="15"/>
        <w:pageBreakBefore w:val="0"/>
        <w:widowControl w:val="0"/>
        <w:numPr>
          <w:ilvl w:val="0"/>
          <w:numId w:val="3"/>
        </w:numPr>
        <w:tabs>
          <w:tab w:val="left" w:pos="1006"/>
        </w:tabs>
        <w:kinsoku/>
        <w:wordWrap/>
        <w:overflowPunct/>
        <w:topLinePunct w:val="0"/>
        <w:autoSpaceDE/>
        <w:autoSpaceDN/>
        <w:bidi w:val="0"/>
        <w:adjustRightInd/>
        <w:snapToGrid/>
        <w:spacing w:after="0" w:line="520" w:lineRule="exact"/>
        <w:ind w:firstLine="643" w:firstLineChars="200"/>
        <w:jc w:val="both"/>
        <w:textAlignment w:val="auto"/>
        <w:rPr>
          <w:rFonts w:ascii="仿宋_GB2312" w:hAnsi="仿宋_GB2312" w:eastAsia="仿宋_GB2312" w:cs="仿宋_GB2312"/>
          <w:sz w:val="32"/>
          <w:szCs w:val="32"/>
        </w:rPr>
      </w:pPr>
      <w:bookmarkStart w:id="25" w:name="bookmark26"/>
      <w:bookmarkEnd w:id="25"/>
      <w:r>
        <w:rPr>
          <w:rFonts w:hint="eastAsia" w:ascii="仿宋_GB2312" w:hAnsi="仿宋_GB2312" w:eastAsia="仿宋_GB2312" w:cs="仿宋_GB2312"/>
          <w:b/>
          <w:sz w:val="32"/>
          <w:szCs w:val="32"/>
        </w:rPr>
        <w:t>反馈初评意见</w:t>
      </w:r>
    </w:p>
    <w:p w14:paraId="0D76B2A9">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综合评委专家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监督方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购买方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市督导中心意见和建议，在评估工作结束后5个工作日内，向</w:t>
      </w:r>
      <w:r>
        <w:rPr>
          <w:rFonts w:hint="eastAsia" w:ascii="仿宋_GB2312" w:hAnsi="仿宋_GB2312" w:eastAsia="仿宋_GB2312" w:cs="仿宋_GB2312"/>
          <w:sz w:val="32"/>
          <w:szCs w:val="32"/>
          <w:lang w:eastAsia="zh-CN"/>
        </w:rPr>
        <w:t>番禺区</w:t>
      </w:r>
      <w:r>
        <w:rPr>
          <w:rFonts w:hint="eastAsia" w:ascii="仿宋_GB2312" w:hAnsi="仿宋_GB2312" w:eastAsia="仿宋_GB2312" w:cs="仿宋_GB2312"/>
          <w:sz w:val="32"/>
          <w:szCs w:val="32"/>
        </w:rPr>
        <w:t>民政局、</w:t>
      </w:r>
      <w:r>
        <w:rPr>
          <w:rFonts w:hint="eastAsia" w:ascii="仿宋_GB2312" w:hAnsi="仿宋_GB2312" w:eastAsia="仿宋_GB2312" w:cs="仿宋_GB2312"/>
          <w:sz w:val="32"/>
          <w:szCs w:val="32"/>
          <w:lang w:val="en-US" w:eastAsia="zh-CN"/>
        </w:rPr>
        <w:t>新造镇政府</w:t>
      </w:r>
      <w:r>
        <w:rPr>
          <w:rFonts w:hint="eastAsia" w:ascii="仿宋_GB2312" w:hAnsi="仿宋_GB2312" w:eastAsia="仿宋_GB2312" w:cs="仿宋_GB2312"/>
          <w:sz w:val="32"/>
          <w:szCs w:val="32"/>
        </w:rPr>
        <w:t>及</w:t>
      </w:r>
      <w:r>
        <w:rPr>
          <w:rFonts w:hint="eastAsia" w:ascii="仿宋_GB2312" w:hAnsi="仿宋_GB2312" w:eastAsia="仿宋_GB2312" w:cs="仿宋_GB2312"/>
          <w:sz w:val="32"/>
          <w:szCs w:val="32"/>
          <w:lang w:val="en-US" w:eastAsia="zh-CN"/>
        </w:rPr>
        <w:t>新造镇</w:t>
      </w:r>
      <w:r>
        <w:rPr>
          <w:rFonts w:hint="eastAsia" w:ascii="仿宋_GB2312" w:hAnsi="仿宋_GB2312" w:eastAsia="仿宋_GB2312" w:cs="仿宋_GB2312"/>
          <w:sz w:val="32"/>
          <w:szCs w:val="32"/>
        </w:rPr>
        <w:t>社工站反馈初评意见，对评估结果、存在问题及改进建议等进行沟通确认</w:t>
      </w:r>
      <w:r>
        <w:rPr>
          <w:rFonts w:hint="eastAsia" w:ascii="仿宋_GB2312" w:hAnsi="仿宋_GB2312" w:eastAsia="仿宋_GB2312" w:cs="仿宋_GB2312"/>
          <w:sz w:val="32"/>
          <w:szCs w:val="32"/>
          <w:lang w:eastAsia="zh-CN"/>
        </w:rPr>
        <w:t>。</w:t>
      </w:r>
    </w:p>
    <w:p w14:paraId="3F213060">
      <w:pPr>
        <w:pStyle w:val="15"/>
        <w:pageBreakBefore w:val="0"/>
        <w:widowControl w:val="0"/>
        <w:numPr>
          <w:ilvl w:val="0"/>
          <w:numId w:val="3"/>
        </w:numPr>
        <w:tabs>
          <w:tab w:val="left" w:pos="1006"/>
        </w:tabs>
        <w:kinsoku/>
        <w:wordWrap/>
        <w:overflowPunct/>
        <w:topLinePunct w:val="0"/>
        <w:autoSpaceDE/>
        <w:autoSpaceDN/>
        <w:bidi w:val="0"/>
        <w:adjustRightInd/>
        <w:snapToGrid/>
        <w:spacing w:after="0" w:line="520" w:lineRule="exact"/>
        <w:ind w:firstLine="643" w:firstLineChars="200"/>
        <w:jc w:val="both"/>
        <w:textAlignment w:val="auto"/>
        <w:rPr>
          <w:rFonts w:ascii="仿宋_GB2312" w:hAnsi="仿宋_GB2312" w:eastAsia="仿宋_GB2312" w:cs="仿宋_GB2312"/>
          <w:b/>
          <w:sz w:val="32"/>
          <w:szCs w:val="32"/>
        </w:rPr>
      </w:pPr>
      <w:bookmarkStart w:id="26" w:name="bookmark27"/>
      <w:bookmarkEnd w:id="26"/>
      <w:r>
        <w:rPr>
          <w:rFonts w:hint="eastAsia" w:ascii="仿宋_GB2312" w:hAnsi="仿宋_GB2312" w:eastAsia="仿宋_GB2312" w:cs="仿宋_GB2312"/>
          <w:b/>
          <w:sz w:val="32"/>
          <w:szCs w:val="32"/>
        </w:rPr>
        <w:t>出具</w:t>
      </w:r>
      <w:r>
        <w:rPr>
          <w:rFonts w:hint="eastAsia" w:ascii="仿宋_GB2312" w:hAnsi="仿宋_GB2312" w:eastAsia="仿宋_GB2312" w:cs="仿宋_GB2312"/>
          <w:b/>
          <w:sz w:val="32"/>
          <w:szCs w:val="32"/>
          <w:lang w:eastAsia="zh-CN"/>
        </w:rPr>
        <w:t>中</w:t>
      </w:r>
      <w:r>
        <w:rPr>
          <w:rFonts w:hint="eastAsia" w:ascii="仿宋_GB2312" w:hAnsi="仿宋_GB2312" w:eastAsia="仿宋_GB2312" w:cs="仿宋_GB2312"/>
          <w:b/>
          <w:sz w:val="32"/>
          <w:szCs w:val="32"/>
        </w:rPr>
        <w:t>期评估报告</w:t>
      </w:r>
    </w:p>
    <w:p w14:paraId="4EFDAFED">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hAnsi="仿宋_GB2312" w:eastAsia="PMingLiU" w:cs="仿宋_GB2312"/>
          <w:sz w:val="32"/>
          <w:szCs w:val="32"/>
        </w:rPr>
      </w:pPr>
      <w:r>
        <w:rPr>
          <w:rFonts w:hint="eastAsia" w:ascii="仿宋_GB2312" w:hAnsi="仿宋_GB2312" w:eastAsia="仿宋_GB2312" w:cs="仿宋_GB2312"/>
          <w:sz w:val="32"/>
          <w:szCs w:val="32"/>
        </w:rPr>
        <w:t>在评估工作结束后10个工作日内，向番禺区民政局、</w:t>
      </w:r>
      <w:r>
        <w:rPr>
          <w:rFonts w:hint="eastAsia" w:ascii="仿宋_GB2312" w:hAnsi="仿宋_GB2312" w:eastAsia="仿宋_GB2312" w:cs="仿宋_GB2312"/>
          <w:sz w:val="32"/>
          <w:szCs w:val="32"/>
          <w:lang w:val="en-US" w:eastAsia="zh-CN"/>
        </w:rPr>
        <w:t>新造镇政府</w:t>
      </w:r>
      <w:r>
        <w:rPr>
          <w:rFonts w:hint="eastAsia" w:ascii="仿宋_GB2312" w:hAnsi="仿宋_GB2312" w:eastAsia="仿宋_GB2312" w:cs="仿宋_GB2312"/>
          <w:sz w:val="32"/>
          <w:szCs w:val="32"/>
        </w:rPr>
        <w:t>及</w:t>
      </w:r>
      <w:r>
        <w:rPr>
          <w:rFonts w:hint="eastAsia" w:ascii="仿宋_GB2312" w:hAnsi="仿宋_GB2312" w:eastAsia="仿宋_GB2312" w:cs="仿宋_GB2312"/>
          <w:sz w:val="32"/>
          <w:szCs w:val="32"/>
          <w:lang w:val="en-US" w:eastAsia="zh-CN"/>
        </w:rPr>
        <w:t>新造镇</w:t>
      </w:r>
      <w:r>
        <w:rPr>
          <w:rFonts w:hint="eastAsia" w:ascii="仿宋_GB2312" w:hAnsi="仿宋_GB2312" w:eastAsia="仿宋_GB2312" w:cs="仿宋_GB2312"/>
          <w:sz w:val="32"/>
          <w:szCs w:val="32"/>
        </w:rPr>
        <w:t>社工站各出具一份评估报告，提出项目存在的问题及改进建议。</w:t>
      </w:r>
    </w:p>
    <w:p w14:paraId="2FDDF33D">
      <w:pPr>
        <w:pStyle w:val="15"/>
        <w:pageBreakBefore w:val="0"/>
        <w:widowControl w:val="0"/>
        <w:numPr>
          <w:ilvl w:val="0"/>
          <w:numId w:val="3"/>
        </w:numPr>
        <w:tabs>
          <w:tab w:val="left" w:pos="1006"/>
        </w:tabs>
        <w:kinsoku/>
        <w:wordWrap/>
        <w:overflowPunct/>
        <w:topLinePunct w:val="0"/>
        <w:autoSpaceDE/>
        <w:autoSpaceDN/>
        <w:bidi w:val="0"/>
        <w:adjustRightInd/>
        <w:snapToGrid/>
        <w:spacing w:after="0" w:line="520" w:lineRule="exact"/>
        <w:ind w:firstLine="643"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lang w:eastAsia="zh-CN"/>
        </w:rPr>
        <w:t>公示评估报告及受理评估投诉</w:t>
      </w:r>
    </w:p>
    <w:p w14:paraId="31ACECFE">
      <w:pPr>
        <w:pStyle w:val="15"/>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区民政</w:t>
      </w:r>
      <w:r>
        <w:rPr>
          <w:rFonts w:hint="eastAsia" w:ascii="仿宋_GB2312" w:hAnsi="仿宋_GB2312" w:eastAsia="仿宋_GB2312" w:cs="仿宋_GB2312"/>
          <w:sz w:val="32"/>
          <w:szCs w:val="32"/>
        </w:rPr>
        <w:t>局在收到评估报告后汇总社会救助等有关业务科室意见，于5个工作日内确认评估报告，确认后对</w:t>
      </w:r>
      <w:r>
        <w:rPr>
          <w:rFonts w:hint="eastAsia" w:ascii="仿宋_GB2312" w:hAnsi="仿宋_GB2312" w:eastAsia="仿宋_GB2312" w:cs="仿宋_GB2312"/>
          <w:sz w:val="32"/>
          <w:szCs w:val="32"/>
          <w:lang w:val="en-US" w:eastAsia="zh-CN"/>
        </w:rPr>
        <w:t>新造镇</w:t>
      </w:r>
      <w:r>
        <w:rPr>
          <w:rFonts w:hint="eastAsia" w:ascii="仿宋_GB2312" w:hAnsi="仿宋_GB2312" w:eastAsia="仿宋_GB2312" w:cs="仿宋_GB2312"/>
          <w:sz w:val="32"/>
          <w:szCs w:val="32"/>
        </w:rPr>
        <w:t>社工站项目的评估报告进行公示，公示期不少于7个工作日。</w:t>
      </w:r>
      <w:r>
        <w:rPr>
          <w:rFonts w:hint="eastAsia" w:ascii="仿宋_GB2312" w:hAnsi="仿宋_GB2312" w:eastAsia="仿宋_GB2312" w:cs="仿宋_GB2312"/>
          <w:sz w:val="32"/>
          <w:szCs w:val="32"/>
          <w:lang w:eastAsia="zh-CN"/>
        </w:rPr>
        <w:t>公示期间，如收到对评估报告的质疑或投诉，区民政局及时对评估结果进行复核，并确定最终评估结果，同时将有关处理情况报市民政部门。</w:t>
      </w:r>
    </w:p>
    <w:p w14:paraId="3D2E2A0A">
      <w:pPr>
        <w:pStyle w:val="15"/>
        <w:pageBreakBefore w:val="0"/>
        <w:widowControl w:val="0"/>
        <w:tabs>
          <w:tab w:val="left" w:pos="1006"/>
        </w:tabs>
        <w:kinsoku/>
        <w:wordWrap/>
        <w:overflowPunct/>
        <w:topLinePunct w:val="0"/>
        <w:autoSpaceDE/>
        <w:autoSpaceDN/>
        <w:bidi w:val="0"/>
        <w:adjustRightInd/>
        <w:snapToGrid/>
        <w:spacing w:after="0" w:line="520" w:lineRule="exact"/>
        <w:ind w:left="640" w:firstLine="0"/>
        <w:jc w:val="both"/>
        <w:textAlignment w:val="auto"/>
        <w:rPr>
          <w:rFonts w:ascii="仿宋_GB2312" w:hAnsi="仿宋_GB2312" w:eastAsia="仿宋_GB2312" w:cs="仿宋_GB2312"/>
          <w:b/>
          <w:sz w:val="32"/>
          <w:szCs w:val="32"/>
        </w:rPr>
      </w:pPr>
      <w:bookmarkStart w:id="27" w:name="bookmark28"/>
      <w:r>
        <w:rPr>
          <w:rFonts w:hint="eastAsia" w:ascii="仿宋_GB2312" w:hAnsi="仿宋_GB2312" w:eastAsia="仿宋_GB2312" w:cs="仿宋_GB2312"/>
          <w:b/>
          <w:sz w:val="32"/>
          <w:szCs w:val="32"/>
        </w:rPr>
        <w:t>（</w:t>
      </w:r>
      <w:bookmarkEnd w:id="27"/>
      <w:r>
        <w:rPr>
          <w:rFonts w:hint="eastAsia" w:ascii="仿宋_GB2312" w:hAnsi="仿宋_GB2312" w:eastAsia="仿宋_GB2312" w:cs="仿宋_GB2312"/>
          <w:b/>
          <w:sz w:val="32"/>
          <w:szCs w:val="32"/>
        </w:rPr>
        <w:t>四）评估内容</w:t>
      </w:r>
    </w:p>
    <w:p w14:paraId="771A7C09">
      <w:pPr>
        <w:pStyle w:val="15"/>
        <w:pageBreakBefore w:val="0"/>
        <w:widowControl w:val="0"/>
        <w:kinsoku/>
        <w:wordWrap/>
        <w:overflowPunct/>
        <w:topLinePunct w:val="0"/>
        <w:autoSpaceDE/>
        <w:autoSpaceDN/>
        <w:bidi w:val="0"/>
        <w:adjustRightInd/>
        <w:snapToGrid/>
        <w:spacing w:after="0" w:line="520" w:lineRule="exact"/>
        <w:ind w:firstLine="641" w:firstLineChars="200"/>
        <w:jc w:val="both"/>
        <w:textAlignment w:val="auto"/>
        <w:rPr>
          <w:rFonts w:ascii="仿宋_GB2312" w:hAnsi="仿宋_GB2312" w:eastAsia="PMingLiU" w:cs="仿宋_GB2312"/>
          <w:b/>
          <w:sz w:val="32"/>
          <w:szCs w:val="32"/>
        </w:rPr>
      </w:pPr>
      <w:bookmarkStart w:id="28" w:name="bookmark30"/>
      <w:r>
        <w:rPr>
          <w:rFonts w:ascii="仿宋_GB2312" w:hAnsi="仿宋_GB2312" w:eastAsia="PMingLiU" w:cs="仿宋_GB2312"/>
          <w:b/>
          <w:sz w:val="32"/>
          <w:szCs w:val="32"/>
        </w:rPr>
        <w:t>1.</w:t>
      </w:r>
      <w:r>
        <w:rPr>
          <w:rFonts w:hint="eastAsia" w:ascii="仿宋_GB2312" w:hAnsi="仿宋_GB2312" w:eastAsia="仿宋_GB2312" w:cs="仿宋_GB2312"/>
          <w:b/>
          <w:sz w:val="32"/>
          <w:szCs w:val="32"/>
          <w:lang w:eastAsia="zh-CN"/>
        </w:rPr>
        <w:t>项目</w:t>
      </w:r>
      <w:r>
        <w:rPr>
          <w:rFonts w:ascii="仿宋_GB2312" w:hAnsi="仿宋_GB2312" w:eastAsia="仿宋_GB2312" w:cs="仿宋_GB2312"/>
          <w:b/>
          <w:sz w:val="32"/>
          <w:szCs w:val="32"/>
        </w:rPr>
        <w:t>管理情况评估</w:t>
      </w:r>
    </w:p>
    <w:p w14:paraId="30CCD82F">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hAnsi="仿宋_GB2312" w:eastAsia="仿宋_GB2312" w:cs="仿宋_GB2312"/>
          <w:sz w:val="32"/>
          <w:szCs w:val="32"/>
          <w:lang w:eastAsia="zh-CN"/>
        </w:rPr>
      </w:pPr>
      <w:r>
        <w:rPr>
          <w:rFonts w:ascii="仿宋_GB2312" w:hAnsi="仿宋_GB2312" w:eastAsia="仿宋_GB2312" w:cs="仿宋_GB2312"/>
          <w:sz w:val="32"/>
          <w:szCs w:val="32"/>
          <w:lang w:eastAsia="zh-CN"/>
        </w:rPr>
        <w:t>主要从社工站人员管理、</w:t>
      </w:r>
      <w:r>
        <w:rPr>
          <w:rFonts w:hint="eastAsia" w:ascii="仿宋_GB2312" w:hAnsi="仿宋_GB2312" w:eastAsia="仿宋_GB2312" w:cs="仿宋_GB2312"/>
          <w:sz w:val="32"/>
          <w:szCs w:val="32"/>
          <w:lang w:eastAsia="zh-CN"/>
        </w:rPr>
        <w:t>专业</w:t>
      </w:r>
      <w:r>
        <w:rPr>
          <w:rFonts w:ascii="仿宋_GB2312" w:hAnsi="仿宋_GB2312" w:eastAsia="仿宋_GB2312" w:cs="仿宋_GB2312"/>
          <w:sz w:val="32"/>
          <w:szCs w:val="32"/>
          <w:lang w:eastAsia="zh-CN"/>
        </w:rPr>
        <w:t>规范性管理</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项目宣传等方面进行评估。</w:t>
      </w:r>
    </w:p>
    <w:p w14:paraId="5A41B5F0">
      <w:pPr>
        <w:pStyle w:val="15"/>
        <w:pageBreakBefore w:val="0"/>
        <w:widowControl w:val="0"/>
        <w:kinsoku/>
        <w:wordWrap/>
        <w:overflowPunct/>
        <w:topLinePunct w:val="0"/>
        <w:autoSpaceDE/>
        <w:autoSpaceDN/>
        <w:bidi w:val="0"/>
        <w:adjustRightInd/>
        <w:snapToGrid/>
        <w:spacing w:after="0" w:line="520" w:lineRule="exact"/>
        <w:ind w:firstLine="643"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2.项目服务评估</w:t>
      </w:r>
    </w:p>
    <w:p w14:paraId="15F5BB5C">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hAnsi="仿宋_GB2312" w:eastAsia="仿宋_GB2312" w:cs="仿宋_GB2312"/>
          <w:sz w:val="32"/>
          <w:szCs w:val="32"/>
          <w:lang w:eastAsia="zh-CN"/>
        </w:rPr>
      </w:pPr>
      <w:r>
        <w:rPr>
          <w:rFonts w:ascii="仿宋_GB2312" w:hAnsi="仿宋_GB2312" w:eastAsia="仿宋_GB2312" w:cs="仿宋_GB2312"/>
          <w:sz w:val="32"/>
          <w:szCs w:val="32"/>
          <w:lang w:eastAsia="zh-CN"/>
        </w:rPr>
        <w:t>根据《广州市社工站</w:t>
      </w:r>
      <w:r>
        <w:rPr>
          <w:rFonts w:hint="eastAsia" w:ascii="仿宋_GB2312" w:hAnsi="仿宋_GB2312" w:eastAsia="仿宋_GB2312" w:cs="仿宋_GB2312"/>
          <w:sz w:val="32"/>
          <w:szCs w:val="32"/>
          <w:lang w:eastAsia="zh-CN"/>
        </w:rPr>
        <w:t>购买</w:t>
      </w:r>
      <w:r>
        <w:rPr>
          <w:rFonts w:ascii="仿宋_GB2312" w:hAnsi="仿宋_GB2312" w:eastAsia="仿宋_GB2312" w:cs="仿宋_GB2312"/>
          <w:sz w:val="32"/>
          <w:szCs w:val="32"/>
          <w:lang w:eastAsia="zh-CN"/>
        </w:rPr>
        <w:t>服务项目评估指标体系》，结合社工站与</w:t>
      </w:r>
      <w:r>
        <w:rPr>
          <w:rFonts w:hint="eastAsia" w:ascii="仿宋_GB2312" w:hAnsi="仿宋_GB2312" w:eastAsia="仿宋_GB2312" w:cs="仿宋_GB2312"/>
          <w:sz w:val="32"/>
          <w:szCs w:val="32"/>
          <w:lang w:val="en-US" w:eastAsia="zh-CN"/>
        </w:rPr>
        <w:t>镇政府</w:t>
      </w:r>
      <w:r>
        <w:rPr>
          <w:rFonts w:ascii="仿宋_GB2312" w:hAnsi="仿宋_GB2312" w:eastAsia="仿宋_GB2312" w:cs="仿宋_GB2312"/>
          <w:sz w:val="32"/>
          <w:szCs w:val="32"/>
          <w:lang w:eastAsia="zh-CN"/>
        </w:rPr>
        <w:t>签订的</w:t>
      </w:r>
      <w:r>
        <w:rPr>
          <w:rFonts w:hint="eastAsia" w:ascii="仿宋_GB2312" w:hAnsi="仿宋_GB2312" w:eastAsia="仿宋_GB2312" w:cs="仿宋_GB2312"/>
          <w:sz w:val="32"/>
          <w:szCs w:val="32"/>
          <w:lang w:eastAsia="zh-CN"/>
        </w:rPr>
        <w:t>双</w:t>
      </w:r>
      <w:r>
        <w:rPr>
          <w:rFonts w:ascii="仿宋_GB2312" w:hAnsi="仿宋_GB2312" w:eastAsia="仿宋_GB2312" w:cs="仿宋_GB2312"/>
          <w:sz w:val="32"/>
          <w:szCs w:val="32"/>
          <w:lang w:eastAsia="zh-CN"/>
        </w:rPr>
        <w:t>方协议规定开展的服务内容开展评估工作，主要从</w:t>
      </w:r>
      <w:r>
        <w:rPr>
          <w:rFonts w:hint="eastAsia" w:ascii="仿宋_GB2312" w:hAnsi="仿宋_GB2312" w:eastAsia="仿宋_GB2312" w:cs="仿宋_GB2312"/>
          <w:sz w:val="32"/>
          <w:szCs w:val="32"/>
          <w:lang w:eastAsia="zh-CN"/>
        </w:rPr>
        <w:t>需求</w:t>
      </w:r>
      <w:r>
        <w:rPr>
          <w:rFonts w:ascii="仿宋_GB2312" w:hAnsi="仿宋_GB2312" w:eastAsia="仿宋_GB2312" w:cs="仿宋_GB2312"/>
          <w:sz w:val="32"/>
          <w:szCs w:val="32"/>
          <w:lang w:eastAsia="zh-CN"/>
        </w:rPr>
        <w:t>评估</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服务设计</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服务执行</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服务成效等方面进行评估。</w:t>
      </w:r>
    </w:p>
    <w:p w14:paraId="317BF1BA">
      <w:pPr>
        <w:pStyle w:val="15"/>
        <w:pageBreakBefore w:val="0"/>
        <w:widowControl w:val="0"/>
        <w:kinsoku/>
        <w:wordWrap/>
        <w:overflowPunct/>
        <w:topLinePunct w:val="0"/>
        <w:autoSpaceDE/>
        <w:autoSpaceDN/>
        <w:bidi w:val="0"/>
        <w:adjustRightInd/>
        <w:snapToGrid/>
        <w:spacing w:after="0" w:line="520" w:lineRule="exact"/>
        <w:ind w:firstLine="643" w:firstLineChars="200"/>
        <w:jc w:val="both"/>
        <w:textAlignment w:val="auto"/>
        <w:rPr>
          <w:rFonts w:ascii="仿宋_GB2312" w:hAnsi="仿宋_GB2312" w:eastAsia="仿宋_GB2312" w:cs="仿宋_GB2312"/>
          <w:b/>
          <w:sz w:val="32"/>
          <w:szCs w:val="32"/>
        </w:rPr>
      </w:pPr>
      <w:bookmarkStart w:id="29" w:name="bookmark29"/>
      <w:bookmarkEnd w:id="29"/>
      <w:r>
        <w:rPr>
          <w:rFonts w:ascii="仿宋_GB2312" w:hAnsi="仿宋_GB2312" w:eastAsia="仿宋_GB2312" w:cs="仿宋_GB2312"/>
          <w:b/>
          <w:sz w:val="32"/>
          <w:szCs w:val="32"/>
        </w:rPr>
        <w:t>3</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b/>
          <w:sz w:val="32"/>
          <w:szCs w:val="32"/>
        </w:rPr>
        <w:t>服务</w:t>
      </w:r>
      <w:r>
        <w:rPr>
          <w:rFonts w:ascii="仿宋_GB2312" w:hAnsi="仿宋_GB2312" w:eastAsia="仿宋_GB2312" w:cs="仿宋_GB2312"/>
          <w:b/>
          <w:sz w:val="32"/>
          <w:szCs w:val="32"/>
        </w:rPr>
        <w:t>对象评价</w:t>
      </w:r>
    </w:p>
    <w:p w14:paraId="20E08009">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服务</w:t>
      </w:r>
      <w:r>
        <w:rPr>
          <w:rFonts w:ascii="仿宋_GB2312" w:hAnsi="仿宋_GB2312" w:eastAsia="仿宋_GB2312" w:cs="仿宋_GB2312"/>
          <w:sz w:val="32"/>
          <w:szCs w:val="32"/>
          <w:lang w:eastAsia="zh-CN"/>
        </w:rPr>
        <w:t>对象满意度主要由评估机构统筹实施</w:t>
      </w:r>
      <w:r>
        <w:rPr>
          <w:rFonts w:hint="eastAsia" w:ascii="仿宋_GB2312" w:hAnsi="仿宋_GB2312" w:eastAsia="仿宋_GB2312" w:cs="仿宋_GB2312"/>
          <w:sz w:val="32"/>
          <w:szCs w:val="32"/>
          <w:lang w:eastAsia="zh-CN"/>
        </w:rPr>
        <w:t>，通过电访、走访、调查问卷等方式进行，</w:t>
      </w:r>
      <w:r>
        <w:rPr>
          <w:rFonts w:ascii="仿宋_GB2312" w:hAnsi="仿宋_GB2312" w:eastAsia="仿宋_GB2312" w:cs="仿宋_GB2312"/>
          <w:sz w:val="32"/>
          <w:szCs w:val="32"/>
          <w:lang w:eastAsia="zh-CN"/>
        </w:rPr>
        <w:t>随机抽取不少于</w:t>
      </w:r>
      <w:r>
        <w:rPr>
          <w:rFonts w:hint="eastAsia" w:ascii="仿宋_GB2312" w:hAnsi="仿宋_GB2312" w:eastAsia="仿宋_GB2312" w:cs="仿宋_GB2312"/>
          <w:sz w:val="32"/>
          <w:szCs w:val="32"/>
          <w:lang w:eastAsia="zh-CN"/>
        </w:rPr>
        <w:t>1</w:t>
      </w:r>
      <w:r>
        <w:rPr>
          <w:rFonts w:ascii="仿宋_GB2312" w:hAnsi="仿宋_GB2312" w:eastAsia="仿宋_GB2312" w:cs="仿宋_GB2312"/>
          <w:sz w:val="32"/>
          <w:szCs w:val="32"/>
          <w:lang w:eastAsia="zh-CN"/>
        </w:rPr>
        <w:t>00名服务对象开展满意度调查</w:t>
      </w:r>
      <w:r>
        <w:rPr>
          <w:rFonts w:hint="eastAsia" w:ascii="仿宋_GB2312" w:hAnsi="仿宋_GB2312" w:eastAsia="仿宋_GB2312" w:cs="仿宋_GB2312"/>
          <w:sz w:val="32"/>
          <w:szCs w:val="32"/>
          <w:lang w:eastAsia="zh-CN"/>
        </w:rPr>
        <w:t>（困难群众和特殊群体总人数低于1</w:t>
      </w:r>
      <w:r>
        <w:rPr>
          <w:rFonts w:ascii="仿宋_GB2312" w:hAnsi="仿宋_GB2312" w:eastAsia="仿宋_GB2312" w:cs="仿宋_GB2312"/>
          <w:sz w:val="32"/>
          <w:szCs w:val="32"/>
          <w:lang w:eastAsia="zh-CN"/>
        </w:rPr>
        <w:t>00的</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按照实际人数</w:t>
      </w:r>
      <w:r>
        <w:rPr>
          <w:rFonts w:hint="eastAsia" w:ascii="仿宋_GB2312" w:hAnsi="仿宋_GB2312" w:eastAsia="仿宋_GB2312" w:cs="仿宋_GB2312"/>
          <w:sz w:val="32"/>
          <w:szCs w:val="32"/>
          <w:lang w:eastAsia="zh-CN"/>
        </w:rPr>
        <w:t>开展</w:t>
      </w:r>
      <w:r>
        <w:rPr>
          <w:rFonts w:ascii="仿宋_GB2312" w:hAnsi="仿宋_GB2312" w:eastAsia="仿宋_GB2312" w:cs="仿宋_GB2312"/>
          <w:sz w:val="32"/>
          <w:szCs w:val="32"/>
          <w:lang w:eastAsia="zh-CN"/>
        </w:rPr>
        <w:t>全覆盖满意度调查</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w:t>
      </w:r>
    </w:p>
    <w:p w14:paraId="47AC0F3C">
      <w:pPr>
        <w:pStyle w:val="15"/>
        <w:pageBreakBefore w:val="0"/>
        <w:widowControl w:val="0"/>
        <w:kinsoku/>
        <w:wordWrap/>
        <w:overflowPunct/>
        <w:topLinePunct w:val="0"/>
        <w:autoSpaceDE/>
        <w:autoSpaceDN/>
        <w:bidi w:val="0"/>
        <w:adjustRightInd/>
        <w:snapToGrid/>
        <w:spacing w:after="0" w:line="520" w:lineRule="exact"/>
        <w:ind w:firstLine="643" w:firstLineChars="200"/>
        <w:jc w:val="both"/>
        <w:textAlignment w:val="auto"/>
        <w:rPr>
          <w:rFonts w:ascii="仿宋_GB2312" w:hAnsi="仿宋_GB2312" w:eastAsia="PMingLiU" w:cs="仿宋_GB2312"/>
          <w:b/>
          <w:sz w:val="32"/>
          <w:szCs w:val="32"/>
        </w:rPr>
      </w:pPr>
      <w:r>
        <w:rPr>
          <w:rFonts w:hint="eastAsia" w:ascii="仿宋_GB2312" w:hAnsi="仿宋_GB2312" w:eastAsia="仿宋_GB2312" w:cs="仿宋_GB2312"/>
          <w:b/>
          <w:sz w:val="32"/>
          <w:szCs w:val="32"/>
        </w:rPr>
        <w:t>4</w:t>
      </w:r>
      <w:r>
        <w:rPr>
          <w:rFonts w:ascii="仿宋_GB2312" w:hAnsi="仿宋_GB2312" w:eastAsia="仿宋_GB2312" w:cs="仿宋_GB2312"/>
          <w:b/>
          <w:sz w:val="32"/>
          <w:szCs w:val="32"/>
        </w:rPr>
        <w:t>.收集整理相关方反馈</w:t>
      </w:r>
    </w:p>
    <w:p w14:paraId="1F1AE113">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hAnsi="仿宋_GB2312" w:eastAsia="PMingLiU" w:cs="仿宋_GB2312"/>
          <w:sz w:val="32"/>
          <w:szCs w:val="32"/>
        </w:rPr>
      </w:pPr>
      <w:r>
        <w:rPr>
          <w:rFonts w:hint="eastAsia" w:ascii="仿宋_GB2312" w:hAnsi="仿宋_GB2312" w:eastAsia="仿宋_GB2312" w:cs="仿宋_GB2312"/>
          <w:sz w:val="32"/>
          <w:szCs w:val="32"/>
        </w:rPr>
        <w:t>收集整理相关方意见反馈</w:t>
      </w:r>
      <w:r>
        <w:rPr>
          <w:rFonts w:hint="eastAsia" w:ascii="仿宋_GB2312" w:hAnsi="仿宋_GB2312" w:eastAsia="仿宋_GB2312" w:cs="仿宋_GB2312"/>
          <w:sz w:val="32"/>
          <w:szCs w:val="32"/>
          <w:lang w:eastAsia="zh-CN"/>
        </w:rPr>
        <w:t>，包括</w:t>
      </w:r>
      <w:r>
        <w:rPr>
          <w:rFonts w:hint="eastAsia" w:ascii="仿宋_GB2312" w:hAnsi="仿宋_GB2312" w:eastAsia="仿宋_GB2312" w:cs="仿宋_GB2312"/>
          <w:sz w:val="32"/>
          <w:szCs w:val="32"/>
          <w:lang w:val="en-US" w:eastAsia="zh-CN"/>
        </w:rPr>
        <w:t>镇政府</w:t>
      </w:r>
      <w:r>
        <w:rPr>
          <w:rFonts w:hint="eastAsia" w:ascii="仿宋_GB2312" w:hAnsi="仿宋_GB2312" w:eastAsia="仿宋_GB2312" w:cs="仿宋_GB2312"/>
          <w:sz w:val="32"/>
          <w:szCs w:val="32"/>
        </w:rPr>
        <w:t>购买方</w:t>
      </w:r>
      <w:r>
        <w:rPr>
          <w:rFonts w:hint="eastAsia" w:ascii="仿宋_GB2312" w:hAnsi="仿宋_GB2312" w:eastAsia="仿宋_GB2312" w:cs="仿宋_GB2312"/>
          <w:sz w:val="32"/>
          <w:szCs w:val="32"/>
          <w:lang w:eastAsia="zh-CN"/>
        </w:rPr>
        <w:t>对社工站项目作用发挥情况的综合评价</w:t>
      </w:r>
      <w:r>
        <w:rPr>
          <w:rFonts w:hint="eastAsia" w:ascii="仿宋_GB2312" w:hAnsi="仿宋_GB2312" w:eastAsia="仿宋_GB2312" w:cs="仿宋_GB2312"/>
          <w:sz w:val="32"/>
          <w:szCs w:val="32"/>
        </w:rPr>
        <w:t>，监督方番禺区民政局</w:t>
      </w:r>
      <w:r>
        <w:rPr>
          <w:rFonts w:hint="eastAsia" w:ascii="仿宋_GB2312" w:hAnsi="仿宋_GB2312" w:eastAsia="仿宋_GB2312" w:cs="仿宋_GB2312"/>
          <w:sz w:val="32"/>
          <w:szCs w:val="32"/>
          <w:lang w:eastAsia="zh-CN"/>
        </w:rPr>
        <w:t>对社工站项目的自查自纠检查情况、督查整改落实情况的综合评价，以及</w:t>
      </w:r>
      <w:r>
        <w:rPr>
          <w:rFonts w:hint="eastAsia" w:ascii="仿宋_GB2312" w:hAnsi="仿宋_GB2312" w:eastAsia="仿宋_GB2312" w:cs="仿宋_GB2312"/>
          <w:sz w:val="32"/>
          <w:szCs w:val="32"/>
        </w:rPr>
        <w:t>督导中心</w:t>
      </w:r>
      <w:r>
        <w:rPr>
          <w:rFonts w:hint="eastAsia" w:ascii="仿宋_GB2312" w:hAnsi="仿宋_GB2312" w:eastAsia="仿宋_GB2312" w:cs="仿宋_GB2312"/>
          <w:sz w:val="32"/>
          <w:szCs w:val="32"/>
          <w:lang w:eastAsia="zh-CN"/>
        </w:rPr>
        <w:t>对服务质量保障方面情况的综合评价。</w:t>
      </w:r>
    </w:p>
    <w:p w14:paraId="689E5A8B">
      <w:pPr>
        <w:pStyle w:val="15"/>
        <w:pageBreakBefore w:val="0"/>
        <w:widowControl w:val="0"/>
        <w:tabs>
          <w:tab w:val="left" w:pos="1480"/>
        </w:tabs>
        <w:kinsoku/>
        <w:wordWrap/>
        <w:overflowPunct/>
        <w:topLinePunct w:val="0"/>
        <w:autoSpaceDE/>
        <w:autoSpaceDN/>
        <w:bidi w:val="0"/>
        <w:adjustRightInd/>
        <w:snapToGrid/>
        <w:spacing w:after="0" w:line="520" w:lineRule="exact"/>
        <w:ind w:firstLine="643"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w:t>
      </w:r>
      <w:bookmarkEnd w:id="28"/>
      <w:r>
        <w:rPr>
          <w:rFonts w:hint="eastAsia" w:ascii="仿宋_GB2312" w:hAnsi="仿宋_GB2312" w:eastAsia="仿宋_GB2312" w:cs="仿宋_GB2312"/>
          <w:b/>
          <w:sz w:val="32"/>
          <w:szCs w:val="32"/>
        </w:rPr>
        <w:t>五）评估结果说明</w:t>
      </w:r>
    </w:p>
    <w:p w14:paraId="792471CD">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hAnsi="仿宋_GB2312" w:eastAsia="PMingLiU" w:cs="仿宋_GB2312"/>
          <w:sz w:val="32"/>
          <w:szCs w:val="32"/>
        </w:rPr>
      </w:pPr>
      <w:r>
        <w:rPr>
          <w:rFonts w:hint="eastAsia" w:ascii="仿宋_GB2312" w:hAnsi="仿宋_GB2312" w:eastAsia="仿宋_GB2312" w:cs="仿宋_GB2312"/>
          <w:sz w:val="32"/>
          <w:szCs w:val="32"/>
          <w:lang w:val="en-US"/>
        </w:rPr>
        <w:t>社工站项目评估分值由四方评估分数的总和确定。其中，第三方评估机构评估分值占比</w:t>
      </w:r>
      <w:r>
        <w:rPr>
          <w:rFonts w:ascii="仿宋_GB2312" w:hAnsi="仿宋_GB2312" w:eastAsia="仿宋_GB2312" w:cs="仿宋_GB2312"/>
          <w:sz w:val="32"/>
          <w:szCs w:val="32"/>
          <w:lang w:val="en-US"/>
        </w:rPr>
        <w:t>55</w:t>
      </w:r>
      <w:r>
        <w:rPr>
          <w:rFonts w:hint="eastAsia" w:ascii="仿宋_GB2312" w:hAnsi="仿宋_GB2312" w:eastAsia="仿宋_GB2312" w:cs="仿宋_GB2312"/>
          <w:sz w:val="32"/>
          <w:szCs w:val="32"/>
          <w:lang w:val="en-US"/>
        </w:rPr>
        <w:t>％、督导中心评估分值占比</w:t>
      </w:r>
      <w:r>
        <w:rPr>
          <w:rFonts w:ascii="仿宋_GB2312" w:hAnsi="仿宋_GB2312" w:eastAsia="仿宋_GB2312" w:cs="仿宋_GB2312"/>
          <w:sz w:val="32"/>
          <w:szCs w:val="32"/>
          <w:lang w:val="en-US"/>
        </w:rPr>
        <w:t>15</w:t>
      </w:r>
      <w:r>
        <w:rPr>
          <w:rFonts w:hint="eastAsia" w:ascii="仿宋_GB2312" w:hAnsi="仿宋_GB2312" w:eastAsia="仿宋_GB2312" w:cs="仿宋_GB2312"/>
          <w:sz w:val="32"/>
          <w:szCs w:val="32"/>
          <w:lang w:val="en-US"/>
        </w:rPr>
        <w:t>％、镇人民政府（街道办事处）评估分值占比</w:t>
      </w:r>
      <w:r>
        <w:rPr>
          <w:rFonts w:ascii="仿宋_GB2312" w:hAnsi="仿宋_GB2312" w:eastAsia="仿宋_GB2312" w:cs="仿宋_GB2312"/>
          <w:sz w:val="32"/>
          <w:szCs w:val="32"/>
          <w:lang w:val="en-US"/>
        </w:rPr>
        <w:t>20</w:t>
      </w:r>
      <w:r>
        <w:rPr>
          <w:rFonts w:hint="eastAsia" w:ascii="仿宋_GB2312" w:hAnsi="仿宋_GB2312" w:eastAsia="仿宋_GB2312" w:cs="仿宋_GB2312"/>
          <w:sz w:val="32"/>
          <w:szCs w:val="32"/>
          <w:lang w:val="en-US"/>
        </w:rPr>
        <w:t>％、区民政部门评估分值占比</w:t>
      </w:r>
      <w:r>
        <w:rPr>
          <w:rFonts w:ascii="仿宋_GB2312" w:hAnsi="仿宋_GB2312" w:eastAsia="仿宋_GB2312" w:cs="仿宋_GB2312"/>
          <w:sz w:val="32"/>
          <w:szCs w:val="32"/>
          <w:lang w:val="en-US"/>
        </w:rPr>
        <w:t>10</w:t>
      </w:r>
      <w:r>
        <w:rPr>
          <w:rFonts w:hint="eastAsia" w:ascii="仿宋_GB2312" w:hAnsi="仿宋_GB2312" w:eastAsia="仿宋_GB2312" w:cs="仿宋_GB2312"/>
          <w:sz w:val="32"/>
          <w:szCs w:val="32"/>
          <w:lang w:val="en-US"/>
        </w:rPr>
        <w:t>％。</w:t>
      </w:r>
      <w:r>
        <w:rPr>
          <w:rFonts w:hint="eastAsia" w:ascii="仿宋_GB2312" w:hAnsi="仿宋_GB2312" w:eastAsia="仿宋_GB2312" w:cs="仿宋_GB2312"/>
          <w:sz w:val="32"/>
          <w:szCs w:val="32"/>
        </w:rPr>
        <w:t>评估等级分为优秀、良好、合格、不合格四个等级，90分以上为优秀，80分至90分（不含90分）为良好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60分至80分（不含80分）为合格，60分以下（不含60分）为不合格。评估中若发现有下列情形之一的，评估结果</w:t>
      </w:r>
      <w:r>
        <w:rPr>
          <w:rFonts w:hint="eastAsia" w:ascii="仿宋_GB2312" w:hAnsi="仿宋_GB2312" w:eastAsia="仿宋_GB2312" w:cs="仿宋_GB2312"/>
          <w:sz w:val="32"/>
          <w:szCs w:val="32"/>
          <w:lang w:eastAsia="zh-CN"/>
        </w:rPr>
        <w:t>也确</w:t>
      </w:r>
      <w:r>
        <w:rPr>
          <w:rFonts w:hint="eastAsia" w:ascii="仿宋_GB2312" w:hAnsi="仿宋_GB2312" w:eastAsia="仿宋_GB2312" w:cs="仿宋_GB2312"/>
          <w:sz w:val="32"/>
          <w:szCs w:val="32"/>
        </w:rPr>
        <w:t>定为不合格：</w:t>
      </w:r>
    </w:p>
    <w:p w14:paraId="443138AB">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一</w:t>
      </w:r>
      <w:r>
        <w:rPr>
          <w:rFonts w:hint="eastAsia" w:ascii="仿宋_GB2312" w:eastAsia="仿宋_GB2312"/>
          <w:sz w:val="32"/>
          <w:szCs w:val="32"/>
          <w:lang w:eastAsia="zh-CN"/>
        </w:rPr>
        <w:t>）</w:t>
      </w:r>
      <w:r>
        <w:rPr>
          <w:rFonts w:hint="eastAsia" w:ascii="仿宋_GB2312" w:eastAsia="仿宋_GB2312"/>
          <w:sz w:val="32"/>
          <w:szCs w:val="32"/>
        </w:rPr>
        <w:t>保洁</w:t>
      </w:r>
      <w:r>
        <w:rPr>
          <w:rFonts w:hint="eastAsia" w:ascii="仿宋_GB2312" w:eastAsia="仿宋_GB2312"/>
          <w:sz w:val="32"/>
          <w:szCs w:val="32"/>
          <w:lang w:eastAsia="zh-CN"/>
        </w:rPr>
        <w:t>、</w:t>
      </w:r>
      <w:r>
        <w:rPr>
          <w:rFonts w:hint="eastAsia" w:ascii="仿宋_GB2312" w:eastAsia="仿宋_GB2312"/>
          <w:sz w:val="32"/>
          <w:szCs w:val="32"/>
        </w:rPr>
        <w:t>安保等人员占用社工名额的；</w:t>
      </w:r>
    </w:p>
    <w:p w14:paraId="4E4B20A7">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二</w:t>
      </w:r>
      <w:r>
        <w:rPr>
          <w:rFonts w:hint="eastAsia" w:ascii="仿宋_GB2312" w:eastAsia="仿宋_GB2312"/>
          <w:sz w:val="32"/>
          <w:szCs w:val="32"/>
          <w:lang w:eastAsia="zh-CN"/>
        </w:rPr>
        <w:t>）</w:t>
      </w:r>
      <w:r>
        <w:rPr>
          <w:rFonts w:hint="eastAsia" w:ascii="仿宋_GB2312" w:eastAsia="仿宋_GB2312"/>
          <w:sz w:val="32"/>
          <w:szCs w:val="32"/>
        </w:rPr>
        <w:t>社工人员配备不足的，其中中期评估累计缺少5人次或以上，末期评估累计缺少10人次或以上；</w:t>
      </w:r>
    </w:p>
    <w:p w14:paraId="60964D40">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三</w:t>
      </w:r>
      <w:r>
        <w:rPr>
          <w:rFonts w:hint="eastAsia" w:ascii="仿宋_GB2312" w:eastAsia="仿宋_GB2312"/>
          <w:sz w:val="32"/>
          <w:szCs w:val="32"/>
          <w:lang w:eastAsia="zh-CN"/>
        </w:rPr>
        <w:t>）</w:t>
      </w:r>
      <w:r>
        <w:rPr>
          <w:rFonts w:hint="eastAsia" w:ascii="仿宋_GB2312" w:eastAsia="仿宋_GB2312"/>
          <w:sz w:val="32"/>
          <w:szCs w:val="32"/>
        </w:rPr>
        <w:t>持证社工比例不达标的，其中中期评估累计缺少3人次或以上，末期评估累计缺少6人次或以上；</w:t>
      </w:r>
    </w:p>
    <w:p w14:paraId="37B842C7">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四</w:t>
      </w:r>
      <w:r>
        <w:rPr>
          <w:rFonts w:hint="eastAsia" w:ascii="仿宋_GB2312" w:eastAsia="仿宋_GB2312"/>
          <w:sz w:val="32"/>
          <w:szCs w:val="32"/>
          <w:lang w:eastAsia="zh-CN"/>
        </w:rPr>
        <w:t>）</w:t>
      </w:r>
      <w:r>
        <w:rPr>
          <w:rFonts w:hint="eastAsia" w:ascii="仿宋_GB2312" w:eastAsia="仿宋_GB2312"/>
          <w:sz w:val="32"/>
          <w:szCs w:val="32"/>
        </w:rPr>
        <w:t>年度服务期内人员费用支出比例低于80%的；</w:t>
      </w:r>
    </w:p>
    <w:p w14:paraId="68042FDF">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五</w:t>
      </w:r>
      <w:r>
        <w:rPr>
          <w:rFonts w:hint="eastAsia" w:ascii="仿宋_GB2312" w:eastAsia="仿宋_GB2312"/>
          <w:sz w:val="32"/>
          <w:szCs w:val="32"/>
          <w:lang w:eastAsia="zh-CN"/>
        </w:rPr>
        <w:t>）</w:t>
      </w:r>
      <w:r>
        <w:rPr>
          <w:rFonts w:hint="eastAsia" w:ascii="仿宋_GB2312" w:eastAsia="仿宋_GB2312"/>
          <w:sz w:val="32"/>
          <w:szCs w:val="32"/>
        </w:rPr>
        <w:t>限期内整改不及时、不到位的；</w:t>
      </w:r>
    </w:p>
    <w:p w14:paraId="5AB1D168">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六</w:t>
      </w:r>
      <w:r>
        <w:rPr>
          <w:rFonts w:hint="eastAsia" w:ascii="仿宋_GB2312" w:eastAsia="仿宋_GB2312"/>
          <w:sz w:val="32"/>
          <w:szCs w:val="32"/>
          <w:lang w:eastAsia="zh-CN"/>
        </w:rPr>
        <w:t>）</w:t>
      </w:r>
      <w:r>
        <w:rPr>
          <w:rFonts w:hint="eastAsia" w:ascii="仿宋_GB2312" w:eastAsia="仿宋_GB2312"/>
          <w:sz w:val="32"/>
          <w:szCs w:val="32"/>
        </w:rPr>
        <w:t>专业评估结果为不合格的；</w:t>
      </w:r>
    </w:p>
    <w:p w14:paraId="2EEF39DA">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七</w:t>
      </w:r>
      <w:r>
        <w:rPr>
          <w:rFonts w:hint="eastAsia" w:ascii="仿宋_GB2312" w:eastAsia="仿宋_GB2312"/>
          <w:sz w:val="32"/>
          <w:szCs w:val="32"/>
          <w:lang w:eastAsia="zh-CN"/>
        </w:rPr>
        <w:t>）</w:t>
      </w:r>
      <w:r>
        <w:rPr>
          <w:rFonts w:hint="eastAsia" w:ascii="仿宋_GB2312" w:eastAsia="仿宋_GB2312"/>
          <w:sz w:val="32"/>
          <w:szCs w:val="32"/>
        </w:rPr>
        <w:t>财务评估结果为不合格的；</w:t>
      </w:r>
    </w:p>
    <w:p w14:paraId="3167AC07">
      <w:pPr>
        <w:pStyle w:val="15"/>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ascii="仿宋" w:hAnsi="仿宋" w:eastAsia="仿宋"/>
          <w:sz w:val="32"/>
          <w:szCs w:val="32"/>
        </w:rPr>
      </w:pPr>
      <w:r>
        <w:rPr>
          <w:rFonts w:hint="eastAsia" w:ascii="仿宋_GB2312" w:eastAsia="仿宋_GB2312"/>
          <w:sz w:val="32"/>
          <w:szCs w:val="32"/>
          <w:lang w:eastAsia="zh-CN"/>
        </w:rPr>
        <w:t>（</w:t>
      </w:r>
      <w:r>
        <w:rPr>
          <w:rFonts w:hint="eastAsia" w:ascii="仿宋_GB2312" w:eastAsia="仿宋_GB2312"/>
          <w:sz w:val="32"/>
          <w:szCs w:val="32"/>
        </w:rPr>
        <w:t>八</w:t>
      </w:r>
      <w:r>
        <w:rPr>
          <w:rFonts w:hint="eastAsia" w:ascii="仿宋_GB2312" w:eastAsia="仿宋_GB2312"/>
          <w:sz w:val="32"/>
          <w:szCs w:val="32"/>
          <w:lang w:eastAsia="zh-CN"/>
        </w:rPr>
        <w:t>）</w:t>
      </w:r>
      <w:r>
        <w:rPr>
          <w:rFonts w:hint="eastAsia" w:ascii="仿宋_GB2312" w:eastAsia="仿宋_GB2312"/>
          <w:sz w:val="32"/>
          <w:szCs w:val="32"/>
        </w:rPr>
        <w:t>违反国家法律法规及有关规定的其他情形，情节严重的。</w:t>
      </w:r>
    </w:p>
    <w:p w14:paraId="37FA0500">
      <w:pPr>
        <w:pStyle w:val="13"/>
        <w:keepNext/>
        <w:keepLines/>
        <w:pageBreakBefore w:val="0"/>
        <w:widowControl w:val="0"/>
        <w:kinsoku/>
        <w:wordWrap/>
        <w:overflowPunct/>
        <w:topLinePunct w:val="0"/>
        <w:autoSpaceDE/>
        <w:autoSpaceDN/>
        <w:bidi w:val="0"/>
        <w:adjustRightInd/>
        <w:snapToGrid/>
        <w:spacing w:before="0" w:after="0" w:line="520" w:lineRule="exact"/>
        <w:ind w:firstLine="643"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二、评估总结</w:t>
      </w:r>
    </w:p>
    <w:p w14:paraId="0C913216">
      <w:pPr>
        <w:pStyle w:val="15"/>
        <w:pageBreakBefore w:val="0"/>
        <w:widowControl w:val="0"/>
        <w:kinsoku/>
        <w:wordWrap/>
        <w:overflowPunct/>
        <w:topLinePunct w:val="0"/>
        <w:autoSpaceDE/>
        <w:autoSpaceDN/>
        <w:bidi w:val="0"/>
        <w:adjustRightInd/>
        <w:snapToGrid/>
        <w:spacing w:after="0" w:line="520" w:lineRule="exact"/>
        <w:ind w:firstLine="743"/>
        <w:jc w:val="both"/>
        <w:textAlignment w:val="auto"/>
        <w:rPr>
          <w:rFonts w:ascii="仿宋_GB2312" w:eastAsia="仿宋_GB2312"/>
          <w:b/>
          <w:color w:val="auto"/>
          <w:sz w:val="32"/>
          <w:szCs w:val="32"/>
        </w:rPr>
      </w:pPr>
      <w:r>
        <w:rPr>
          <w:rFonts w:hint="eastAsia" w:ascii="仿宋_GB2312" w:eastAsia="仿宋_GB2312"/>
          <w:b/>
          <w:color w:val="auto"/>
          <w:sz w:val="32"/>
          <w:szCs w:val="32"/>
        </w:rPr>
        <w:t>（―）社工站基本情况</w:t>
      </w:r>
    </w:p>
    <w:p w14:paraId="6518B3E6">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eastAsia="仿宋_GB2312"/>
          <w:color w:val="auto"/>
          <w:sz w:val="32"/>
          <w:szCs w:val="32"/>
          <w:highlight w:val="yellow"/>
          <w:lang w:eastAsia="zh-CN"/>
        </w:rPr>
      </w:pPr>
      <w:r>
        <w:rPr>
          <w:rFonts w:hint="eastAsia" w:ascii="仿宋_GB2312" w:eastAsia="仿宋_GB2312"/>
          <w:color w:val="auto"/>
          <w:sz w:val="32"/>
          <w:szCs w:val="32"/>
          <w:lang w:eastAsia="zh-CN"/>
        </w:rPr>
        <w:t>新造镇</w:t>
      </w:r>
      <w:r>
        <w:rPr>
          <w:rFonts w:hint="eastAsia" w:ascii="仿宋_GB2312" w:eastAsia="仿宋_GB2312"/>
          <w:color w:val="auto"/>
          <w:sz w:val="32"/>
          <w:szCs w:val="32"/>
        </w:rPr>
        <w:t>社工站位于</w:t>
      </w:r>
      <w:r>
        <w:rPr>
          <w:rFonts w:hint="eastAsia" w:ascii="仿宋_GB2312" w:eastAsia="仿宋_GB2312"/>
          <w:color w:val="auto"/>
          <w:sz w:val="32"/>
          <w:szCs w:val="32"/>
          <w:lang w:val="en-US" w:eastAsia="zh-CN"/>
        </w:rPr>
        <w:t>番禺区谷围新村谷围路2号楼2楼。</w:t>
      </w:r>
      <w:r>
        <w:rPr>
          <w:rFonts w:hint="eastAsia" w:ascii="仿宋_GB2312" w:eastAsia="仿宋_GB2312"/>
          <w:color w:val="auto"/>
          <w:sz w:val="32"/>
          <w:szCs w:val="32"/>
          <w:lang w:eastAsia="zh-CN"/>
        </w:rPr>
        <w:t>新造镇社工服务站挂牌成立于2012年6月，从20</w:t>
      </w:r>
      <w:r>
        <w:rPr>
          <w:rFonts w:hint="eastAsia" w:ascii="仿宋_GB2312" w:eastAsia="仿宋_GB2312"/>
          <w:color w:val="auto"/>
          <w:sz w:val="32"/>
          <w:szCs w:val="32"/>
          <w:lang w:val="en-US" w:eastAsia="zh-CN"/>
        </w:rPr>
        <w:t>19</w:t>
      </w:r>
      <w:r>
        <w:rPr>
          <w:rFonts w:hint="eastAsia" w:ascii="仿宋_GB2312" w:eastAsia="仿宋_GB2312"/>
          <w:color w:val="auto"/>
          <w:sz w:val="32"/>
          <w:szCs w:val="32"/>
          <w:lang w:eastAsia="zh-CN"/>
        </w:rPr>
        <w:t>年</w:t>
      </w:r>
      <w:r>
        <w:rPr>
          <w:rFonts w:hint="eastAsia" w:ascii="仿宋_GB2312" w:eastAsia="仿宋_GB2312"/>
          <w:color w:val="auto"/>
          <w:sz w:val="32"/>
          <w:szCs w:val="32"/>
          <w:lang w:val="en-US" w:eastAsia="zh-CN"/>
        </w:rPr>
        <w:t>11</w:t>
      </w:r>
      <w:r>
        <w:rPr>
          <w:rFonts w:hint="eastAsia" w:ascii="仿宋_GB2312" w:eastAsia="仿宋_GB2312"/>
          <w:color w:val="auto"/>
          <w:sz w:val="32"/>
          <w:szCs w:val="32"/>
          <w:lang w:eastAsia="zh-CN"/>
        </w:rPr>
        <w:t>月起至今</w:t>
      </w:r>
      <w:r>
        <w:rPr>
          <w:rFonts w:hint="eastAsia" w:ascii="仿宋_GB2312" w:eastAsia="仿宋_GB2312"/>
          <w:color w:val="auto"/>
          <w:sz w:val="32"/>
          <w:szCs w:val="32"/>
        </w:rPr>
        <w:t>，一直由</w:t>
      </w:r>
      <w:r>
        <w:rPr>
          <w:rFonts w:hint="eastAsia" w:ascii="仿宋_GB2312" w:eastAsia="仿宋_GB2312"/>
          <w:color w:val="auto"/>
          <w:sz w:val="32"/>
          <w:szCs w:val="32"/>
          <w:lang w:eastAsia="zh-CN"/>
        </w:rPr>
        <w:t>广州市洋城社会工作服务中心</w:t>
      </w:r>
      <w:r>
        <w:rPr>
          <w:rFonts w:hint="eastAsia" w:ascii="仿宋_GB2312" w:eastAsia="仿宋_GB2312"/>
          <w:color w:val="auto"/>
          <w:sz w:val="32"/>
          <w:szCs w:val="32"/>
        </w:rPr>
        <w:t>承接运营。</w:t>
      </w:r>
      <w:r>
        <w:rPr>
          <w:rFonts w:hint="eastAsia" w:ascii="仿宋_GB2312" w:eastAsia="仿宋_GB2312"/>
          <w:color w:val="auto"/>
          <w:sz w:val="32"/>
          <w:szCs w:val="32"/>
          <w:lang w:eastAsia="zh-CN"/>
        </w:rPr>
        <w:t>新造镇</w:t>
      </w:r>
      <w:r>
        <w:rPr>
          <w:rFonts w:hint="eastAsia" w:ascii="仿宋_GB2312" w:eastAsia="仿宋_GB2312"/>
          <w:color w:val="auto"/>
          <w:sz w:val="32"/>
          <w:szCs w:val="32"/>
        </w:rPr>
        <w:t>社工站主要服务包括：党建引领服务、兜底性民生服务、基础性民生服务、普惠性民生服务四大板块。</w:t>
      </w:r>
    </w:p>
    <w:p w14:paraId="7722FA0B">
      <w:pPr>
        <w:pStyle w:val="15"/>
        <w:pageBreakBefore w:val="0"/>
        <w:widowControl w:val="0"/>
        <w:kinsoku/>
        <w:wordWrap/>
        <w:overflowPunct/>
        <w:topLinePunct w:val="0"/>
        <w:autoSpaceDE/>
        <w:autoSpaceDN/>
        <w:bidi w:val="0"/>
        <w:adjustRightInd/>
        <w:snapToGrid/>
        <w:spacing w:after="0" w:line="520" w:lineRule="exact"/>
        <w:ind w:firstLine="601"/>
        <w:jc w:val="both"/>
        <w:textAlignment w:val="auto"/>
        <w:rPr>
          <w:rFonts w:hint="eastAsia" w:ascii="仿宋_GB2312" w:hAnsi="宋体" w:eastAsia="仿宋_GB2312" w:cs="宋体"/>
          <w:sz w:val="32"/>
          <w:szCs w:val="32"/>
          <w:lang w:eastAsia="zh-CN"/>
        </w:rPr>
      </w:pPr>
      <w:r>
        <w:rPr>
          <w:rFonts w:hint="eastAsia" w:ascii="仿宋_GB2312" w:hAnsi="宋体" w:eastAsia="仿宋_GB2312" w:cs="宋体"/>
          <w:sz w:val="32"/>
          <w:szCs w:val="32"/>
          <w:lang w:eastAsia="zh-CN"/>
        </w:rPr>
        <w:t>截至202</w:t>
      </w:r>
      <w:r>
        <w:rPr>
          <w:rFonts w:hint="eastAsia" w:ascii="仿宋_GB2312" w:hAnsi="宋体" w:eastAsia="仿宋_GB2312" w:cs="宋体"/>
          <w:sz w:val="32"/>
          <w:szCs w:val="32"/>
          <w:lang w:val="en-US" w:eastAsia="zh-CN"/>
        </w:rPr>
        <w:t>6</w:t>
      </w:r>
      <w:r>
        <w:rPr>
          <w:rFonts w:hint="eastAsia" w:ascii="仿宋_GB2312" w:hAnsi="宋体" w:eastAsia="仿宋_GB2312" w:cs="宋体"/>
          <w:sz w:val="32"/>
          <w:szCs w:val="32"/>
          <w:lang w:eastAsia="zh-CN"/>
        </w:rPr>
        <w:t>年</w:t>
      </w:r>
      <w:r>
        <w:rPr>
          <w:rFonts w:hint="eastAsia" w:ascii="仿宋_GB2312" w:hAnsi="宋体" w:eastAsia="仿宋_GB2312" w:cs="宋体"/>
          <w:sz w:val="32"/>
          <w:szCs w:val="32"/>
          <w:lang w:val="en-US" w:eastAsia="zh-CN"/>
        </w:rPr>
        <w:t>2</w:t>
      </w:r>
      <w:r>
        <w:rPr>
          <w:rFonts w:hint="eastAsia" w:ascii="仿宋_GB2312" w:hAnsi="宋体" w:eastAsia="仿宋_GB2312" w:cs="宋体"/>
          <w:sz w:val="32"/>
          <w:szCs w:val="32"/>
          <w:lang w:eastAsia="zh-CN"/>
        </w:rPr>
        <w:t>月</w:t>
      </w:r>
      <w:r>
        <w:rPr>
          <w:rFonts w:hint="eastAsia" w:ascii="仿宋_GB2312" w:hAnsi="宋体" w:eastAsia="仿宋_GB2312" w:cs="宋体"/>
          <w:sz w:val="32"/>
          <w:szCs w:val="32"/>
          <w:lang w:val="en-US" w:eastAsia="zh-CN"/>
        </w:rPr>
        <w:t>28</w:t>
      </w:r>
      <w:r>
        <w:rPr>
          <w:rFonts w:hint="eastAsia" w:ascii="仿宋_GB2312" w:hAnsi="宋体" w:eastAsia="仿宋_GB2312" w:cs="宋体"/>
          <w:sz w:val="32"/>
          <w:szCs w:val="32"/>
          <w:lang w:eastAsia="zh-CN"/>
        </w:rPr>
        <w:t>日，社工站配备工作人员</w:t>
      </w:r>
      <w:r>
        <w:rPr>
          <w:rFonts w:hint="eastAsia" w:ascii="仿宋_GB2312" w:hAnsi="宋体" w:eastAsia="仿宋_GB2312" w:cs="宋体"/>
          <w:sz w:val="32"/>
          <w:szCs w:val="32"/>
          <w:lang w:val="en-US" w:eastAsia="zh-CN"/>
        </w:rPr>
        <w:t>10</w:t>
      </w:r>
      <w:r>
        <w:rPr>
          <w:rFonts w:hint="eastAsia" w:ascii="仿宋_GB2312" w:hAnsi="宋体" w:eastAsia="仿宋_GB2312" w:cs="宋体"/>
          <w:sz w:val="32"/>
          <w:szCs w:val="32"/>
          <w:lang w:eastAsia="zh-CN"/>
        </w:rPr>
        <w:t>名，其中社工专业人员</w:t>
      </w:r>
      <w:r>
        <w:rPr>
          <w:rFonts w:hint="eastAsia" w:ascii="仿宋_GB2312" w:hAnsi="宋体" w:eastAsia="仿宋_GB2312" w:cs="宋体"/>
          <w:sz w:val="32"/>
          <w:szCs w:val="32"/>
          <w:lang w:val="en-US" w:eastAsia="zh-CN"/>
        </w:rPr>
        <w:t>10</w:t>
      </w:r>
      <w:r>
        <w:rPr>
          <w:rFonts w:hint="eastAsia" w:ascii="仿宋_GB2312" w:hAnsi="宋体" w:eastAsia="仿宋_GB2312" w:cs="宋体"/>
          <w:sz w:val="32"/>
          <w:szCs w:val="32"/>
          <w:lang w:eastAsia="zh-CN"/>
        </w:rPr>
        <w:t>名（社会工作师</w:t>
      </w:r>
      <w:r>
        <w:rPr>
          <w:rFonts w:hint="eastAsia" w:ascii="仿宋_GB2312" w:hAnsi="宋体" w:eastAsia="仿宋_GB2312" w:cs="宋体"/>
          <w:sz w:val="32"/>
          <w:szCs w:val="32"/>
          <w:lang w:val="en-US" w:eastAsia="zh-CN"/>
        </w:rPr>
        <w:t>8</w:t>
      </w:r>
      <w:r>
        <w:rPr>
          <w:rFonts w:hint="eastAsia" w:ascii="仿宋_GB2312" w:hAnsi="宋体" w:eastAsia="仿宋_GB2312" w:cs="宋体"/>
          <w:sz w:val="32"/>
          <w:szCs w:val="32"/>
          <w:lang w:eastAsia="zh-CN"/>
        </w:rPr>
        <w:t>人，助理社会工作师</w:t>
      </w:r>
      <w:r>
        <w:rPr>
          <w:rFonts w:hint="eastAsia" w:ascii="仿宋_GB2312" w:hAnsi="宋体" w:eastAsia="仿宋_GB2312" w:cs="宋体"/>
          <w:sz w:val="32"/>
          <w:szCs w:val="32"/>
          <w:lang w:val="en-US" w:eastAsia="zh-CN"/>
        </w:rPr>
        <w:t>2</w:t>
      </w:r>
      <w:r>
        <w:rPr>
          <w:rFonts w:hint="eastAsia" w:ascii="仿宋_GB2312" w:hAnsi="宋体" w:eastAsia="仿宋_GB2312" w:cs="宋体"/>
          <w:sz w:val="32"/>
          <w:szCs w:val="32"/>
          <w:lang w:eastAsia="zh-CN"/>
        </w:rPr>
        <w:t>人）。上次评估统计截止时间至本次评估统计开始时间期间（202</w:t>
      </w:r>
      <w:r>
        <w:rPr>
          <w:rFonts w:hint="eastAsia" w:ascii="仿宋_GB2312" w:hAnsi="宋体" w:eastAsia="仿宋_GB2312" w:cs="宋体"/>
          <w:sz w:val="32"/>
          <w:szCs w:val="32"/>
          <w:lang w:val="en-US" w:eastAsia="zh-CN"/>
        </w:rPr>
        <w:t>5</w:t>
      </w:r>
      <w:r>
        <w:rPr>
          <w:rFonts w:hint="eastAsia" w:ascii="仿宋_GB2312" w:hAnsi="宋体" w:eastAsia="仿宋_GB2312" w:cs="宋体"/>
          <w:sz w:val="32"/>
          <w:szCs w:val="32"/>
          <w:lang w:eastAsia="zh-CN"/>
        </w:rPr>
        <w:t>年</w:t>
      </w:r>
      <w:r>
        <w:rPr>
          <w:rFonts w:hint="eastAsia" w:ascii="仿宋_GB2312" w:hAnsi="宋体" w:eastAsia="仿宋_GB2312" w:cs="宋体"/>
          <w:sz w:val="32"/>
          <w:szCs w:val="32"/>
          <w:lang w:val="en-US" w:eastAsia="zh-CN"/>
        </w:rPr>
        <w:t>7</w:t>
      </w:r>
      <w:r>
        <w:rPr>
          <w:rFonts w:hint="eastAsia" w:ascii="仿宋_GB2312" w:hAnsi="宋体" w:eastAsia="仿宋_GB2312" w:cs="宋体"/>
          <w:sz w:val="32"/>
          <w:szCs w:val="32"/>
          <w:lang w:eastAsia="zh-CN"/>
        </w:rPr>
        <w:t>月</w:t>
      </w:r>
      <w:r>
        <w:rPr>
          <w:rFonts w:hint="eastAsia" w:ascii="仿宋_GB2312" w:hAnsi="宋体" w:eastAsia="仿宋_GB2312" w:cs="宋体"/>
          <w:sz w:val="32"/>
          <w:szCs w:val="32"/>
          <w:lang w:val="en-US" w:eastAsia="zh-CN"/>
        </w:rPr>
        <w:t>31</w:t>
      </w:r>
      <w:r>
        <w:rPr>
          <w:rFonts w:hint="eastAsia" w:ascii="仿宋_GB2312" w:hAnsi="宋体" w:eastAsia="仿宋_GB2312" w:cs="宋体"/>
          <w:sz w:val="32"/>
          <w:szCs w:val="32"/>
          <w:lang w:eastAsia="zh-CN"/>
        </w:rPr>
        <w:t>日—2025年</w:t>
      </w:r>
      <w:r>
        <w:rPr>
          <w:rFonts w:hint="eastAsia" w:ascii="仿宋_GB2312" w:hAnsi="宋体" w:eastAsia="仿宋_GB2312" w:cs="宋体"/>
          <w:sz w:val="32"/>
          <w:szCs w:val="32"/>
          <w:lang w:val="en-US" w:eastAsia="zh-CN"/>
        </w:rPr>
        <w:t>9</w:t>
      </w:r>
      <w:r>
        <w:rPr>
          <w:rFonts w:hint="eastAsia" w:ascii="仿宋_GB2312" w:hAnsi="宋体" w:eastAsia="仿宋_GB2312" w:cs="宋体"/>
          <w:sz w:val="32"/>
          <w:szCs w:val="32"/>
          <w:lang w:eastAsia="zh-CN"/>
        </w:rPr>
        <w:t>月</w:t>
      </w:r>
      <w:r>
        <w:rPr>
          <w:rFonts w:hint="eastAsia" w:ascii="仿宋_GB2312" w:hAnsi="宋体" w:eastAsia="仿宋_GB2312" w:cs="宋体"/>
          <w:sz w:val="32"/>
          <w:szCs w:val="32"/>
          <w:lang w:val="en-US" w:eastAsia="zh-CN"/>
        </w:rPr>
        <w:t>1</w:t>
      </w:r>
      <w:r>
        <w:rPr>
          <w:rFonts w:hint="eastAsia" w:ascii="仿宋_GB2312" w:hAnsi="宋体" w:eastAsia="仿宋_GB2312" w:cs="宋体"/>
          <w:sz w:val="32"/>
          <w:szCs w:val="32"/>
          <w:lang w:eastAsia="zh-CN"/>
        </w:rPr>
        <w:t>日）社工站配备工作人员</w:t>
      </w:r>
      <w:r>
        <w:rPr>
          <w:rFonts w:hint="eastAsia" w:ascii="仿宋_GB2312" w:hAnsi="宋体" w:eastAsia="仿宋_GB2312" w:cs="宋体"/>
          <w:sz w:val="32"/>
          <w:szCs w:val="32"/>
          <w:lang w:val="en-US" w:eastAsia="zh-CN"/>
        </w:rPr>
        <w:t>10</w:t>
      </w:r>
      <w:r>
        <w:rPr>
          <w:rFonts w:hint="eastAsia" w:ascii="仿宋_GB2312" w:hAnsi="宋体" w:eastAsia="仿宋_GB2312" w:cs="宋体"/>
          <w:sz w:val="32"/>
          <w:szCs w:val="32"/>
          <w:lang w:eastAsia="zh-CN"/>
        </w:rPr>
        <w:t>名，其中社工专业人员1</w:t>
      </w:r>
      <w:r>
        <w:rPr>
          <w:rFonts w:hint="eastAsia" w:ascii="仿宋_GB2312" w:hAnsi="宋体" w:eastAsia="仿宋_GB2312" w:cs="宋体"/>
          <w:sz w:val="32"/>
          <w:szCs w:val="32"/>
          <w:lang w:val="en-US" w:eastAsia="zh-CN"/>
        </w:rPr>
        <w:t>0</w:t>
      </w:r>
      <w:r>
        <w:rPr>
          <w:rFonts w:hint="eastAsia" w:ascii="仿宋_GB2312" w:hAnsi="宋体" w:eastAsia="仿宋_GB2312" w:cs="宋体"/>
          <w:sz w:val="32"/>
          <w:szCs w:val="32"/>
          <w:lang w:eastAsia="zh-CN"/>
        </w:rPr>
        <w:t>名（社会工作师</w:t>
      </w:r>
      <w:r>
        <w:rPr>
          <w:rFonts w:hint="eastAsia" w:ascii="仿宋_GB2312" w:hAnsi="宋体" w:eastAsia="仿宋_GB2312" w:cs="宋体"/>
          <w:sz w:val="32"/>
          <w:szCs w:val="32"/>
          <w:lang w:val="en-US" w:eastAsia="zh-CN"/>
        </w:rPr>
        <w:t>7</w:t>
      </w:r>
      <w:r>
        <w:rPr>
          <w:rFonts w:hint="eastAsia" w:ascii="仿宋_GB2312" w:hAnsi="宋体" w:eastAsia="仿宋_GB2312" w:cs="宋体"/>
          <w:sz w:val="32"/>
          <w:szCs w:val="32"/>
          <w:lang w:eastAsia="zh-CN"/>
        </w:rPr>
        <w:t>人，助理社会工作师</w:t>
      </w:r>
      <w:r>
        <w:rPr>
          <w:rFonts w:hint="eastAsia" w:ascii="仿宋_GB2312" w:hAnsi="宋体" w:eastAsia="仿宋_GB2312" w:cs="宋体"/>
          <w:sz w:val="32"/>
          <w:szCs w:val="32"/>
          <w:lang w:val="en-US" w:eastAsia="zh-CN"/>
        </w:rPr>
        <w:t>3</w:t>
      </w:r>
      <w:r>
        <w:rPr>
          <w:rFonts w:hint="eastAsia" w:ascii="仿宋_GB2312" w:hAnsi="宋体" w:eastAsia="仿宋_GB2312" w:cs="宋体"/>
          <w:sz w:val="32"/>
          <w:szCs w:val="32"/>
          <w:lang w:eastAsia="zh-CN"/>
        </w:rPr>
        <w:t>人）。此外，社工站配备督导</w:t>
      </w:r>
      <w:r>
        <w:rPr>
          <w:rFonts w:hint="eastAsia" w:ascii="仿宋_GB2312" w:hAnsi="宋体" w:eastAsia="仿宋_GB2312" w:cs="宋体"/>
          <w:sz w:val="32"/>
          <w:szCs w:val="32"/>
          <w:lang w:val="en-US" w:eastAsia="zh-CN"/>
        </w:rPr>
        <w:t>3</w:t>
      </w:r>
      <w:r>
        <w:rPr>
          <w:rFonts w:hint="eastAsia" w:ascii="仿宋_GB2312" w:hAnsi="宋体" w:eastAsia="仿宋_GB2312" w:cs="宋体"/>
          <w:sz w:val="32"/>
          <w:szCs w:val="32"/>
          <w:lang w:eastAsia="zh-CN"/>
        </w:rPr>
        <w:t>名，从事社会服务</w:t>
      </w:r>
      <w:r>
        <w:rPr>
          <w:rFonts w:hint="eastAsia" w:ascii="仿宋_GB2312" w:hAnsi="宋体" w:eastAsia="仿宋_GB2312" w:cs="宋体"/>
          <w:sz w:val="32"/>
          <w:szCs w:val="32"/>
          <w:lang w:val="en-US" w:eastAsia="zh-CN"/>
        </w:rPr>
        <w:t>12.5</w:t>
      </w:r>
      <w:r>
        <w:rPr>
          <w:rFonts w:hint="eastAsia" w:ascii="仿宋_GB2312" w:hAnsi="宋体" w:eastAsia="仿宋_GB2312" w:cs="宋体"/>
          <w:sz w:val="32"/>
          <w:szCs w:val="32"/>
          <w:lang w:eastAsia="zh-CN"/>
        </w:rPr>
        <w:t>年以上。</w:t>
      </w:r>
    </w:p>
    <w:p w14:paraId="46430AA9">
      <w:pPr>
        <w:pStyle w:val="15"/>
        <w:pageBreakBefore w:val="0"/>
        <w:widowControl w:val="0"/>
        <w:kinsoku/>
        <w:wordWrap/>
        <w:overflowPunct/>
        <w:topLinePunct w:val="0"/>
        <w:autoSpaceDE/>
        <w:autoSpaceDN/>
        <w:bidi w:val="0"/>
        <w:adjustRightInd/>
        <w:snapToGrid/>
        <w:spacing w:after="0" w:line="520" w:lineRule="exact"/>
        <w:ind w:firstLine="601"/>
        <w:jc w:val="both"/>
        <w:textAlignment w:val="auto"/>
        <w:rPr>
          <w:rFonts w:ascii="仿宋_GB2312" w:eastAsia="仿宋_GB2312"/>
          <w:color w:val="auto"/>
          <w:sz w:val="32"/>
          <w:szCs w:val="32"/>
        </w:rPr>
      </w:pPr>
      <w:r>
        <w:rPr>
          <w:rFonts w:hint="eastAsia" w:ascii="仿宋_GB2312" w:eastAsia="仿宋_GB2312"/>
          <w:color w:val="auto"/>
          <w:sz w:val="32"/>
          <w:szCs w:val="32"/>
          <w:lang w:eastAsia="zh-CN"/>
        </w:rPr>
        <w:t>新造镇</w:t>
      </w:r>
      <w:r>
        <w:rPr>
          <w:rFonts w:hint="eastAsia" w:ascii="仿宋_GB2312" w:eastAsia="仿宋_GB2312"/>
          <w:color w:val="auto"/>
          <w:sz w:val="32"/>
          <w:szCs w:val="32"/>
        </w:rPr>
        <w:t>社工站</w:t>
      </w:r>
      <w:r>
        <w:rPr>
          <w:rFonts w:hint="eastAsia" w:ascii="仿宋_GB2312" w:eastAsia="仿宋_GB2312"/>
          <w:color w:val="auto"/>
          <w:sz w:val="32"/>
          <w:szCs w:val="32"/>
          <w:lang w:val="en-US" w:eastAsia="zh-CN"/>
        </w:rPr>
        <w:t>评估周期</w:t>
      </w:r>
      <w:r>
        <w:rPr>
          <w:rFonts w:hint="eastAsia" w:ascii="仿宋_GB2312" w:eastAsia="仿宋_GB2312"/>
          <w:color w:val="auto"/>
          <w:sz w:val="32"/>
          <w:szCs w:val="32"/>
        </w:rPr>
        <w:t>服务经费为</w:t>
      </w:r>
      <w:r>
        <w:rPr>
          <w:rFonts w:hint="eastAsia" w:ascii="仿宋_GB2312" w:eastAsia="仿宋_GB2312"/>
          <w:color w:val="auto"/>
          <w:sz w:val="32"/>
          <w:szCs w:val="32"/>
          <w:lang w:val="en-US" w:eastAsia="zh-CN"/>
        </w:rPr>
        <w:t>120</w:t>
      </w:r>
      <w:r>
        <w:rPr>
          <w:rFonts w:hint="eastAsia" w:ascii="仿宋_GB2312" w:eastAsia="仿宋_GB2312"/>
          <w:color w:val="auto"/>
          <w:sz w:val="32"/>
          <w:szCs w:val="32"/>
        </w:rPr>
        <w:t>万元</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评估周期</w:t>
      </w:r>
      <w:r>
        <w:rPr>
          <w:rFonts w:hint="eastAsia" w:ascii="仿宋_GB2312" w:eastAsia="仿宋_GB2312"/>
          <w:color w:val="auto"/>
          <w:sz w:val="32"/>
          <w:szCs w:val="32"/>
        </w:rPr>
        <w:t>项目合同期为202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9</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日至</w:t>
      </w:r>
      <w:r>
        <w:rPr>
          <w:rFonts w:hint="eastAsia" w:ascii="仿宋_GB2312" w:eastAsia="仿宋_GB2312"/>
          <w:color w:val="auto"/>
          <w:sz w:val="32"/>
          <w:szCs w:val="32"/>
          <w:lang w:eastAsia="zh-CN"/>
        </w:rPr>
        <w:t>202</w:t>
      </w:r>
      <w:r>
        <w:rPr>
          <w:rFonts w:hint="eastAsia" w:ascii="仿宋_GB2312" w:eastAsia="仿宋_GB2312"/>
          <w:color w:val="auto"/>
          <w:sz w:val="32"/>
          <w:szCs w:val="32"/>
          <w:lang w:val="en-US" w:eastAsia="zh-CN"/>
        </w:rPr>
        <w:t>6</w:t>
      </w:r>
      <w:r>
        <w:rPr>
          <w:rFonts w:hint="eastAsia" w:ascii="仿宋_GB2312" w:eastAsia="仿宋_GB2312"/>
          <w:color w:val="auto"/>
          <w:sz w:val="32"/>
          <w:szCs w:val="32"/>
          <w:lang w:eastAsia="zh-CN"/>
        </w:rPr>
        <w:t>年</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31</w:t>
      </w:r>
      <w:r>
        <w:rPr>
          <w:rFonts w:hint="eastAsia" w:ascii="仿宋_GB2312" w:eastAsia="仿宋_GB2312"/>
          <w:color w:val="auto"/>
          <w:sz w:val="32"/>
          <w:szCs w:val="32"/>
        </w:rPr>
        <w:t>日。本次考核期为202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9</w:t>
      </w:r>
      <w:r>
        <w:rPr>
          <w:rFonts w:hint="eastAsia" w:ascii="仿宋_GB2312" w:eastAsia="仿宋_GB2312"/>
          <w:color w:val="auto"/>
          <w:sz w:val="32"/>
          <w:szCs w:val="32"/>
        </w:rPr>
        <w:t>月1日——202</w:t>
      </w:r>
      <w:r>
        <w:rPr>
          <w:rFonts w:hint="eastAsia" w:ascii="仿宋_GB2312" w:eastAsia="仿宋_GB2312"/>
          <w:color w:val="auto"/>
          <w:sz w:val="32"/>
          <w:szCs w:val="32"/>
          <w:lang w:val="en-US" w:eastAsia="zh-CN"/>
        </w:rPr>
        <w:t>6</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28</w:t>
      </w:r>
      <w:r>
        <w:rPr>
          <w:rFonts w:hint="eastAsia" w:ascii="仿宋_GB2312" w:eastAsia="仿宋_GB2312"/>
          <w:color w:val="auto"/>
          <w:sz w:val="32"/>
          <w:szCs w:val="32"/>
        </w:rPr>
        <w:t>日，考核</w:t>
      </w:r>
      <w:r>
        <w:rPr>
          <w:rFonts w:hint="eastAsia" w:ascii="仿宋_GB2312" w:eastAsia="仿宋_GB2312"/>
          <w:color w:val="auto"/>
          <w:sz w:val="32"/>
          <w:szCs w:val="32"/>
          <w:lang w:val="en-US" w:eastAsia="zh-CN"/>
        </w:rPr>
        <w:t>6</w:t>
      </w:r>
      <w:r>
        <w:rPr>
          <w:rFonts w:hint="eastAsia" w:ascii="仿宋_GB2312" w:eastAsia="仿宋_GB2312"/>
          <w:color w:val="auto"/>
          <w:sz w:val="32"/>
          <w:szCs w:val="32"/>
        </w:rPr>
        <w:t>个月。</w:t>
      </w:r>
    </w:p>
    <w:p w14:paraId="14E42AE7">
      <w:pPr>
        <w:pStyle w:val="15"/>
        <w:pageBreakBefore w:val="0"/>
        <w:widowControl w:val="0"/>
        <w:kinsoku/>
        <w:wordWrap/>
        <w:overflowPunct/>
        <w:topLinePunct w:val="0"/>
        <w:autoSpaceDE/>
        <w:autoSpaceDN/>
        <w:bidi w:val="0"/>
        <w:adjustRightInd/>
        <w:snapToGrid/>
        <w:spacing w:after="0" w:line="520" w:lineRule="exact"/>
        <w:ind w:firstLine="743"/>
        <w:jc w:val="both"/>
        <w:textAlignment w:val="auto"/>
        <w:rPr>
          <w:rFonts w:ascii="仿宋_GB2312" w:eastAsia="仿宋_GB2312"/>
          <w:b/>
          <w:color w:val="auto"/>
          <w:sz w:val="32"/>
          <w:szCs w:val="32"/>
        </w:rPr>
      </w:pPr>
      <w:r>
        <w:rPr>
          <w:rFonts w:hint="eastAsia" w:ascii="仿宋_GB2312" w:eastAsia="仿宋_GB2312"/>
          <w:b/>
          <w:color w:val="auto"/>
          <w:sz w:val="32"/>
          <w:szCs w:val="32"/>
        </w:rPr>
        <w:t>（二）各项目服务进度情况</w:t>
      </w:r>
    </w:p>
    <w:p w14:paraId="6637F588">
      <w:pPr>
        <w:pStyle w:val="15"/>
        <w:pageBreakBefore w:val="0"/>
        <w:widowControl w:val="0"/>
        <w:tabs>
          <w:tab w:val="left" w:pos="1355"/>
        </w:tabs>
        <w:kinsoku/>
        <w:wordWrap/>
        <w:overflowPunct/>
        <w:topLinePunct w:val="0"/>
        <w:autoSpaceDE/>
        <w:autoSpaceDN/>
        <w:bidi w:val="0"/>
        <w:adjustRightInd/>
        <w:snapToGrid/>
        <w:spacing w:after="0" w:line="520" w:lineRule="exact"/>
        <w:ind w:firstLine="640" w:firstLineChars="200"/>
        <w:jc w:val="both"/>
        <w:textAlignment w:val="auto"/>
        <w:rPr>
          <w:rFonts w:ascii="仿宋_GB2312" w:eastAsia="仿宋_GB2312"/>
          <w:color w:val="auto"/>
          <w:sz w:val="32"/>
          <w:szCs w:val="32"/>
          <w:lang w:val="en-US" w:eastAsia="zh-CN"/>
        </w:rPr>
      </w:pPr>
      <w:r>
        <w:rPr>
          <w:rFonts w:hint="eastAsia" w:ascii="仿宋_GB2312" w:eastAsia="仿宋_GB2312"/>
          <w:color w:val="auto"/>
          <w:sz w:val="32"/>
          <w:szCs w:val="32"/>
          <w:lang w:val="en-US" w:eastAsia="zh-CN"/>
        </w:rPr>
        <w:t>社工站共完成家访896人次，电访729人次，完成协议指标量的162.91%、49.06%；专业个案接案9个，服务64节，完成协议指标量的64.29%、91.43%；完成小组4个，服务20节，完成协议指标量的66.67%、66.67%；完成社区活动16次，服务5080人次，完成协议指标量的69.57%、249.36%；培育志愿者30名，老年志愿者队伍2支、联动社区社会组织9支，分别完成指标的60.00%、100.00%、225.00%。（以上数据由社工站提供，各项目指标完成情况见附件1）</w:t>
      </w:r>
    </w:p>
    <w:p w14:paraId="319900AE">
      <w:pPr>
        <w:pStyle w:val="15"/>
        <w:pageBreakBefore w:val="0"/>
        <w:widowControl w:val="0"/>
        <w:tabs>
          <w:tab w:val="left" w:pos="1355"/>
        </w:tabs>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b/>
          <w:bCs/>
          <w:color w:val="auto"/>
          <w:sz w:val="32"/>
          <w:szCs w:val="32"/>
          <w:lang w:eastAsia="zh-CN"/>
        </w:rPr>
      </w:pPr>
      <w:r>
        <w:rPr>
          <w:rFonts w:hint="eastAsia" w:ascii="仿宋_GB2312" w:eastAsia="仿宋_GB2312"/>
          <w:color w:val="auto"/>
          <w:sz w:val="32"/>
          <w:szCs w:val="32"/>
          <w:lang w:val="en-US" w:eastAsia="zh-CN"/>
        </w:rPr>
        <w:t>从以上数据可知，新造镇社工站服务指标完成情况良好，在服务进度方面整体把握到位。</w:t>
      </w:r>
    </w:p>
    <w:p w14:paraId="72D707B3">
      <w:pPr>
        <w:pStyle w:val="15"/>
        <w:pageBreakBefore w:val="0"/>
        <w:widowControl w:val="0"/>
        <w:kinsoku/>
        <w:wordWrap/>
        <w:overflowPunct/>
        <w:topLinePunct w:val="0"/>
        <w:autoSpaceDE/>
        <w:autoSpaceDN/>
        <w:bidi w:val="0"/>
        <w:adjustRightInd/>
        <w:snapToGrid/>
        <w:spacing w:after="80" w:line="520" w:lineRule="exact"/>
        <w:ind w:firstLine="740"/>
        <w:jc w:val="both"/>
        <w:textAlignment w:val="auto"/>
        <w:rPr>
          <w:rFonts w:ascii="仿宋_GB2312" w:eastAsia="仿宋_GB2312"/>
          <w:color w:val="auto"/>
          <w:sz w:val="32"/>
          <w:szCs w:val="32"/>
        </w:rPr>
      </w:pPr>
      <w:r>
        <w:rPr>
          <w:rFonts w:hint="eastAsia" w:ascii="仿宋_GB2312" w:eastAsia="仿宋_GB2312"/>
          <w:b/>
          <w:bCs/>
          <w:color w:val="auto"/>
          <w:sz w:val="32"/>
          <w:szCs w:val="32"/>
          <w:lang w:eastAsia="zh-CN"/>
        </w:rPr>
        <w:t>（三）</w:t>
      </w:r>
      <w:r>
        <w:rPr>
          <w:rFonts w:hint="eastAsia" w:ascii="仿宋_GB2312" w:eastAsia="仿宋_GB2312"/>
          <w:b/>
          <w:bCs/>
          <w:color w:val="auto"/>
          <w:sz w:val="32"/>
          <w:szCs w:val="32"/>
        </w:rPr>
        <w:t>项目运营管理</w:t>
      </w:r>
    </w:p>
    <w:p w14:paraId="0DB89491">
      <w:pPr>
        <w:pStyle w:val="15"/>
        <w:pageBreakBefore w:val="0"/>
        <w:widowControl w:val="0"/>
        <w:kinsoku/>
        <w:wordWrap/>
        <w:overflowPunct/>
        <w:topLinePunct w:val="0"/>
        <w:autoSpaceDE/>
        <w:autoSpaceDN/>
        <w:bidi w:val="0"/>
        <w:adjustRightInd/>
        <w:snapToGrid/>
        <w:spacing w:after="0" w:line="520" w:lineRule="exact"/>
        <w:ind w:firstLine="601"/>
        <w:jc w:val="both"/>
        <w:textAlignment w:val="auto"/>
        <w:rPr>
          <w:rFonts w:ascii="仿宋_GB2312" w:eastAsia="仿宋_GB2312"/>
          <w:color w:val="auto"/>
          <w:sz w:val="32"/>
          <w:szCs w:val="32"/>
        </w:rPr>
      </w:pPr>
      <w:r>
        <w:rPr>
          <w:rFonts w:hint="eastAsia" w:ascii="仿宋_GB2312" w:eastAsia="仿宋_GB2312"/>
          <w:color w:val="auto"/>
          <w:sz w:val="32"/>
          <w:szCs w:val="32"/>
        </w:rPr>
        <w:t>通过与社工站主任、相关行政人员访谈，查阅相关资料，以及电访利益相关方等方式了解社工站运营管理情况，汇总成以下几点：</w:t>
      </w:r>
    </w:p>
    <w:p w14:paraId="23372451">
      <w:pPr>
        <w:pStyle w:val="15"/>
        <w:pageBreakBefore w:val="0"/>
        <w:widowControl w:val="0"/>
        <w:kinsoku/>
        <w:wordWrap/>
        <w:overflowPunct/>
        <w:topLinePunct w:val="0"/>
        <w:autoSpaceDE/>
        <w:autoSpaceDN/>
        <w:bidi w:val="0"/>
        <w:adjustRightInd/>
        <w:snapToGrid/>
        <w:spacing w:after="0" w:line="52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14:paraId="14101C9C">
      <w:pPr>
        <w:pStyle w:val="15"/>
        <w:pageBreakBefore w:val="0"/>
        <w:widowControl w:val="0"/>
        <w:kinsoku/>
        <w:wordWrap/>
        <w:overflowPunct/>
        <w:topLinePunct w:val="0"/>
        <w:autoSpaceDE/>
        <w:autoSpaceDN/>
        <w:bidi w:val="0"/>
        <w:adjustRightInd/>
        <w:snapToGrid/>
        <w:spacing w:after="0" w:line="520" w:lineRule="exact"/>
        <w:ind w:firstLine="600"/>
        <w:jc w:val="both"/>
        <w:textAlignment w:val="auto"/>
        <w:rPr>
          <w:rFonts w:ascii="仿宋_GB2312" w:eastAsia="仿宋_GB2312"/>
          <w:color w:val="auto"/>
          <w:sz w:val="32"/>
          <w:szCs w:val="32"/>
        </w:rPr>
      </w:pPr>
      <w:bookmarkStart w:id="30" w:name="bookmark31"/>
      <w:bookmarkEnd w:id="30"/>
      <w:r>
        <w:rPr>
          <w:rFonts w:hint="eastAsia" w:ascii="仿宋_GB2312" w:eastAsia="仿宋_GB2312"/>
          <w:color w:val="auto"/>
          <w:sz w:val="32"/>
          <w:szCs w:val="32"/>
        </w:rPr>
        <w:t>经评委评估分析访谈情况和查阅项目调研、服务方案等各类服务工作痕迹记录资料，项目执行和成效总体情况有以下几方面值得肯定：</w:t>
      </w:r>
    </w:p>
    <w:p w14:paraId="1CB9A8B5">
      <w:pPr>
        <w:pStyle w:val="15"/>
        <w:pageBreakBefore w:val="0"/>
        <w:widowControl w:val="0"/>
        <w:tabs>
          <w:tab w:val="left" w:pos="1355"/>
        </w:tabs>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 xml:space="preserve">（1）人员配备充足。截至2026年2月28日，社工站项目共配备社工10人。社工应到60人次，实到60人次。持证社工10人，持证社工占比100%，持证社工应到30人次，实到60人次。从业三年以上社工10人，占协议社工总人数的100%。持续在岗10人，稳岗率100%。非产假人员的培训总时数达标。社工站项目负责人2018年取得中级社会工作职业水平证书，从事社会服务超过6年，资质和资历符合要求。 </w:t>
      </w:r>
    </w:p>
    <w:p w14:paraId="4F454057">
      <w:pPr>
        <w:pStyle w:val="15"/>
        <w:pageBreakBefore w:val="0"/>
        <w:widowControl w:val="0"/>
        <w:tabs>
          <w:tab w:val="left" w:pos="1355"/>
        </w:tabs>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建立了社工站的基本服务管理制度。包括服务内控制度、服务持续改进机制、专业伦理价值规范和服务对象权益保障实践管理制度等。针对专业伦理价值规范和服务对象权益保障制度有培训共学、有知识测验，在日常工作和服务中也有一定的落实。针对上期评估的整改态度积极，能及时召开中心层面的工作会议进行反思总结、制定整改方案，在明确服务对象意见收集签署上、专业伦理价值规范的培训上均有改善。</w:t>
      </w:r>
    </w:p>
    <w:p w14:paraId="748ED82A">
      <w:pPr>
        <w:pStyle w:val="15"/>
        <w:pageBreakBefore w:val="0"/>
        <w:widowControl w:val="0"/>
        <w:tabs>
          <w:tab w:val="left" w:pos="1355"/>
        </w:tabs>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宣传渠道多样。线上能定期更新微信公众号，发布服务信息，线下印发服务简报在十村一居宣传阵地公示，有助于居民能及时了解相关服务资讯。社工站的服务多次被番禺融媒、番禺日报等官方主流媒体报道，拓宽了宣传覆盖面。</w:t>
      </w:r>
    </w:p>
    <w:p w14:paraId="70B18DB0">
      <w:pPr>
        <w:pStyle w:val="15"/>
        <w:pageBreakBefore w:val="0"/>
        <w:widowControl w:val="0"/>
        <w:tabs>
          <w:tab w:val="left" w:pos="1355"/>
        </w:tabs>
        <w:kinsoku/>
        <w:wordWrap/>
        <w:overflowPunct/>
        <w:topLinePunct w:val="0"/>
        <w:autoSpaceDE/>
        <w:autoSpaceDN/>
        <w:bidi w:val="0"/>
        <w:adjustRightInd/>
        <w:snapToGrid/>
        <w:spacing w:after="0" w:line="520" w:lineRule="exact"/>
        <w:ind w:firstLine="643" w:firstLineChars="200"/>
        <w:jc w:val="both"/>
        <w:textAlignment w:val="auto"/>
        <w:rPr>
          <w:rFonts w:ascii="仿宋_GB2312" w:eastAsia="仿宋_GB2312"/>
          <w:b/>
          <w:bCs/>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bookmarkStart w:id="31" w:name="bookmark37"/>
      <w:bookmarkEnd w:id="31"/>
      <w:bookmarkStart w:id="32" w:name="bookmark39"/>
      <w:bookmarkEnd w:id="32"/>
      <w:bookmarkStart w:id="33" w:name="bookmark38"/>
      <w:bookmarkEnd w:id="33"/>
      <w:bookmarkStart w:id="34" w:name="bookmark36"/>
      <w:bookmarkEnd w:id="34"/>
    </w:p>
    <w:p w14:paraId="38A0A745">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经评委评估分析访谈情况和查阅项目调研、服务方案等各类服务工作痕迹记录资料，项目执行和成效总体情况有以下方面需关注：</w:t>
      </w:r>
    </w:p>
    <w:p w14:paraId="5E6DE817">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人员管理不够规范。部分人员合同协定工资水平低于本市最低工资水平，需按相关规定协定工资标准，规范用工协议。部分人员的产假申请及审批单未进行归档，需完善人员档案资料，呈现项目期内人员的在岗动向。月度员工考勤表欠缺审批签署，需按要求落实相关审批程序。</w:t>
      </w:r>
    </w:p>
    <w:p w14:paraId="43CB1A63">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服务管理有待加强。一是服务持续改进机制的内容不够清晰，在执行方面仍有不足，例如未能按社工站常规服务持续改进机制的要求开展“分层级反思与改进会议”，建议结合要求和实际情况，完善服务持续改进涉及的内容措施，并按制度加强落实。二是针对上次评估建议的整改质量有待提升，例如意见箱开箱记录仍不够清晰、专业伦理价值规范实践管理制度的内容仍需优化，整改记录中关于“项目管理”板块的内容有部分信息有误。三是专业伦理价值规范实践制度需结合标准要求及时优化，并落实不定期对社工在专业伦理价值规范遵守和实践表现进行评价。</w:t>
      </w:r>
    </w:p>
    <w:p w14:paraId="3B5E98C0">
      <w:pPr>
        <w:pStyle w:val="15"/>
        <w:pageBreakBefore w:val="0"/>
        <w:widowControl w:val="0"/>
        <w:kinsoku/>
        <w:wordWrap/>
        <w:overflowPunct/>
        <w:topLinePunct w:val="0"/>
        <w:autoSpaceDE/>
        <w:autoSpaceDN/>
        <w:bidi w:val="0"/>
        <w:adjustRightInd/>
        <w:snapToGrid/>
        <w:spacing w:after="0" w:line="520" w:lineRule="exact"/>
        <w:ind w:firstLine="643" w:firstLineChars="200"/>
        <w:jc w:val="both"/>
        <w:textAlignment w:val="auto"/>
        <w:rPr>
          <w:rFonts w:ascii="仿宋_GB2312" w:eastAsia="仿宋_GB2312"/>
          <w:b/>
          <w:bCs/>
          <w:color w:val="auto"/>
          <w:sz w:val="32"/>
          <w:szCs w:val="32"/>
        </w:rPr>
      </w:pPr>
      <w:r>
        <w:rPr>
          <w:rFonts w:hint="eastAsia" w:ascii="仿宋_GB2312" w:eastAsia="仿宋_GB2312"/>
          <w:b/>
          <w:bCs/>
          <w:color w:val="auto"/>
          <w:sz w:val="32"/>
          <w:szCs w:val="32"/>
          <w:lang w:eastAsia="zh-CN"/>
        </w:rPr>
        <w:t>（四）</w:t>
      </w:r>
      <w:r>
        <w:rPr>
          <w:rFonts w:hint="eastAsia" w:ascii="仿宋_GB2312" w:eastAsia="仿宋_GB2312"/>
          <w:b/>
          <w:bCs/>
          <w:color w:val="auto"/>
          <w:sz w:val="32"/>
          <w:szCs w:val="32"/>
        </w:rPr>
        <w:t>服务成效和服务监测情况</w:t>
      </w:r>
    </w:p>
    <w:p w14:paraId="3F52E5CF">
      <w:pPr>
        <w:pStyle w:val="15"/>
        <w:pageBreakBefore w:val="0"/>
        <w:widowControl w:val="0"/>
        <w:kinsoku/>
        <w:wordWrap/>
        <w:overflowPunct/>
        <w:topLinePunct w:val="0"/>
        <w:autoSpaceDE/>
        <w:autoSpaceDN/>
        <w:bidi w:val="0"/>
        <w:adjustRightInd/>
        <w:snapToGrid/>
        <w:spacing w:after="0" w:line="52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14:paraId="3FBAC3C8">
      <w:pPr>
        <w:pStyle w:val="15"/>
        <w:pageBreakBefore w:val="0"/>
        <w:widowControl w:val="0"/>
        <w:kinsoku/>
        <w:wordWrap/>
        <w:overflowPunct/>
        <w:topLinePunct w:val="0"/>
        <w:autoSpaceDE/>
        <w:autoSpaceDN/>
        <w:bidi w:val="0"/>
        <w:adjustRightInd/>
        <w:snapToGrid/>
        <w:spacing w:after="0" w:line="52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经评委评估分析访谈情况和查阅项目调研、服务方案等各类服务工作痕迹记录资料，项目执行和成效总体情况有以下几方面值得肯定：</w:t>
      </w:r>
      <w:bookmarkStart w:id="35" w:name="bookmark40"/>
      <w:bookmarkEnd w:id="35"/>
    </w:p>
    <w:p w14:paraId="4718C25A">
      <w:pPr>
        <w:pStyle w:val="15"/>
        <w:pageBreakBefore w:val="0"/>
        <w:widowControl w:val="0"/>
        <w:kinsoku/>
        <w:wordWrap/>
        <w:overflowPunct/>
        <w:topLinePunct w:val="0"/>
        <w:autoSpaceDE/>
        <w:autoSpaceDN/>
        <w:bidi w:val="0"/>
        <w:adjustRightInd/>
        <w:snapToGrid/>
        <w:spacing w:after="80" w:line="52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1）社工党支部优化了架构，由“单建”转为“联建”，联动辖内企业，壮大了党员组织规模。目前共有党员6名，全年新增转入2人、发展预备党员1人。党支部能做到严格落实“三会一课”及“第一议题”制度，开展学习研讨、红色参观等活动8次，协助镇开展党建宣传，线上推送学习文章6篇，线下宣传3次；参与镇级重大活动及会议15次，针对困难群众和特殊群体个性需求，推行“微心愿”认领机制，党员带头或合力筹款，精准解决困难群众和特殊群体诉求17人次。动员四个村居的党员共同认领“微心愿”12个。与19个党团组织、事业单位、社会组织等签订共建协议，成立“党群共建公益伙伴联盟”。</w:t>
      </w:r>
    </w:p>
    <w:p w14:paraId="761C8DE7">
      <w:pPr>
        <w:pStyle w:val="15"/>
        <w:pageBreakBefore w:val="0"/>
        <w:widowControl w:val="0"/>
        <w:kinsoku/>
        <w:wordWrap/>
        <w:overflowPunct/>
        <w:topLinePunct w:val="0"/>
        <w:autoSpaceDE/>
        <w:autoSpaceDN/>
        <w:bidi w:val="0"/>
        <w:adjustRightInd/>
        <w:snapToGrid/>
        <w:spacing w:after="80" w:line="52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2）构建以“资源共享·文化共建”为服务主线，构建涵盖兜底保障、基础支持与普惠服务的三级民生服务体系，有针对性地服务群众。社工站依托社工综合管理系统，对辖区517名困难群众和特殊群体进行多维度动态评估，建立“一户一档、一人一案”服务档案，深化“分级管理+常态跟进”联动模式。全年累计统筹探访、电访服务896人次，形成“政府主导、社会协同、专业支撑”的系统化兜底保障网络，实现专业服务100%全覆盖。</w:t>
      </w:r>
    </w:p>
    <w:p w14:paraId="3FF678C4">
      <w:pPr>
        <w:pStyle w:val="15"/>
        <w:pageBreakBefore w:val="0"/>
        <w:widowControl w:val="0"/>
        <w:kinsoku/>
        <w:wordWrap/>
        <w:overflowPunct/>
        <w:topLinePunct w:val="0"/>
        <w:autoSpaceDE/>
        <w:autoSpaceDN/>
        <w:bidi w:val="0"/>
        <w:adjustRightInd/>
        <w:snapToGrid/>
        <w:spacing w:after="80" w:line="52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3）在五社联动方面，社工站开展多元志愿力量的“孵化－联动－赋能”机制，提升慈善商企与社会组织的资源聚合效应，社工站发挥资源枢纽作用，梳理需求清单，定向链接新造镇慈善会、新造商会、广州医科大学志愿服务队伍等组织，形成优势互补。累计开展服务9场次，撬动物资支持折合7.9万余元，服务388人次；培育了2支老年志愿者队伍，联动了3个社区社会组织和5支志愿者队伍，持续开展困难群众和特殊群体服务30次，服务了640人次，促进了社区社会组织参与治理的积极性。社工站又通过“基金+”资源循环与精准回应机制，依托“十村一居社区基金”和“洋城慈善基金”双平台，探索“基金+”融合路径，构建可持续的资源循环体系。</w:t>
      </w:r>
    </w:p>
    <w:p w14:paraId="6CEEF921">
      <w:pPr>
        <w:pStyle w:val="15"/>
        <w:pageBreakBefore w:val="0"/>
        <w:widowControl w:val="0"/>
        <w:kinsoku/>
        <w:wordWrap/>
        <w:overflowPunct/>
        <w:topLinePunct w:val="0"/>
        <w:autoSpaceDE/>
        <w:autoSpaceDN/>
        <w:bidi w:val="0"/>
        <w:adjustRightInd/>
        <w:snapToGrid/>
        <w:spacing w:after="80" w:line="52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（4）服务评价方面，通过问卷调查、电访等方式对138名服务对象开展满意度调研，其中130人满意度达95%以上；广州社工“红棉热线”后台服务记录翔实。</w:t>
      </w:r>
    </w:p>
    <w:p w14:paraId="32F34DC3">
      <w:pPr>
        <w:pStyle w:val="15"/>
        <w:pageBreakBefore w:val="0"/>
        <w:widowControl w:val="0"/>
        <w:kinsoku/>
        <w:wordWrap/>
        <w:overflowPunct/>
        <w:topLinePunct w:val="0"/>
        <w:autoSpaceDE/>
        <w:autoSpaceDN/>
        <w:bidi w:val="0"/>
        <w:adjustRightInd/>
        <w:snapToGrid/>
        <w:spacing w:after="80" w:line="520" w:lineRule="exact"/>
        <w:ind w:firstLine="6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2.需要关注的地方</w:t>
      </w:r>
    </w:p>
    <w:p w14:paraId="5C2173AE">
      <w:pPr>
        <w:pStyle w:val="15"/>
        <w:pageBreakBefore w:val="0"/>
        <w:widowControl w:val="0"/>
        <w:kinsoku/>
        <w:wordWrap/>
        <w:overflowPunct/>
        <w:topLinePunct w:val="0"/>
        <w:autoSpaceDE/>
        <w:autoSpaceDN/>
        <w:bidi w:val="0"/>
        <w:adjustRightInd/>
        <w:snapToGrid/>
        <w:spacing w:after="0" w:line="52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经评委评估分析访谈情况和查阅项目调研、服务方案等各类服务工作痕迹记录资料，项目执行和成效总体情况有以下方面需关注：</w:t>
      </w:r>
      <w:bookmarkStart w:id="36" w:name="bookmark43"/>
      <w:bookmarkEnd w:id="36"/>
      <w:bookmarkStart w:id="37" w:name="bookmark45"/>
      <w:bookmarkEnd w:id="37"/>
      <w:bookmarkStart w:id="38" w:name="bookmark44"/>
      <w:bookmarkEnd w:id="38"/>
    </w:p>
    <w:p w14:paraId="5E964663">
      <w:pPr>
        <w:pStyle w:val="15"/>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）在服务调研、服务设计和服务执行中，欠缺前期服务的总结和反思的考量。建议社工站要结合前期服务的总结和反思，进一步精准聚焦群众的服务需求，持续优化服务整体设计。</w:t>
      </w:r>
    </w:p>
    <w:p w14:paraId="6F53DE65">
      <w:pPr>
        <w:pStyle w:val="15"/>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尽管把分散的社区基金、志愿者队伍、社会组织及慈善物资纳入统一管理，但五社联动服务成效的呈现也有待加强，建议根据辖区的困难群众和特殊群体分布以及服务需求，形成慈善资源管理与使用指引，以提升资源使用的合理性和有效性。</w:t>
      </w:r>
    </w:p>
    <w:p w14:paraId="48EC8E3C">
      <w:pPr>
        <w:pStyle w:val="15"/>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要注意服务指标的专业内涵要求，比如，在党建服务中，动员党员认领微心愿，个性化回应困难群众和特殊群体的服务需求，但从阅读材料来看，党员在服务过程中没有更有效地达到宣传党对群众的关怀政策、凸显党员在群众中亮身份、当先锋的成效，还需要对群众进行党的知识以及党员身份的宣传。</w:t>
      </w:r>
    </w:p>
    <w:p w14:paraId="15FF13C8">
      <w:pPr>
        <w:pStyle w:val="15"/>
        <w:pageBreakBefore w:val="0"/>
        <w:widowControl w:val="0"/>
        <w:kinsoku/>
        <w:wordWrap/>
        <w:overflowPunct/>
        <w:topLinePunct w:val="0"/>
        <w:autoSpaceDE/>
        <w:autoSpaceDN/>
        <w:bidi w:val="0"/>
        <w:adjustRightInd/>
        <w:snapToGrid/>
        <w:spacing w:line="520" w:lineRule="exact"/>
        <w:ind w:firstLine="643" w:firstLineChars="200"/>
        <w:jc w:val="both"/>
        <w:textAlignment w:val="auto"/>
        <w:rPr>
          <w:rFonts w:ascii="仿宋_GB2312" w:eastAsia="仿宋_GB2312"/>
          <w:b/>
          <w:bCs/>
          <w:color w:val="auto"/>
          <w:sz w:val="32"/>
          <w:szCs w:val="32"/>
          <w:highlight w:val="none"/>
        </w:rPr>
      </w:pPr>
      <w:r>
        <w:rPr>
          <w:rFonts w:hint="eastAsia" w:ascii="仿宋_GB2312" w:eastAsia="仿宋_GB2312"/>
          <w:b/>
          <w:bCs/>
          <w:color w:val="auto"/>
          <w:sz w:val="32"/>
          <w:szCs w:val="32"/>
          <w:highlight w:val="none"/>
          <w:lang w:eastAsia="zh-CN"/>
        </w:rPr>
        <w:t>（五）</w:t>
      </w:r>
      <w:r>
        <w:rPr>
          <w:rFonts w:hint="eastAsia" w:ascii="仿宋_GB2312" w:eastAsia="仿宋_GB2312"/>
          <w:b/>
          <w:bCs/>
          <w:color w:val="auto"/>
          <w:sz w:val="32"/>
          <w:szCs w:val="32"/>
          <w:highlight w:val="none"/>
        </w:rPr>
        <w:t>服务质量情况</w:t>
      </w:r>
    </w:p>
    <w:p w14:paraId="6F7E016C">
      <w:pPr>
        <w:pStyle w:val="15"/>
        <w:pageBreakBefore w:val="0"/>
        <w:widowControl w:val="0"/>
        <w:kinsoku/>
        <w:wordWrap/>
        <w:overflowPunct/>
        <w:topLinePunct w:val="0"/>
        <w:autoSpaceDE/>
        <w:autoSpaceDN/>
        <w:bidi w:val="0"/>
        <w:adjustRightInd/>
        <w:snapToGrid/>
        <w:spacing w:line="520" w:lineRule="exact"/>
        <w:ind w:firstLine="643" w:firstLineChars="200"/>
        <w:jc w:val="both"/>
        <w:textAlignment w:val="auto"/>
        <w:rPr>
          <w:rFonts w:hint="eastAsia" w:ascii="仿宋_GB2312" w:eastAsia="仿宋_GB2312"/>
          <w:b/>
          <w:bCs/>
          <w:color w:val="auto"/>
          <w:sz w:val="32"/>
          <w:szCs w:val="32"/>
          <w:highlight w:val="none"/>
          <w:lang w:val="en-US" w:eastAsia="zh-CN"/>
        </w:rPr>
      </w:pPr>
      <w:r>
        <w:rPr>
          <w:rFonts w:hint="eastAsia" w:ascii="仿宋_GB2312" w:eastAsia="仿宋_GB2312"/>
          <w:b/>
          <w:bCs/>
          <w:color w:val="auto"/>
          <w:sz w:val="32"/>
          <w:szCs w:val="32"/>
          <w:highlight w:val="none"/>
          <w:lang w:val="en-US" w:eastAsia="zh-CN"/>
        </w:rPr>
        <w:t>第一片区：崇德村、南约村、北约村、东西庄村</w:t>
      </w:r>
    </w:p>
    <w:p w14:paraId="0CB1C340">
      <w:pPr>
        <w:pStyle w:val="15"/>
        <w:pageBreakBefore w:val="0"/>
        <w:widowControl w:val="0"/>
        <w:kinsoku/>
        <w:wordWrap/>
        <w:overflowPunct/>
        <w:topLinePunct w:val="0"/>
        <w:autoSpaceDE/>
        <w:autoSpaceDN/>
        <w:bidi w:val="0"/>
        <w:adjustRightInd/>
        <w:snapToGrid/>
        <w:spacing w:after="80" w:line="520" w:lineRule="exact"/>
        <w:ind w:firstLine="6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1.值得肯定的地方</w:t>
      </w:r>
    </w:p>
    <w:p w14:paraId="293A1988">
      <w:pPr>
        <w:pStyle w:val="15"/>
        <w:pageBreakBefore w:val="0"/>
        <w:widowControl w:val="0"/>
        <w:kinsoku/>
        <w:wordWrap/>
        <w:overflowPunct/>
        <w:topLinePunct w:val="0"/>
        <w:autoSpaceDE/>
        <w:autoSpaceDN/>
        <w:bidi w:val="0"/>
        <w:adjustRightInd/>
        <w:snapToGrid/>
        <w:spacing w:after="0" w:line="52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经评委评估分析访谈情况和查阅项目调研、服务方案等各类服务工作痕迹记录资料，项目执行和成效总体情况有以下几方面值得肯定：</w:t>
      </w:r>
    </w:p>
    <w:p w14:paraId="6403DFFE">
      <w:pPr>
        <w:pStyle w:val="15"/>
        <w:pageBreakBefore w:val="0"/>
        <w:widowControl w:val="0"/>
        <w:kinsoku/>
        <w:wordWrap/>
        <w:overflowPunct/>
        <w:topLinePunct w:val="0"/>
        <w:autoSpaceDE/>
        <w:autoSpaceDN/>
        <w:bidi w:val="0"/>
        <w:adjustRightInd/>
        <w:snapToGrid/>
        <w:spacing w:after="80" w:line="520" w:lineRule="exact"/>
        <w:ind w:firstLine="640" w:firstLineChars="200"/>
        <w:jc w:val="both"/>
        <w:textAlignment w:val="auto"/>
        <w:rPr>
          <w:rFonts w:hint="eastAsia" w:ascii="仿宋_GB2312" w:eastAsia="仿宋_GB2312"/>
          <w:color w:val="auto"/>
          <w:sz w:val="32"/>
          <w:szCs w:val="32"/>
          <w:lang w:val="en-US" w:eastAsia="zh-CN"/>
        </w:rPr>
      </w:pPr>
      <w:bookmarkStart w:id="39" w:name="bookmark48"/>
      <w:bookmarkEnd w:id="39"/>
      <w:bookmarkStart w:id="40" w:name="bookmark47"/>
      <w:bookmarkEnd w:id="40"/>
      <w:bookmarkStart w:id="41" w:name="bookmark46"/>
      <w:bookmarkEnd w:id="41"/>
      <w:r>
        <w:rPr>
          <w:rFonts w:hint="eastAsia" w:ascii="仿宋_GB2312" w:eastAsia="仿宋_GB2312"/>
          <w:color w:val="auto"/>
          <w:sz w:val="32"/>
          <w:szCs w:val="32"/>
          <w:lang w:val="en-US" w:eastAsia="zh-CN"/>
        </w:rPr>
        <w:t>（1）第一片区社工完成困难群众和特殊群体建档工作，应建已建159户175人，建档率100%，从“身、心”两个维度入手，通过联动政府、村居、颐康中心、高校志愿者等资源为困境长者提供健康维护、情感陪伴服务，有效提升了困境长者的健康管理意识，排解了困境长者的不良情绪。</w:t>
      </w:r>
    </w:p>
    <w:p w14:paraId="0BA0486A">
      <w:pPr>
        <w:pStyle w:val="15"/>
        <w:pageBreakBefore w:val="0"/>
        <w:widowControl w:val="0"/>
        <w:kinsoku/>
        <w:wordWrap/>
        <w:overflowPunct/>
        <w:topLinePunct w:val="0"/>
        <w:autoSpaceDE/>
        <w:autoSpaceDN/>
        <w:bidi w:val="0"/>
        <w:adjustRightInd/>
        <w:snapToGrid/>
        <w:spacing w:after="80" w:line="52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（2）设置完善的服务跟踪回访机制，并定期对服务回访数据进行总结分析，促进服务持续改进。</w:t>
      </w:r>
    </w:p>
    <w:p w14:paraId="44B06E9F">
      <w:pPr>
        <w:pStyle w:val="15"/>
        <w:pageBreakBefore w:val="0"/>
        <w:widowControl w:val="0"/>
        <w:kinsoku/>
        <w:wordWrap/>
        <w:overflowPunct/>
        <w:topLinePunct w:val="0"/>
        <w:autoSpaceDE/>
        <w:autoSpaceDN/>
        <w:bidi w:val="0"/>
        <w:adjustRightInd/>
        <w:snapToGrid/>
        <w:spacing w:after="80" w:line="52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（3）能够动态调整服务对象分布图、社区资源地图、社区问题地图，发挥三图在“摸清问题”方面的作用。</w:t>
      </w:r>
    </w:p>
    <w:p w14:paraId="40340105">
      <w:pPr>
        <w:pStyle w:val="15"/>
        <w:pageBreakBefore w:val="0"/>
        <w:widowControl w:val="0"/>
        <w:kinsoku/>
        <w:wordWrap/>
        <w:overflowPunct/>
        <w:topLinePunct w:val="0"/>
        <w:autoSpaceDE/>
        <w:autoSpaceDN/>
        <w:bidi w:val="0"/>
        <w:adjustRightInd/>
        <w:snapToGrid/>
        <w:spacing w:after="80" w:line="520" w:lineRule="exact"/>
        <w:ind w:firstLine="643" w:firstLineChars="2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2.需要关注的地方</w:t>
      </w:r>
    </w:p>
    <w:p w14:paraId="742ADCA7">
      <w:pPr>
        <w:pStyle w:val="15"/>
        <w:pageBreakBefore w:val="0"/>
        <w:widowControl w:val="0"/>
        <w:kinsoku/>
        <w:wordWrap/>
        <w:overflowPunct/>
        <w:topLinePunct w:val="0"/>
        <w:autoSpaceDE/>
        <w:autoSpaceDN/>
        <w:bidi w:val="0"/>
        <w:adjustRightInd/>
        <w:snapToGrid/>
        <w:spacing w:after="0" w:line="52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经评委评估分析访谈情况和查阅项目调研、服务方案等各类服务工作痕迹记录资料，项目执行和成效总体情况有以下几方面需关注：</w:t>
      </w:r>
    </w:p>
    <w:p w14:paraId="330722C0">
      <w:pPr>
        <w:pStyle w:val="15"/>
        <w:pageBreakBefore w:val="0"/>
        <w:widowControl w:val="0"/>
        <w:tabs>
          <w:tab w:val="left" w:pos="972"/>
        </w:tabs>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lang w:eastAsia="zh-CN"/>
        </w:rPr>
      </w:pPr>
      <w:bookmarkStart w:id="42" w:name="bookmark57"/>
      <w:bookmarkEnd w:id="42"/>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）在兜底民生服务方面，建议结合困难群众和特殊群体的类别、所占比例等因素合理设计服务，避免服务仅聚焦少部分群体，忽视其他群体的需求，影响资源、服务等在群体内的分配。</w:t>
      </w:r>
    </w:p>
    <w:p w14:paraId="2AF2B7DA">
      <w:pPr>
        <w:pStyle w:val="15"/>
        <w:pageBreakBefore w:val="0"/>
        <w:widowControl w:val="0"/>
        <w:tabs>
          <w:tab w:val="left" w:pos="972"/>
        </w:tabs>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）建议根据《广州市社工站购买服务项目服务清单（民政领域社会工作）》的文件精神，进一步理解基础性民生服务和普惠性民生服务的服务内容，提高服务设计的精准性。</w:t>
      </w:r>
    </w:p>
    <w:p w14:paraId="31F9F4F9">
      <w:pPr>
        <w:pStyle w:val="15"/>
        <w:pageBreakBefore w:val="0"/>
        <w:widowControl w:val="0"/>
        <w:tabs>
          <w:tab w:val="left" w:pos="972"/>
        </w:tabs>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发展性</w:t>
      </w:r>
      <w:r>
        <w:rPr>
          <w:rFonts w:hint="eastAsia" w:ascii="仿宋_GB2312" w:eastAsia="仿宋_GB2312"/>
          <w:color w:val="auto"/>
          <w:sz w:val="32"/>
          <w:szCs w:val="32"/>
          <w:lang w:eastAsia="zh-CN"/>
        </w:rPr>
        <w:t>改善建议，如，关注案主问题与需求之间的对应性问题，理论选择及应用问题，疑难案例解决的呈现方式问题等。</w:t>
      </w:r>
    </w:p>
    <w:p w14:paraId="60AFAC2E">
      <w:pPr>
        <w:pStyle w:val="15"/>
        <w:pageBreakBefore w:val="0"/>
        <w:widowControl w:val="0"/>
        <w:tabs>
          <w:tab w:val="left" w:pos="972"/>
        </w:tabs>
        <w:kinsoku/>
        <w:wordWrap/>
        <w:overflowPunct/>
        <w:topLinePunct w:val="0"/>
        <w:autoSpaceDE/>
        <w:autoSpaceDN/>
        <w:bidi w:val="0"/>
        <w:adjustRightInd/>
        <w:snapToGrid/>
        <w:spacing w:after="0" w:line="520" w:lineRule="exact"/>
        <w:ind w:firstLine="643" w:firstLineChars="200"/>
        <w:jc w:val="both"/>
        <w:textAlignment w:val="auto"/>
        <w:rPr>
          <w:rFonts w:ascii="仿宋_GB2312" w:eastAsia="仿宋_GB2312"/>
          <w:color w:val="auto"/>
          <w:sz w:val="32"/>
          <w:szCs w:val="32"/>
        </w:rPr>
      </w:pPr>
      <w:r>
        <w:rPr>
          <w:rFonts w:hint="eastAsia" w:ascii="仿宋_GB2312" w:eastAsia="仿宋_GB2312"/>
          <w:b/>
          <w:bCs/>
          <w:color w:val="auto"/>
          <w:sz w:val="32"/>
          <w:szCs w:val="32"/>
          <w:lang w:val="en-US" w:eastAsia="zh-CN"/>
        </w:rPr>
        <w:t>第二片区：新造社区、郭塱村、练溪村、农场村</w:t>
      </w:r>
    </w:p>
    <w:p w14:paraId="6ECE6363">
      <w:pPr>
        <w:pStyle w:val="15"/>
        <w:pageBreakBefore w:val="0"/>
        <w:widowControl w:val="0"/>
        <w:numPr>
          <w:ilvl w:val="0"/>
          <w:numId w:val="4"/>
        </w:numPr>
        <w:tabs>
          <w:tab w:val="left" w:pos="972"/>
        </w:tabs>
        <w:kinsoku/>
        <w:wordWrap/>
        <w:overflowPunct/>
        <w:topLinePunct w:val="0"/>
        <w:autoSpaceDE/>
        <w:autoSpaceDN/>
        <w:bidi w:val="0"/>
        <w:adjustRightInd/>
        <w:snapToGrid/>
        <w:spacing w:after="0" w:line="520" w:lineRule="exact"/>
        <w:ind w:firstLine="580"/>
        <w:jc w:val="both"/>
        <w:textAlignment w:val="auto"/>
        <w:rPr>
          <w:rFonts w:ascii="仿宋_GB2312" w:eastAsia="仿宋_GB2312"/>
          <w:color w:val="auto"/>
          <w:sz w:val="32"/>
          <w:szCs w:val="32"/>
        </w:rPr>
      </w:pPr>
      <w:r>
        <w:rPr>
          <w:rFonts w:hint="eastAsia" w:ascii="仿宋_GB2312" w:eastAsia="仿宋_GB2312"/>
          <w:b/>
          <w:bCs/>
          <w:color w:val="auto"/>
          <w:sz w:val="32"/>
          <w:szCs w:val="32"/>
        </w:rPr>
        <w:t>值得肯定的地方</w:t>
      </w:r>
    </w:p>
    <w:p w14:paraId="2A8AEB09">
      <w:pPr>
        <w:pStyle w:val="15"/>
        <w:pageBreakBefore w:val="0"/>
        <w:widowControl w:val="0"/>
        <w:kinsoku/>
        <w:wordWrap/>
        <w:overflowPunct/>
        <w:topLinePunct w:val="0"/>
        <w:autoSpaceDE/>
        <w:autoSpaceDN/>
        <w:bidi w:val="0"/>
        <w:adjustRightInd/>
        <w:snapToGrid/>
        <w:spacing w:after="0" w:line="52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w:t>
      </w:r>
      <w:r>
        <w:rPr>
          <w:rFonts w:hint="eastAsia" w:ascii="仿宋_GB2312" w:eastAsia="仿宋_GB2312"/>
          <w:color w:val="auto"/>
          <w:sz w:val="32"/>
          <w:szCs w:val="32"/>
          <w:lang w:eastAsia="zh-CN"/>
        </w:rPr>
        <w:t>服务方案</w:t>
      </w:r>
      <w:r>
        <w:rPr>
          <w:rFonts w:hint="eastAsia" w:ascii="仿宋_GB2312" w:eastAsia="仿宋_GB2312"/>
          <w:color w:val="auto"/>
          <w:sz w:val="32"/>
          <w:szCs w:val="32"/>
        </w:rPr>
        <w:t>等各类服务工作痕迹记录资料，该项</w:t>
      </w:r>
      <w:r>
        <w:rPr>
          <w:rFonts w:hint="eastAsia" w:ascii="仿宋_GB2312" w:eastAsia="仿宋_GB2312"/>
          <w:color w:val="auto"/>
          <w:sz w:val="32"/>
          <w:szCs w:val="32"/>
          <w:lang w:eastAsia="zh-CN"/>
        </w:rPr>
        <w:t>目在</w:t>
      </w:r>
      <w:r>
        <w:rPr>
          <w:rFonts w:hint="eastAsia" w:ascii="仿宋_GB2312" w:eastAsia="仿宋_GB2312"/>
          <w:color w:val="auto"/>
          <w:sz w:val="32"/>
          <w:szCs w:val="32"/>
        </w:rPr>
        <w:t>以下几方面值得肯定：</w:t>
      </w:r>
      <w:bookmarkStart w:id="43" w:name="bookmark58"/>
      <w:bookmarkEnd w:id="43"/>
      <w:bookmarkStart w:id="44" w:name="bookmark59"/>
      <w:bookmarkEnd w:id="44"/>
    </w:p>
    <w:p w14:paraId="791E5194">
      <w:pPr>
        <w:pStyle w:val="15"/>
        <w:pageBreakBefore w:val="0"/>
        <w:widowControl w:val="0"/>
        <w:tabs>
          <w:tab w:val="left" w:pos="986"/>
        </w:tabs>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lang w:val="en-US" w:eastAsia="zh-CN"/>
        </w:rPr>
      </w:pPr>
      <w:bookmarkStart w:id="45" w:name="bookmark60"/>
      <w:bookmarkEnd w:id="45"/>
      <w:r>
        <w:rPr>
          <w:rFonts w:hint="eastAsia" w:ascii="仿宋_GB2312" w:eastAsia="仿宋_GB2312"/>
          <w:color w:val="auto"/>
          <w:sz w:val="32"/>
          <w:szCs w:val="32"/>
          <w:lang w:val="en-US" w:eastAsia="zh-CN"/>
        </w:rPr>
        <w:t>（1）第二片区社工团队完成困难群众和特殊群体百分百建档工作（应建已建171户194人），能够按照社工站相关服务规范与指引完成各项规定的服务指标：累计探访电访648人次，困难群众和特殊群体的服务100%全覆盖；共完成辅导个案2个、咨询个案2个，指标完成量为50％。完成小组2个，指标完成量为100％。各类社区活动6个（大型活动完成量100%、中小型活动完成量66.67%），开展兜底民生政策宣传共计3场次。根据相关机制较好地做好跟踪回访等工作。家庭服务档案信息和个案、小组、社区等各类文书完整，信息详细。</w:t>
      </w:r>
    </w:p>
    <w:p w14:paraId="011E57E5">
      <w:pPr>
        <w:pStyle w:val="15"/>
        <w:pageBreakBefore w:val="0"/>
        <w:widowControl w:val="0"/>
        <w:tabs>
          <w:tab w:val="left" w:pos="986"/>
        </w:tabs>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能够根据上期评估反馈意见提升建档质量、完善需求调查和年度服务计划逻辑性。片区综合采用资料分析法、问卷调查、访谈法和社区走访等调研方法，从健康管理、情感陪伴与社会融入、照顾者支持、个性化帮扶、公益慈善和文化生活等维度分析各类群体轻重缓急需求情况，为年度服务计划的制定奠定了扎实的需求基础。年度计划与需求分析报告能够较好地对应，具有一定逻辑性、可行性。</w:t>
      </w:r>
    </w:p>
    <w:p w14:paraId="1AA4C181">
      <w:pPr>
        <w:pStyle w:val="15"/>
        <w:pageBreakBefore w:val="0"/>
        <w:widowControl w:val="0"/>
        <w:tabs>
          <w:tab w:val="left" w:pos="986"/>
        </w:tabs>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能够充分发掘和运用片区丰富的慈善与志愿服务资源（新造镇慈善会、新造商会、爱心企业、大中小学志愿组织等），形成并深化“社工+慈善+志愿服务”的服务模式，多方协力织密“日常关怀、精准帮扶、应急援助”的兜底保障服务网，在健康护航、失能家庭支持、困难服务对象关爱、微心愿支持等方面产生良好服务效果，增强困难群众和特殊群体的整体社会支持。共计联动志愿者107人次，服务困难群众和特殊群体99人次，为慈善基金筹集善款3304元，为困难群众和特殊群体累计链接财力、物力资源共计49807.61元，片区的专业服务具有一定的专业性，取得了不错的成效，如协助丧偶二级肢体残疾服务对象实现从“待业在家”到“灵活就业增收”的转变；协助听障妇女重建支持网络。注重服务成效的总结与宣传，获得媒体报道11次，其中，省级3次，区级2次，镇级6次。</w:t>
      </w:r>
    </w:p>
    <w:p w14:paraId="4244C1C7">
      <w:pPr>
        <w:pStyle w:val="15"/>
        <w:pageBreakBefore w:val="0"/>
        <w:widowControl w:val="0"/>
        <w:tabs>
          <w:tab w:val="left" w:pos="986"/>
        </w:tabs>
        <w:kinsoku/>
        <w:wordWrap/>
        <w:overflowPunct/>
        <w:topLinePunct w:val="0"/>
        <w:autoSpaceDE/>
        <w:autoSpaceDN/>
        <w:bidi w:val="0"/>
        <w:adjustRightInd/>
        <w:snapToGrid/>
        <w:spacing w:after="0" w:line="520" w:lineRule="exact"/>
        <w:ind w:firstLine="643" w:firstLineChars="200"/>
        <w:jc w:val="both"/>
        <w:textAlignment w:val="auto"/>
        <w:rPr>
          <w:rFonts w:ascii="仿宋_GB2312" w:eastAsia="仿宋_GB2312"/>
          <w:color w:val="auto"/>
          <w:sz w:val="32"/>
          <w:szCs w:val="32"/>
        </w:rPr>
      </w:pPr>
      <w:r>
        <w:rPr>
          <w:rFonts w:hint="eastAsia" w:ascii="仿宋_GB2312" w:eastAsia="仿宋_GB2312"/>
          <w:b/>
          <w:bCs/>
          <w:color w:val="auto"/>
          <w:sz w:val="32"/>
          <w:szCs w:val="32"/>
          <w:lang w:val="en-US" w:eastAsia="zh-CN"/>
        </w:rPr>
        <w:t>2.</w:t>
      </w:r>
      <w:r>
        <w:rPr>
          <w:rFonts w:hint="eastAsia" w:ascii="仿宋_GB2312" w:eastAsia="仿宋_GB2312"/>
          <w:b/>
          <w:bCs/>
          <w:color w:val="auto"/>
          <w:sz w:val="32"/>
          <w:szCs w:val="32"/>
        </w:rPr>
        <w:t>需要关注的地方</w:t>
      </w:r>
    </w:p>
    <w:p w14:paraId="74A859F8">
      <w:pPr>
        <w:pStyle w:val="15"/>
        <w:pageBreakBefore w:val="0"/>
        <w:widowControl w:val="0"/>
        <w:kinsoku/>
        <w:wordWrap/>
        <w:overflowPunct/>
        <w:topLinePunct w:val="0"/>
        <w:autoSpaceDE/>
        <w:autoSpaceDN/>
        <w:bidi w:val="0"/>
        <w:adjustRightInd/>
        <w:snapToGrid/>
        <w:spacing w:after="0" w:line="52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w:t>
      </w:r>
      <w:r>
        <w:rPr>
          <w:rFonts w:hint="eastAsia" w:ascii="仿宋_GB2312" w:eastAsia="仿宋_GB2312"/>
          <w:color w:val="auto"/>
          <w:sz w:val="32"/>
          <w:szCs w:val="32"/>
          <w:lang w:eastAsia="zh-CN"/>
        </w:rPr>
        <w:t>服务方案</w:t>
      </w:r>
      <w:r>
        <w:rPr>
          <w:rFonts w:hint="eastAsia" w:ascii="仿宋_GB2312" w:eastAsia="仿宋_GB2312"/>
          <w:color w:val="auto"/>
          <w:sz w:val="32"/>
          <w:szCs w:val="32"/>
        </w:rPr>
        <w:t>等各类服务工作痕迹记录资料，该项目以下方面需关注：</w:t>
      </w:r>
    </w:p>
    <w:p w14:paraId="5FBBEDAB">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lang w:val="en-US" w:eastAsia="zh-CN"/>
        </w:rPr>
      </w:pPr>
      <w:bookmarkStart w:id="46" w:name="bookmark61"/>
      <w:bookmarkEnd w:id="46"/>
      <w:bookmarkStart w:id="47" w:name="bookmark62"/>
      <w:bookmarkEnd w:id="47"/>
      <w:r>
        <w:rPr>
          <w:rFonts w:hint="eastAsia" w:ascii="仿宋_GB2312" w:eastAsia="仿宋_GB2312"/>
          <w:color w:val="auto"/>
          <w:sz w:val="32"/>
          <w:szCs w:val="32"/>
          <w:lang w:val="en-US" w:eastAsia="zh-CN"/>
        </w:rPr>
        <w:t>（1）年度计划子计划主题过多（从友爱关怀、健康护航、失能家庭支持、困难服务对象关爱、微心愿支持、党群同心公益行动、志愿者培育发展、社区公益慈善募集、关爱“一老一小”等方面进行设计），焦点容易分散，层次不够分明。建议厘清上述各计划之间的内在联系（包含与被包含层次关系），并进行适当的优化整合，形成大计划与子计划的更清晰地展现逻辑搭配。</w:t>
      </w:r>
    </w:p>
    <w:p w14:paraId="6BC2D5F5">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探访服务的质量还有待加强，探访过程中要更加注重针对性和专业性元素。目前服务对象家庭信息汇总表服务需求一栏大多数显示“暂无突出需求”或“暂无服务需求”，而探访记录的内容虽然具体但专业内涵比较简单、浅层，主要为健康状况关心、日常生活的嘘寒问暖和温馨提醒类的谈话，服务方向仅为问候性或支持性的服务，更深层次的心理层面、关系层面的需求还未见触碰或涉及，所有在册服务对象如何真正体现“一人一案”跟进目标与策略，需要进一步探索。另外，需要注意规范使用社会工作介入理论模式，如肢体残疾人案例中个案计划写着“灵活性就业”是其中一个介入理论/模式，需要修改完善。</w:t>
      </w:r>
    </w:p>
    <w:p w14:paraId="33D3E777">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发展性建议：第二片区共4个社区中有3个村都是大学城拆迁安置小区，但从目前片区的调研、需求、服务计划和服务过程中都没有体现这一历史背景和文化特色。虽然拆迁安置距今已有20年时间，但村庄历史变迁和这些居民的集体记忆在客观上和主观上还在，社会融入（社会网络、社会资本重建、文化适应等）一般需要比较长的时间周期。建议对3条村的拆迁和社区重建历史背景及其自身原有的文化（农耕、宗祠、龙舟等）需要更为敏感，在需求了解、服务计划和服务过程中可考虑增加这方面的元素，更深入地理解这些居民的现状是如何形成的，也更深入地服务这些人群。</w:t>
      </w:r>
    </w:p>
    <w:p w14:paraId="44C6C0F4">
      <w:pPr>
        <w:pStyle w:val="15"/>
        <w:pageBreakBefore w:val="0"/>
        <w:widowControl w:val="0"/>
        <w:kinsoku/>
        <w:wordWrap/>
        <w:overflowPunct/>
        <w:topLinePunct w:val="0"/>
        <w:autoSpaceDE/>
        <w:autoSpaceDN/>
        <w:bidi w:val="0"/>
        <w:adjustRightInd/>
        <w:snapToGrid/>
        <w:spacing w:after="0" w:line="520" w:lineRule="exact"/>
        <w:ind w:firstLine="643" w:firstLineChars="200"/>
        <w:jc w:val="both"/>
        <w:textAlignment w:val="auto"/>
        <w:rPr>
          <w:rFonts w:hint="eastAsia" w:ascii="仿宋_GB2312" w:eastAsia="仿宋_GB2312"/>
          <w:b/>
          <w:bCs/>
          <w:color w:val="auto"/>
          <w:sz w:val="32"/>
          <w:szCs w:val="32"/>
          <w:lang w:val="en-US" w:eastAsia="zh-CN"/>
        </w:rPr>
      </w:pPr>
      <w:r>
        <w:rPr>
          <w:rFonts w:hint="eastAsia" w:ascii="仿宋_GB2312" w:eastAsia="仿宋_GB2312"/>
          <w:b/>
          <w:bCs/>
          <w:color w:val="auto"/>
          <w:sz w:val="32"/>
          <w:szCs w:val="32"/>
          <w:lang w:eastAsia="zh-CN"/>
        </w:rPr>
        <w:t>第三片区：秀发村、思贤村、曾边村</w:t>
      </w:r>
    </w:p>
    <w:p w14:paraId="6307E300">
      <w:pPr>
        <w:pStyle w:val="15"/>
        <w:pageBreakBefore w:val="0"/>
        <w:widowControl w:val="0"/>
        <w:kinsoku/>
        <w:wordWrap/>
        <w:overflowPunct/>
        <w:topLinePunct w:val="0"/>
        <w:autoSpaceDE/>
        <w:autoSpaceDN/>
        <w:bidi w:val="0"/>
        <w:adjustRightInd/>
        <w:snapToGrid/>
        <w:spacing w:after="0" w:line="52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14:paraId="5E8C575E">
      <w:pPr>
        <w:pStyle w:val="15"/>
        <w:pageBreakBefore w:val="0"/>
        <w:widowControl w:val="0"/>
        <w:kinsoku/>
        <w:wordWrap/>
        <w:overflowPunct/>
        <w:topLinePunct w:val="0"/>
        <w:autoSpaceDE/>
        <w:autoSpaceDN/>
        <w:bidi w:val="0"/>
        <w:adjustRightInd/>
        <w:snapToGrid/>
        <w:spacing w:after="0" w:line="52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w:t>
      </w:r>
      <w:r>
        <w:rPr>
          <w:rFonts w:hint="eastAsia" w:ascii="仿宋_GB2312" w:eastAsia="仿宋_GB2312"/>
          <w:color w:val="auto"/>
          <w:sz w:val="32"/>
          <w:szCs w:val="32"/>
          <w:lang w:eastAsia="zh-CN"/>
        </w:rPr>
        <w:t>服务方案</w:t>
      </w:r>
      <w:r>
        <w:rPr>
          <w:rFonts w:hint="eastAsia" w:ascii="仿宋_GB2312" w:eastAsia="仿宋_GB2312"/>
          <w:color w:val="auto"/>
          <w:sz w:val="32"/>
          <w:szCs w:val="32"/>
        </w:rPr>
        <w:t>等各类服务工作痕迹记录资料，该项</w:t>
      </w:r>
      <w:r>
        <w:rPr>
          <w:rFonts w:hint="eastAsia" w:ascii="仿宋_GB2312" w:eastAsia="仿宋_GB2312"/>
          <w:color w:val="auto"/>
          <w:sz w:val="32"/>
          <w:szCs w:val="32"/>
          <w:lang w:eastAsia="zh-CN"/>
        </w:rPr>
        <w:t>目在</w:t>
      </w:r>
      <w:r>
        <w:rPr>
          <w:rFonts w:hint="eastAsia" w:ascii="仿宋_GB2312" w:eastAsia="仿宋_GB2312"/>
          <w:color w:val="auto"/>
          <w:sz w:val="32"/>
          <w:szCs w:val="32"/>
        </w:rPr>
        <w:t>以下几方面值得肯定：</w:t>
      </w:r>
    </w:p>
    <w:p w14:paraId="3B4FA3FC">
      <w:pPr>
        <w:pStyle w:val="15"/>
        <w:pageBreakBefore w:val="0"/>
        <w:widowControl w:val="0"/>
        <w:kinsoku/>
        <w:wordWrap/>
        <w:overflowPunct/>
        <w:topLinePunct w:val="0"/>
        <w:autoSpaceDE/>
        <w:autoSpaceDN/>
        <w:bidi w:val="0"/>
        <w:adjustRightInd/>
        <w:snapToGrid/>
        <w:spacing w:after="0" w:line="520" w:lineRule="exact"/>
        <w:ind w:firstLine="600"/>
        <w:jc w:val="both"/>
        <w:textAlignment w:val="auto"/>
        <w:rPr>
          <w:rFonts w:hint="eastAsia" w:ascii="仿宋_GB2312" w:eastAsia="仿宋_GB2312"/>
          <w:color w:val="auto"/>
          <w:sz w:val="32"/>
          <w:szCs w:val="32"/>
          <w:lang w:eastAsia="zh-CN"/>
        </w:rPr>
      </w:pPr>
      <w:bookmarkStart w:id="48" w:name="bookmark64"/>
      <w:bookmarkEnd w:id="48"/>
      <w:bookmarkStart w:id="49" w:name="bookmark63"/>
      <w:bookmarkEnd w:id="49"/>
      <w:bookmarkStart w:id="50" w:name="bookmark65"/>
      <w:bookmarkEnd w:id="50"/>
      <w:bookmarkStart w:id="51" w:name="bookmark66"/>
      <w:bookmarkEnd w:id="51"/>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社工关注兜底人群服务，制定困难群众和特殊群体跟进机制，为17类困难群众和特殊群体提供多种服务。各个社工点已经实现100%全覆盖建档。第三片区应建档总人数为138户148人，实际建档总人数为138户148人，完成152次探访，225次电访，实现分级跟进全覆盖。社工对出现特殊情况的服务对象，能积极发挥作用，服务跟进到位。跟进3个个案，编写《困难群体疑难问题解决情况》。</w:t>
      </w:r>
    </w:p>
    <w:p w14:paraId="43AA2ABD">
      <w:pPr>
        <w:pStyle w:val="15"/>
        <w:pageBreakBefore w:val="0"/>
        <w:widowControl w:val="0"/>
        <w:kinsoku/>
        <w:wordWrap/>
        <w:overflowPunct/>
        <w:topLinePunct w:val="0"/>
        <w:autoSpaceDE/>
        <w:autoSpaceDN/>
        <w:bidi w:val="0"/>
        <w:adjustRightInd/>
        <w:snapToGrid/>
        <w:spacing w:after="0" w:line="520" w:lineRule="exact"/>
        <w:ind w:firstLine="6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社工服务团队工作认真负责，深入社区落实对困难群众和特殊群体的服务，具有较好的专业服务精神，片区针对上周期服务的整改比较认真，积极进行服务改善。第一，针对上周期提出加强服务流程以及回访机制落地问题，社工积极改善，实现三大专业手法服务流程全面修订，完善回访机制，个案、小组都能有相关回访记录。第二，针对服务建档方面探访、电访记录过于简单的问题，社工在本周期内积极增加探访次数，并针对服务对象的情况更新探访内容，强化了服务对象的个体需求，增加多方面的调研方式，加强服务需求、年度计划以及服务落实的关联性。</w:t>
      </w:r>
    </w:p>
    <w:p w14:paraId="63076446">
      <w:pPr>
        <w:pStyle w:val="15"/>
        <w:pageBreakBefore w:val="0"/>
        <w:widowControl w:val="0"/>
        <w:kinsoku/>
        <w:wordWrap/>
        <w:overflowPunct/>
        <w:topLinePunct w:val="0"/>
        <w:autoSpaceDE/>
        <w:autoSpaceDN/>
        <w:bidi w:val="0"/>
        <w:adjustRightInd/>
        <w:snapToGrid/>
        <w:spacing w:after="0" w:line="520" w:lineRule="exact"/>
        <w:ind w:firstLine="6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第三片区针对兜底人群服务，打造“文化+公益+民生”深度融合服务，聚焦残疾人就业议题，通过义卖实现残疾人增收以及形成“爱心产出－义卖传播－反哺帮扶”的良性循环，项目周期内联动政府部门、企业等主体，链接物资、资金折合价值34983.8元，得到合作方以及服务对象的好评，收获感谢信4封。</w:t>
      </w:r>
    </w:p>
    <w:p w14:paraId="49A442C3">
      <w:pPr>
        <w:pStyle w:val="15"/>
        <w:pageBreakBefore w:val="0"/>
        <w:widowControl w:val="0"/>
        <w:kinsoku/>
        <w:wordWrap/>
        <w:overflowPunct/>
        <w:topLinePunct w:val="0"/>
        <w:autoSpaceDE/>
        <w:autoSpaceDN/>
        <w:bidi w:val="0"/>
        <w:adjustRightInd/>
        <w:snapToGrid/>
        <w:spacing w:after="0" w:line="52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p>
    <w:p w14:paraId="7900B063">
      <w:pPr>
        <w:pStyle w:val="15"/>
        <w:pageBreakBefore w:val="0"/>
        <w:widowControl w:val="0"/>
        <w:kinsoku/>
        <w:wordWrap/>
        <w:overflowPunct/>
        <w:topLinePunct w:val="0"/>
        <w:autoSpaceDE/>
        <w:autoSpaceDN/>
        <w:bidi w:val="0"/>
        <w:adjustRightInd/>
        <w:snapToGrid/>
        <w:spacing w:after="0" w:line="52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w:t>
      </w:r>
      <w:r>
        <w:rPr>
          <w:rFonts w:hint="eastAsia" w:ascii="仿宋_GB2312" w:eastAsia="仿宋_GB2312"/>
          <w:color w:val="auto"/>
          <w:sz w:val="32"/>
          <w:szCs w:val="32"/>
          <w:lang w:eastAsia="zh-CN"/>
        </w:rPr>
        <w:t>服务方案</w:t>
      </w:r>
      <w:r>
        <w:rPr>
          <w:rFonts w:hint="eastAsia" w:ascii="仿宋_GB2312" w:eastAsia="仿宋_GB2312"/>
          <w:color w:val="auto"/>
          <w:sz w:val="32"/>
          <w:szCs w:val="32"/>
        </w:rPr>
        <w:t>等各类服务工作痕迹记录资料，该项目以下几方面需关注：</w:t>
      </w:r>
    </w:p>
    <w:p w14:paraId="199F3F9C">
      <w:pPr>
        <w:pStyle w:val="15"/>
        <w:pageBreakBefore w:val="0"/>
        <w:widowControl w:val="0"/>
        <w:kinsoku/>
        <w:wordWrap/>
        <w:overflowPunct/>
        <w:topLinePunct w:val="0"/>
        <w:autoSpaceDE/>
        <w:autoSpaceDN/>
        <w:bidi w:val="0"/>
        <w:adjustRightInd/>
        <w:snapToGrid/>
        <w:spacing w:after="0" w:line="520" w:lineRule="exact"/>
        <w:ind w:firstLine="740"/>
        <w:jc w:val="both"/>
        <w:textAlignment w:val="auto"/>
        <w:rPr>
          <w:rFonts w:hint="eastAsia" w:ascii="仿宋_GB2312" w:eastAsia="仿宋_GB2312"/>
          <w:color w:val="auto"/>
          <w:sz w:val="32"/>
          <w:szCs w:val="32"/>
          <w:lang w:eastAsia="zh-CN"/>
        </w:rPr>
      </w:pPr>
      <w:bookmarkStart w:id="52" w:name="bookmark69"/>
      <w:bookmarkEnd w:id="52"/>
      <w:bookmarkStart w:id="53" w:name="bookmark68"/>
      <w:bookmarkEnd w:id="53"/>
      <w:bookmarkStart w:id="54" w:name="bookmark67"/>
      <w:bookmarkEnd w:id="54"/>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建议对困难群众和特殊群体的服务仍需进一步夯实。第一，社区三图中的社区资源地图需要进一步清晰资源方的资料以及可使用情况；第二，在探访以及电访记录中，社工很详细介绍了探访的内容，但服务深度需要进一步加强，如增加服务对象的反馈以及未来的服务反思等内容。</w:t>
      </w:r>
    </w:p>
    <w:p w14:paraId="56306295">
      <w:pPr>
        <w:pStyle w:val="15"/>
        <w:pageBreakBefore w:val="0"/>
        <w:widowControl w:val="0"/>
        <w:kinsoku/>
        <w:wordWrap/>
        <w:overflowPunct/>
        <w:topLinePunct w:val="0"/>
        <w:autoSpaceDE/>
        <w:autoSpaceDN/>
        <w:bidi w:val="0"/>
        <w:adjustRightInd/>
        <w:snapToGrid/>
        <w:spacing w:after="0" w:line="520" w:lineRule="exact"/>
        <w:ind w:firstLine="74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建议第三片区的需求调研与服务计划的逻辑关系需要进一步优化。片区现时的需求调研使用了问卷以及持份者访谈的方式，但在持份者访谈中并没有突出社区对于“文化+公益+民生”深度融合服务的方向以及服务建议，需要在下半年进行补充。</w:t>
      </w:r>
    </w:p>
    <w:p w14:paraId="5ED082B8">
      <w:pPr>
        <w:pStyle w:val="15"/>
        <w:pageBreakBefore w:val="0"/>
        <w:widowControl w:val="0"/>
        <w:kinsoku/>
        <w:wordWrap/>
        <w:overflowPunct/>
        <w:topLinePunct w:val="0"/>
        <w:autoSpaceDE/>
        <w:autoSpaceDN/>
        <w:bidi w:val="0"/>
        <w:adjustRightInd/>
        <w:snapToGrid/>
        <w:spacing w:after="0" w:line="520" w:lineRule="exact"/>
        <w:ind w:firstLine="74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）建议留意民生政策宣传的覆盖面问题。上半年的民生宣传数量虽然达到进度，但缺失了其中一条村的宣传，建议继续加强民生政策宣传，在覆盖面上需要全面覆盖所有村落。</w:t>
      </w:r>
    </w:p>
    <w:p w14:paraId="0457CD13">
      <w:pPr>
        <w:pStyle w:val="15"/>
        <w:pageBreakBefore w:val="0"/>
        <w:widowControl w:val="0"/>
        <w:kinsoku/>
        <w:wordWrap/>
        <w:overflowPunct/>
        <w:topLinePunct w:val="0"/>
        <w:autoSpaceDE/>
        <w:autoSpaceDN/>
        <w:bidi w:val="0"/>
        <w:adjustRightInd/>
        <w:snapToGrid/>
        <w:spacing w:after="0" w:line="520" w:lineRule="exact"/>
        <w:ind w:firstLine="74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4</w:t>
      </w:r>
      <w:r>
        <w:rPr>
          <w:rFonts w:hint="eastAsia" w:ascii="仿宋_GB2312" w:eastAsia="仿宋_GB2312"/>
          <w:color w:val="auto"/>
          <w:sz w:val="32"/>
          <w:szCs w:val="32"/>
          <w:lang w:eastAsia="zh-CN"/>
        </w:rPr>
        <w:t>）建议增加服务的专业性，注意文书编写的细致度。第一，社区活动的活动反馈表有部分只有签名，没有任何意见的反馈，很难统计出服务对象的反馈意见，活动后需要完整反馈服务对象意见；第二，建议片区服务的疑难案例需要向专业案例方向编写。经过查阅记录，现时的疑难案例的编写以简短问题完成程度的方式进行编写，需要按专业个案案例呈现。</w:t>
      </w:r>
    </w:p>
    <w:p w14:paraId="60472C3E">
      <w:pPr>
        <w:pStyle w:val="15"/>
        <w:pageBreakBefore w:val="0"/>
        <w:widowControl w:val="0"/>
        <w:kinsoku/>
        <w:wordWrap/>
        <w:overflowPunct/>
        <w:topLinePunct w:val="0"/>
        <w:autoSpaceDE/>
        <w:autoSpaceDN/>
        <w:bidi w:val="0"/>
        <w:adjustRightInd/>
        <w:snapToGrid/>
        <w:spacing w:after="0" w:line="520" w:lineRule="exact"/>
        <w:ind w:firstLine="740"/>
        <w:jc w:val="both"/>
        <w:textAlignment w:val="auto"/>
        <w:rPr>
          <w:rFonts w:ascii="仿宋_GB2312" w:eastAsia="仿宋_GB2312"/>
          <w:b/>
          <w:bCs/>
          <w:color w:val="auto"/>
          <w:sz w:val="32"/>
          <w:szCs w:val="32"/>
        </w:rPr>
      </w:pPr>
      <w:r>
        <w:rPr>
          <w:rFonts w:hint="eastAsia" w:ascii="仿宋_GB2312" w:eastAsia="仿宋_GB2312"/>
          <w:b/>
          <w:bCs/>
          <w:color w:val="auto"/>
          <w:sz w:val="32"/>
          <w:szCs w:val="32"/>
          <w:lang w:eastAsia="zh-CN"/>
        </w:rPr>
        <w:t>（六）</w:t>
      </w:r>
      <w:r>
        <w:rPr>
          <w:rFonts w:hint="eastAsia" w:ascii="仿宋_GB2312" w:eastAsia="仿宋_GB2312"/>
          <w:b/>
          <w:bCs/>
          <w:color w:val="auto"/>
          <w:sz w:val="32"/>
          <w:szCs w:val="32"/>
        </w:rPr>
        <w:t>购买方反馈情况</w:t>
      </w:r>
    </w:p>
    <w:p w14:paraId="6BF5612F">
      <w:pPr>
        <w:pStyle w:val="15"/>
        <w:pageBreakBefore w:val="0"/>
        <w:widowControl w:val="0"/>
        <w:kinsoku/>
        <w:wordWrap/>
        <w:overflowPunct/>
        <w:topLinePunct w:val="0"/>
        <w:autoSpaceDE/>
        <w:autoSpaceDN/>
        <w:bidi w:val="0"/>
        <w:adjustRightInd/>
        <w:snapToGrid/>
        <w:spacing w:after="80" w:line="520" w:lineRule="exact"/>
        <w:ind w:firstLine="740"/>
        <w:jc w:val="both"/>
        <w:textAlignment w:val="auto"/>
        <w:rPr>
          <w:rFonts w:ascii="仿宋_GB2312" w:eastAsia="仿宋_GB2312"/>
          <w:b/>
          <w:bCs/>
          <w:color w:val="auto"/>
          <w:sz w:val="32"/>
          <w:szCs w:val="32"/>
        </w:rPr>
      </w:pPr>
      <w:r>
        <w:rPr>
          <w:rFonts w:hint="eastAsia" w:ascii="仿宋_GB2312" w:eastAsia="仿宋_GB2312"/>
          <w:b/>
          <w:bCs/>
          <w:color w:val="auto"/>
          <w:sz w:val="32"/>
          <w:szCs w:val="32"/>
        </w:rPr>
        <w:t>1.值得肯定的地方</w:t>
      </w:r>
    </w:p>
    <w:p w14:paraId="47A14A6A">
      <w:pPr>
        <w:pStyle w:val="15"/>
        <w:pageBreakBefore w:val="0"/>
        <w:widowControl w:val="0"/>
        <w:kinsoku/>
        <w:wordWrap/>
        <w:overflowPunct/>
        <w:topLinePunct w:val="0"/>
        <w:autoSpaceDE/>
        <w:autoSpaceDN/>
        <w:bidi w:val="0"/>
        <w:adjustRightInd/>
        <w:snapToGrid/>
        <w:spacing w:after="0" w:line="520" w:lineRule="exact"/>
        <w:ind w:firstLine="578"/>
        <w:jc w:val="both"/>
        <w:textAlignment w:val="auto"/>
        <w:rPr>
          <w:rFonts w:hint="eastAsia" w:ascii="仿宋_GB2312" w:hAnsi="宋体" w:eastAsia="仿宋_GB2312"/>
          <w:color w:val="auto"/>
          <w:sz w:val="32"/>
          <w:szCs w:val="32"/>
          <w:lang w:val="en-US" w:eastAsia="zh-CN"/>
        </w:rPr>
      </w:pPr>
      <w:r>
        <w:rPr>
          <w:rFonts w:hint="eastAsia" w:ascii="仿宋_GB2312" w:eastAsia="仿宋_GB2312"/>
          <w:color w:val="auto"/>
          <w:sz w:val="32"/>
          <w:szCs w:val="32"/>
        </w:rPr>
        <w:t>购买方（</w:t>
      </w:r>
      <w:r>
        <w:rPr>
          <w:rFonts w:hint="eastAsia" w:ascii="仿宋_GB2312" w:eastAsia="仿宋_GB2312"/>
          <w:color w:val="auto"/>
          <w:sz w:val="32"/>
          <w:szCs w:val="32"/>
          <w:lang w:val="en-US" w:eastAsia="zh-CN"/>
        </w:rPr>
        <w:t>新造镇人民政府</w:t>
      </w:r>
      <w:r>
        <w:rPr>
          <w:rFonts w:hint="eastAsia" w:ascii="仿宋_GB2312" w:eastAsia="仿宋_GB2312"/>
          <w:color w:val="auto"/>
          <w:sz w:val="32"/>
          <w:szCs w:val="32"/>
        </w:rPr>
        <w:t>）认为，</w:t>
      </w:r>
      <w:r>
        <w:rPr>
          <w:rFonts w:hint="eastAsia" w:ascii="仿宋_GB2312" w:eastAsia="仿宋_GB2312"/>
          <w:color w:val="auto"/>
          <w:sz w:val="32"/>
          <w:szCs w:val="32"/>
          <w:lang w:val="en-US" w:eastAsia="zh-CN"/>
        </w:rPr>
        <w:t>2025-2026年度，</w:t>
      </w:r>
      <w:r>
        <w:rPr>
          <w:rFonts w:hint="eastAsia" w:ascii="仿宋_GB2312" w:eastAsia="仿宋_GB2312"/>
          <w:color w:val="auto"/>
          <w:sz w:val="32"/>
          <w:szCs w:val="32"/>
          <w:lang w:eastAsia="zh-CN"/>
        </w:rPr>
        <w:t>社工站在人手较为紧张的情况下，相关工作仍能保持正常有序运转，整体履职成效良好。基础保障扎实有力，始终坚持底线思维，兜底工作落实到位，切实解决群众急难愁盼问题，群众认可度较高。重点工作成效显著，高度重视困难群众和特殊群体身心健康关怀，积极开展困难群众和特殊群体志愿服务，相关工作推进扎实、成效较好；困境儿童帮扶、“两热”防控，无偿献血等重点任务落实有力，兜底保障作用持续彰显。应急与发展统筹推进，在防台风、人员协助转移、防汛等应急处置工作中反应迅速、措施到位；同时稳步推进文化品牌搭建、就业帮扶等长远发展工作，各项事务务实有序、衔接顺畅。</w:t>
      </w:r>
    </w:p>
    <w:p w14:paraId="21A9ABEE">
      <w:pPr>
        <w:pStyle w:val="15"/>
        <w:pageBreakBefore w:val="0"/>
        <w:widowControl w:val="0"/>
        <w:numPr>
          <w:ilvl w:val="0"/>
          <w:numId w:val="4"/>
        </w:numPr>
        <w:kinsoku/>
        <w:wordWrap/>
        <w:overflowPunct/>
        <w:topLinePunct w:val="0"/>
        <w:autoSpaceDE/>
        <w:autoSpaceDN/>
        <w:bidi w:val="0"/>
        <w:adjustRightInd/>
        <w:snapToGrid/>
        <w:spacing w:after="0" w:line="520" w:lineRule="exact"/>
        <w:ind w:left="0" w:leftChars="0" w:firstLine="580" w:firstLineChars="0"/>
        <w:jc w:val="both"/>
        <w:textAlignment w:val="auto"/>
        <w:rPr>
          <w:rFonts w:hint="eastAsia" w:ascii="仿宋_GB2312" w:eastAsia="仿宋_GB2312"/>
          <w:b/>
          <w:bCs/>
          <w:color w:val="auto"/>
          <w:sz w:val="32"/>
          <w:szCs w:val="32"/>
        </w:rPr>
      </w:pPr>
      <w:r>
        <w:rPr>
          <w:rFonts w:hint="eastAsia" w:ascii="仿宋_GB2312" w:eastAsia="仿宋_GB2312"/>
          <w:b/>
          <w:bCs/>
          <w:color w:val="auto"/>
          <w:sz w:val="32"/>
          <w:szCs w:val="32"/>
        </w:rPr>
        <w:t>需要关注的地方</w:t>
      </w:r>
    </w:p>
    <w:p w14:paraId="3C85A37B">
      <w:pPr>
        <w:pStyle w:val="15"/>
        <w:pageBreakBefore w:val="0"/>
        <w:widowControl w:val="0"/>
        <w:numPr>
          <w:ilvl w:val="0"/>
          <w:numId w:val="0"/>
        </w:numPr>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受站点楼下装修影响，社工站点路边指引不够清晰，建议加强站点服务指引标识。</w:t>
      </w:r>
    </w:p>
    <w:p w14:paraId="772774D7">
      <w:pPr>
        <w:pStyle w:val="15"/>
        <w:pageBreakBefore w:val="0"/>
        <w:widowControl w:val="0"/>
        <w:numPr>
          <w:ilvl w:val="0"/>
          <w:numId w:val="5"/>
        </w:numPr>
        <w:kinsoku/>
        <w:wordWrap/>
        <w:overflowPunct/>
        <w:topLinePunct w:val="0"/>
        <w:autoSpaceDE/>
        <w:autoSpaceDN/>
        <w:bidi w:val="0"/>
        <w:adjustRightInd/>
        <w:snapToGrid/>
        <w:spacing w:after="120" w:line="520" w:lineRule="exact"/>
        <w:ind w:firstLine="643" w:firstLineChars="200"/>
        <w:jc w:val="both"/>
        <w:textAlignment w:val="auto"/>
        <w:rPr>
          <w:rFonts w:ascii="仿宋_GB2312" w:eastAsia="仿宋_GB2312"/>
          <w:b/>
          <w:bCs/>
          <w:sz w:val="32"/>
          <w:szCs w:val="32"/>
          <w:highlight w:val="none"/>
        </w:rPr>
      </w:pPr>
      <w:r>
        <w:rPr>
          <w:rFonts w:hint="eastAsia" w:ascii="仿宋_GB2312" w:eastAsia="仿宋_GB2312"/>
          <w:b/>
          <w:bCs/>
          <w:sz w:val="32"/>
          <w:szCs w:val="32"/>
          <w:highlight w:val="none"/>
        </w:rPr>
        <w:t>市督导中心反馈</w:t>
      </w:r>
    </w:p>
    <w:p w14:paraId="30254F98">
      <w:pPr>
        <w:pStyle w:val="15"/>
        <w:pageBreakBefore w:val="0"/>
        <w:widowControl w:val="0"/>
        <w:kinsoku/>
        <w:wordWrap/>
        <w:overflowPunct/>
        <w:topLinePunct w:val="0"/>
        <w:autoSpaceDE/>
        <w:autoSpaceDN/>
        <w:bidi w:val="0"/>
        <w:adjustRightInd/>
        <w:snapToGrid/>
        <w:spacing w:after="0" w:line="52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14:paraId="75E6CF3E">
      <w:pPr>
        <w:pStyle w:val="15"/>
        <w:pageBreakBefore w:val="0"/>
        <w:widowControl w:val="0"/>
        <w:kinsoku/>
        <w:wordWrap/>
        <w:overflowPunct/>
        <w:topLinePunct w:val="0"/>
        <w:autoSpaceDE/>
        <w:autoSpaceDN/>
        <w:bidi w:val="0"/>
        <w:adjustRightInd/>
        <w:snapToGrid/>
        <w:spacing w:after="0" w:line="520" w:lineRule="exact"/>
        <w:ind w:firstLine="6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w:t>
      </w:r>
      <w:r>
        <w:rPr>
          <w:rFonts w:hint="eastAsia" w:ascii="仿宋_GB2312" w:eastAsia="仿宋_GB2312"/>
          <w:sz w:val="32"/>
          <w:szCs w:val="32"/>
          <w:lang w:eastAsia="zh-CN"/>
        </w:rPr>
        <w:t>服务方案</w:t>
      </w:r>
      <w:r>
        <w:rPr>
          <w:rFonts w:hint="eastAsia" w:ascii="仿宋_GB2312" w:eastAsia="仿宋_GB2312"/>
          <w:sz w:val="32"/>
          <w:szCs w:val="32"/>
        </w:rPr>
        <w:t>等各类服务工作痕迹记录资料，该项</w:t>
      </w:r>
      <w:r>
        <w:rPr>
          <w:rFonts w:hint="eastAsia" w:ascii="仿宋_GB2312" w:eastAsia="仿宋_GB2312"/>
          <w:sz w:val="32"/>
          <w:szCs w:val="32"/>
          <w:lang w:eastAsia="zh-CN"/>
        </w:rPr>
        <w:t>目在</w:t>
      </w:r>
      <w:r>
        <w:rPr>
          <w:rFonts w:hint="eastAsia" w:ascii="仿宋_GB2312" w:eastAsia="仿宋_GB2312"/>
          <w:sz w:val="32"/>
          <w:szCs w:val="32"/>
        </w:rPr>
        <w:t>以下几方面值得肯定：</w:t>
      </w:r>
    </w:p>
    <w:p w14:paraId="343548EB">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hAnsi="宋体" w:eastAsia="仿宋_GB2312"/>
          <w:color w:val="auto"/>
          <w:sz w:val="32"/>
          <w:szCs w:val="32"/>
          <w:lang w:val="en-US" w:eastAsia="zh-CN"/>
        </w:rPr>
      </w:pPr>
      <w:r>
        <w:rPr>
          <w:rFonts w:hint="eastAsia" w:ascii="仿宋_GB2312" w:eastAsia="仿宋_GB2312"/>
          <w:color w:val="auto"/>
          <w:sz w:val="32"/>
          <w:szCs w:val="32"/>
          <w:lang w:val="en-US" w:eastAsia="zh-CN"/>
        </w:rPr>
        <w:t>（1）</w:t>
      </w:r>
      <w:r>
        <w:rPr>
          <w:rFonts w:hint="eastAsia" w:ascii="仿宋_GB2312" w:hAnsi="宋体" w:eastAsia="仿宋_GB2312"/>
          <w:color w:val="auto"/>
          <w:sz w:val="32"/>
          <w:szCs w:val="32"/>
          <w:lang w:val="en-US" w:eastAsia="zh-CN"/>
        </w:rPr>
        <w:t>项目内部共学常态化开展。项目积极发挥资深社工引领作用，围绕疑难个案研讨、平台使用实操、民生政策等主题，每月常态化推进内部共学，累计开展6期专题学习，营造了持续学习、共同成长的良好氛围。</w:t>
      </w:r>
    </w:p>
    <w:p w14:paraId="1A8D4E2C">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hAnsi="宋体" w:eastAsia="仿宋_GB2312"/>
          <w:color w:val="auto"/>
          <w:sz w:val="32"/>
          <w:szCs w:val="32"/>
          <w:lang w:val="en-US" w:eastAsia="zh-CN"/>
        </w:rPr>
      </w:pPr>
      <w:r>
        <w:rPr>
          <w:rFonts w:hint="eastAsia" w:ascii="仿宋_GB2312" w:eastAsia="仿宋_GB2312"/>
          <w:color w:val="auto"/>
          <w:sz w:val="32"/>
          <w:szCs w:val="32"/>
          <w:lang w:val="en-US" w:eastAsia="zh-CN"/>
        </w:rPr>
        <w:t>（2）</w:t>
      </w:r>
      <w:r>
        <w:rPr>
          <w:rFonts w:hint="eastAsia" w:ascii="仿宋_GB2312" w:hAnsi="宋体" w:eastAsia="仿宋_GB2312"/>
          <w:color w:val="auto"/>
          <w:sz w:val="32"/>
          <w:szCs w:val="32"/>
          <w:lang w:val="en-US" w:eastAsia="zh-CN"/>
        </w:rPr>
        <w:t>项目人员协同紧密联动。项目克服人手不足的挑战，积极联动直聘社工、社区。一是联动挖掘本土人文历史资源，动员社区力量参与慈善帮扶；二是联合村（居）党组织开展“一人一棉被”公益行动、动员党员认领“微心愿”等，累计链接并发放温暖包、健康包及轮椅、洗衣机等急需物资百余份，切实将帮扶资源精准送达困难群众手中，有效提升了服务的协同性与落地实效。</w:t>
      </w:r>
    </w:p>
    <w:p w14:paraId="68879CCA">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hAnsi="宋体" w:eastAsia="仿宋_GB2312"/>
          <w:color w:val="auto"/>
          <w:sz w:val="32"/>
          <w:szCs w:val="32"/>
          <w:lang w:val="en-US" w:eastAsia="zh-CN"/>
        </w:rPr>
      </w:pPr>
      <w:r>
        <w:rPr>
          <w:rFonts w:hint="eastAsia" w:ascii="仿宋_GB2312" w:eastAsia="仿宋_GB2312"/>
          <w:color w:val="auto"/>
          <w:sz w:val="32"/>
          <w:szCs w:val="32"/>
          <w:lang w:val="en-US" w:eastAsia="zh-CN"/>
        </w:rPr>
        <w:t>（3）</w:t>
      </w:r>
      <w:r>
        <w:rPr>
          <w:rFonts w:hint="eastAsia" w:ascii="仿宋_GB2312" w:hAnsi="宋体" w:eastAsia="仿宋_GB2312"/>
          <w:color w:val="auto"/>
          <w:sz w:val="32"/>
          <w:szCs w:val="32"/>
          <w:lang w:val="en-US" w:eastAsia="zh-CN"/>
        </w:rPr>
        <w:t>项目扎实做好信息公开与安全管理工作。在信息公开方面，项目对照民政领域社会工作相关文件及指引要求，及时动态更新《服务清单》等关键信息，确保信息公开透明，保障服务对象知情权；在安全管理方面，健全相关制度及应急预案完善，明确安全管理责任到人，日常工作中严格落实安全隐患排查及消防、三防应急培训演练，有效防范各类安全风险，保障项目安全有序运营。</w:t>
      </w:r>
    </w:p>
    <w:p w14:paraId="0F83AF23">
      <w:pPr>
        <w:pStyle w:val="15"/>
        <w:pageBreakBefore w:val="0"/>
        <w:widowControl w:val="0"/>
        <w:kinsoku/>
        <w:wordWrap/>
        <w:overflowPunct/>
        <w:topLinePunct w:val="0"/>
        <w:autoSpaceDE/>
        <w:autoSpaceDN/>
        <w:bidi w:val="0"/>
        <w:adjustRightInd/>
        <w:snapToGrid/>
        <w:spacing w:after="0" w:line="520" w:lineRule="exact"/>
        <w:ind w:firstLine="643" w:firstLineChars="200"/>
        <w:jc w:val="both"/>
        <w:textAlignment w:val="auto"/>
        <w:rPr>
          <w:rFonts w:ascii="仿宋_GB2312" w:hAnsi="Times New Roman" w:eastAsia="仿宋_GB2312" w:cs="Times New Roman"/>
          <w:b/>
          <w:bCs/>
          <w:color w:val="auto"/>
          <w:sz w:val="32"/>
          <w:szCs w:val="32"/>
          <w:lang w:val="zh-CN" w:eastAsia="zh-CN" w:bidi="zh-CN"/>
        </w:rPr>
      </w:pPr>
      <w:r>
        <w:rPr>
          <w:rFonts w:hint="eastAsia" w:ascii="仿宋_GB2312" w:hAnsi="Times New Roman" w:eastAsia="仿宋_GB2312" w:cs="Times New Roman"/>
          <w:b/>
          <w:bCs/>
          <w:color w:val="auto"/>
          <w:sz w:val="32"/>
          <w:szCs w:val="32"/>
          <w:lang w:val="zh-CN" w:eastAsia="zh-CN" w:bidi="zh-CN"/>
        </w:rPr>
        <w:t>2</w:t>
      </w:r>
      <w:r>
        <w:rPr>
          <w:rFonts w:ascii="仿宋_GB2312" w:hAnsi="Times New Roman" w:eastAsia="仿宋_GB2312" w:cs="Times New Roman"/>
          <w:b/>
          <w:bCs/>
          <w:color w:val="auto"/>
          <w:sz w:val="32"/>
          <w:szCs w:val="32"/>
          <w:lang w:val="zh-CN" w:eastAsia="zh-CN" w:bidi="zh-CN"/>
        </w:rPr>
        <w:t>.需要关注的地方</w:t>
      </w:r>
    </w:p>
    <w:p w14:paraId="7FCC4DCD">
      <w:pPr>
        <w:pStyle w:val="15"/>
        <w:pageBreakBefore w:val="0"/>
        <w:widowControl w:val="0"/>
        <w:kinsoku/>
        <w:wordWrap/>
        <w:overflowPunct/>
        <w:topLinePunct w:val="0"/>
        <w:autoSpaceDE/>
        <w:autoSpaceDN/>
        <w:bidi w:val="0"/>
        <w:adjustRightInd/>
        <w:snapToGrid/>
        <w:spacing w:after="0" w:line="520" w:lineRule="exact"/>
        <w:ind w:firstLine="600"/>
        <w:jc w:val="both"/>
        <w:textAlignment w:val="auto"/>
        <w:rPr>
          <w:rFonts w:hint="eastAsia" w:ascii="仿宋_GB2312" w:hAnsi="宋体" w:eastAsia="仿宋_GB2312"/>
          <w:color w:val="auto"/>
          <w:sz w:val="32"/>
          <w:szCs w:val="32"/>
          <w:lang w:eastAsia="zh-CN"/>
        </w:rPr>
      </w:pPr>
      <w:r>
        <w:rPr>
          <w:rFonts w:hint="eastAsia" w:ascii="仿宋_GB2312" w:hAnsi="宋体" w:eastAsia="仿宋_GB2312"/>
          <w:color w:val="auto"/>
          <w:sz w:val="32"/>
          <w:szCs w:val="32"/>
          <w:lang w:eastAsia="zh-CN"/>
        </w:rPr>
        <w:t>经评委评估分析访谈情况和查阅项目调研、</w:t>
      </w:r>
      <w:r>
        <w:rPr>
          <w:rFonts w:hint="eastAsia" w:ascii="仿宋_GB2312" w:eastAsia="仿宋_GB2312"/>
          <w:color w:val="auto"/>
          <w:sz w:val="32"/>
          <w:szCs w:val="32"/>
          <w:lang w:eastAsia="zh-CN"/>
        </w:rPr>
        <w:t>服务方案</w:t>
      </w:r>
      <w:r>
        <w:rPr>
          <w:rFonts w:hint="eastAsia" w:ascii="仿宋_GB2312" w:hAnsi="宋体" w:eastAsia="仿宋_GB2312"/>
          <w:color w:val="auto"/>
          <w:sz w:val="32"/>
          <w:szCs w:val="32"/>
          <w:lang w:eastAsia="zh-CN"/>
        </w:rPr>
        <w:t>等各类服务工作痕迹记录资料，该项目以下几方面需关注：</w:t>
      </w:r>
    </w:p>
    <w:p w14:paraId="6FC753D8">
      <w:pPr>
        <w:pStyle w:val="15"/>
        <w:pageBreakBefore w:val="0"/>
        <w:widowControl w:val="0"/>
        <w:numPr>
          <w:ilvl w:val="0"/>
          <w:numId w:val="6"/>
        </w:numPr>
        <w:kinsoku/>
        <w:wordWrap/>
        <w:overflowPunct/>
        <w:topLinePunct w:val="0"/>
        <w:autoSpaceDE/>
        <w:autoSpaceDN/>
        <w:bidi w:val="0"/>
        <w:adjustRightInd/>
        <w:snapToGrid/>
        <w:spacing w:after="0" w:line="520" w:lineRule="exact"/>
        <w:ind w:firstLine="600"/>
        <w:jc w:val="both"/>
        <w:textAlignment w:val="auto"/>
        <w:rPr>
          <w:rFonts w:hint="eastAsia" w:ascii="仿宋_GB2312" w:hAnsi="宋体" w:eastAsia="仿宋_GB2312"/>
          <w:color w:val="auto"/>
          <w:sz w:val="32"/>
          <w:szCs w:val="32"/>
          <w:lang w:val="en-US" w:eastAsia="zh-CN"/>
        </w:rPr>
      </w:pPr>
      <w:r>
        <w:rPr>
          <w:rFonts w:hint="eastAsia" w:ascii="仿宋_GB2312" w:hAnsi="宋体" w:eastAsia="仿宋_GB2312"/>
          <w:color w:val="auto"/>
          <w:sz w:val="32"/>
          <w:szCs w:val="32"/>
          <w:lang w:val="en-US" w:eastAsia="zh-CN"/>
        </w:rPr>
        <w:t>能力提升与人员协同机制可进一步精细化。考虑项目团队规模，可在现有共学基础上进一步聚焦重点需求，建立精简可行、可衡量的能力提升目标，配套更有效的监测方式，精准检视学习成效。同时，继续完善内部督导的培养，并落实评价反馈机制，形成“培养</w:t>
      </w:r>
      <w:r>
        <w:rPr>
          <w:rFonts w:hint="eastAsia" w:ascii="仿宋_GB2312" w:eastAsia="仿宋_GB2312"/>
          <w:color w:val="auto"/>
          <w:sz w:val="32"/>
          <w:szCs w:val="32"/>
          <w:lang w:val="en-US" w:eastAsia="zh-CN"/>
        </w:rPr>
        <w:t>－</w:t>
      </w:r>
      <w:r>
        <w:rPr>
          <w:rFonts w:hint="eastAsia" w:ascii="仿宋_GB2312" w:hAnsi="宋体" w:eastAsia="仿宋_GB2312"/>
          <w:color w:val="auto"/>
          <w:sz w:val="32"/>
          <w:szCs w:val="32"/>
          <w:lang w:val="en-US" w:eastAsia="zh-CN"/>
        </w:rPr>
        <w:t>评估</w:t>
      </w:r>
      <w:r>
        <w:rPr>
          <w:rFonts w:hint="eastAsia" w:ascii="仿宋_GB2312" w:eastAsia="仿宋_GB2312"/>
          <w:color w:val="auto"/>
          <w:sz w:val="32"/>
          <w:szCs w:val="32"/>
          <w:lang w:val="en-US" w:eastAsia="zh-CN"/>
        </w:rPr>
        <w:t>－</w:t>
      </w:r>
      <w:r>
        <w:rPr>
          <w:rFonts w:hint="eastAsia" w:ascii="仿宋_GB2312" w:hAnsi="宋体" w:eastAsia="仿宋_GB2312"/>
          <w:color w:val="auto"/>
          <w:sz w:val="32"/>
          <w:szCs w:val="32"/>
          <w:lang w:val="en-US" w:eastAsia="zh-CN"/>
        </w:rPr>
        <w:t>反馈”闭环，有效支撑一线社工成长</w:t>
      </w:r>
      <w:r>
        <w:rPr>
          <w:rFonts w:hint="eastAsia" w:ascii="仿宋_GB2312" w:eastAsia="仿宋_GB2312"/>
          <w:color w:val="auto"/>
          <w:sz w:val="32"/>
          <w:szCs w:val="32"/>
          <w:lang w:val="en-US" w:eastAsia="zh-CN"/>
        </w:rPr>
        <w:t>。</w:t>
      </w:r>
      <w:r>
        <w:rPr>
          <w:rFonts w:hint="eastAsia" w:ascii="仿宋_GB2312" w:hAnsi="宋体" w:eastAsia="仿宋_GB2312"/>
          <w:color w:val="auto"/>
          <w:sz w:val="32"/>
          <w:szCs w:val="32"/>
          <w:lang w:val="en-US" w:eastAsia="zh-CN"/>
        </w:rPr>
        <w:t>此外，针对人手紧张的情况，可探索灵活的分工协作机制，明确社工与事务岗社工的联动频次与协同规范，以更清晰地指引一线社工与服务岗、事务岗社工的联动工作，确保在有限人力下保持服务响应的及时性与精准度。</w:t>
      </w:r>
    </w:p>
    <w:p w14:paraId="7B74DF64">
      <w:pPr>
        <w:pStyle w:val="15"/>
        <w:pageBreakBefore w:val="0"/>
        <w:widowControl w:val="0"/>
        <w:numPr>
          <w:ilvl w:val="0"/>
          <w:numId w:val="6"/>
        </w:numPr>
        <w:kinsoku/>
        <w:wordWrap/>
        <w:overflowPunct/>
        <w:topLinePunct w:val="0"/>
        <w:autoSpaceDE/>
        <w:autoSpaceDN/>
        <w:bidi w:val="0"/>
        <w:adjustRightInd/>
        <w:snapToGrid/>
        <w:spacing w:after="0" w:line="520" w:lineRule="exact"/>
        <w:ind w:firstLine="600"/>
        <w:jc w:val="both"/>
        <w:textAlignment w:val="auto"/>
        <w:rPr>
          <w:rFonts w:hint="eastAsia" w:ascii="仿宋_GB2312" w:hAnsi="宋体" w:eastAsia="仿宋_GB2312"/>
          <w:color w:val="auto"/>
          <w:sz w:val="32"/>
          <w:szCs w:val="32"/>
          <w:lang w:val="en-US" w:eastAsia="zh-CN"/>
        </w:rPr>
      </w:pPr>
      <w:r>
        <w:rPr>
          <w:rFonts w:hint="eastAsia" w:ascii="仿宋_GB2312" w:hAnsi="宋体" w:eastAsia="仿宋_GB2312"/>
          <w:color w:val="auto"/>
          <w:sz w:val="32"/>
          <w:szCs w:val="32"/>
          <w:lang w:val="en-US" w:eastAsia="zh-CN"/>
        </w:rPr>
        <w:t>社工站综合管理平台使用欠熟练，资料填写及时性需提高。建议继续深化对广州市社工站综合管理平台的实践应用，建议社工站完善平台长效管理机制，全面落实常态化使用平台的要求，持续加强对全体社工的平台操作培训与服务记录跟踪监测。</w:t>
      </w:r>
    </w:p>
    <w:p w14:paraId="576E1557">
      <w:pPr>
        <w:pStyle w:val="15"/>
        <w:pageBreakBefore w:val="0"/>
        <w:widowControl w:val="0"/>
        <w:numPr>
          <w:ilvl w:val="0"/>
          <w:numId w:val="6"/>
        </w:numPr>
        <w:kinsoku/>
        <w:wordWrap/>
        <w:overflowPunct/>
        <w:topLinePunct w:val="0"/>
        <w:autoSpaceDE/>
        <w:autoSpaceDN/>
        <w:bidi w:val="0"/>
        <w:adjustRightInd/>
        <w:snapToGrid/>
        <w:spacing w:after="0" w:line="520" w:lineRule="exact"/>
        <w:ind w:firstLine="600"/>
        <w:jc w:val="both"/>
        <w:textAlignment w:val="auto"/>
        <w:rPr>
          <w:rFonts w:hint="eastAsia" w:ascii="仿宋_GB2312" w:hAnsi="宋体" w:eastAsia="仿宋_GB2312"/>
          <w:color w:val="auto"/>
          <w:sz w:val="32"/>
          <w:szCs w:val="32"/>
          <w:lang w:val="en-US" w:eastAsia="zh-CN"/>
        </w:rPr>
      </w:pPr>
      <w:r>
        <w:rPr>
          <w:rFonts w:hint="eastAsia" w:ascii="仿宋_GB2312" w:hAnsi="宋体" w:eastAsia="仿宋_GB2312"/>
          <w:color w:val="auto"/>
          <w:sz w:val="32"/>
          <w:szCs w:val="32"/>
          <w:lang w:val="en-US" w:eastAsia="zh-CN"/>
        </w:rPr>
        <w:t>服务宣传推广及研究成果产出不足。建议系统强化研究成果产出与宣传报道的深度，在成果产出方面，本项目周期内未见有案例及其他工具指引产出，可结合团队人员实际，选择1</w:t>
      </w:r>
      <w:r>
        <w:rPr>
          <w:rFonts w:hint="eastAsia" w:ascii="仿宋_GB2312" w:eastAsia="仿宋_GB2312"/>
          <w:color w:val="auto"/>
          <w:sz w:val="32"/>
          <w:szCs w:val="32"/>
          <w:lang w:val="en-US" w:eastAsia="zh-CN"/>
        </w:rPr>
        <w:t>—</w:t>
      </w:r>
      <w:r>
        <w:rPr>
          <w:rFonts w:hint="eastAsia" w:ascii="仿宋_GB2312" w:hAnsi="宋体" w:eastAsia="仿宋_GB2312"/>
          <w:color w:val="auto"/>
          <w:sz w:val="32"/>
          <w:szCs w:val="32"/>
          <w:lang w:val="en-US" w:eastAsia="zh-CN"/>
        </w:rPr>
        <w:t>2个典型服务案例进行重点打磨，集中力量形成有深度的实务文章或操作指引。在宣传方面，可依托现有公众号、视频号等自媒体平台，持续输出服务故事；同时主动对接行业媒体，推动宣传内容从活动报道向服务模式与成效总结转型，逐步提升项目专业显示度。</w:t>
      </w:r>
    </w:p>
    <w:p w14:paraId="647B427A">
      <w:pPr>
        <w:pStyle w:val="13"/>
        <w:keepNext/>
        <w:keepLines/>
        <w:pageBreakBefore w:val="0"/>
        <w:widowControl w:val="0"/>
        <w:kinsoku/>
        <w:wordWrap/>
        <w:overflowPunct/>
        <w:topLinePunct w:val="0"/>
        <w:autoSpaceDE/>
        <w:autoSpaceDN/>
        <w:bidi w:val="0"/>
        <w:adjustRightInd/>
        <w:snapToGrid/>
        <w:spacing w:before="0" w:after="0" w:line="520" w:lineRule="exact"/>
        <w:ind w:firstLine="643"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三、评估反馈</w:t>
      </w:r>
    </w:p>
    <w:p w14:paraId="3871DF6D">
      <w:pPr>
        <w:pStyle w:val="15"/>
        <w:pageBreakBefore w:val="0"/>
        <w:widowControl w:val="0"/>
        <w:kinsoku/>
        <w:wordWrap/>
        <w:overflowPunct/>
        <w:topLinePunct w:val="0"/>
        <w:autoSpaceDE/>
        <w:autoSpaceDN/>
        <w:bidi w:val="0"/>
        <w:adjustRightInd/>
        <w:snapToGrid/>
        <w:spacing w:after="120" w:line="520" w:lineRule="exact"/>
        <w:ind w:firstLine="640"/>
        <w:jc w:val="both"/>
        <w:textAlignment w:val="auto"/>
        <w:rPr>
          <w:rFonts w:ascii="仿宋_GB2312" w:eastAsia="仿宋_GB2312"/>
          <w:color w:val="auto"/>
          <w:sz w:val="32"/>
          <w:szCs w:val="32"/>
        </w:rPr>
      </w:pPr>
      <w:r>
        <w:rPr>
          <w:rFonts w:hint="eastAsia" w:ascii="仿宋_GB2312" w:eastAsia="仿宋_GB2312"/>
          <w:color w:val="auto"/>
          <w:sz w:val="32"/>
          <w:szCs w:val="32"/>
        </w:rPr>
        <w:t>评估反馈主要分为两大环节，一是现场反馈环节，二是对评估报告初稿的意见反馈环节。本次</w:t>
      </w:r>
      <w:r>
        <w:rPr>
          <w:rFonts w:hint="eastAsia" w:ascii="仿宋_GB2312" w:eastAsia="仿宋_GB2312"/>
          <w:color w:val="auto"/>
          <w:sz w:val="32"/>
          <w:szCs w:val="32"/>
          <w:lang w:val="en-US" w:eastAsia="zh-CN"/>
        </w:rPr>
        <w:t>新造镇</w:t>
      </w:r>
      <w:r>
        <w:rPr>
          <w:rFonts w:hint="eastAsia" w:ascii="仿宋_GB2312" w:eastAsia="仿宋_GB2312"/>
          <w:color w:val="auto"/>
          <w:sz w:val="32"/>
          <w:szCs w:val="32"/>
        </w:rPr>
        <w:t>社工站的反馈如下：</w:t>
      </w:r>
      <w:bookmarkStart w:id="55" w:name="bookmark85"/>
      <w:bookmarkEnd w:id="55"/>
    </w:p>
    <w:p w14:paraId="32AAF5FE">
      <w:pPr>
        <w:pStyle w:val="15"/>
        <w:pageBreakBefore w:val="0"/>
        <w:widowControl w:val="0"/>
        <w:kinsoku/>
        <w:wordWrap/>
        <w:overflowPunct/>
        <w:topLinePunct w:val="0"/>
        <w:autoSpaceDE/>
        <w:autoSpaceDN/>
        <w:bidi w:val="0"/>
        <w:adjustRightInd/>
        <w:snapToGrid/>
        <w:spacing w:after="0" w:line="520" w:lineRule="exact"/>
        <w:ind w:firstLine="720"/>
        <w:jc w:val="both"/>
        <w:textAlignment w:val="auto"/>
        <w:rPr>
          <w:rFonts w:ascii="仿宋_GB2312" w:hAnsi="宋体" w:eastAsia="仿宋_GB2312"/>
          <w:color w:val="auto"/>
          <w:sz w:val="32"/>
          <w:szCs w:val="32"/>
          <w:lang w:eastAsia="zh-CN"/>
        </w:rPr>
      </w:pPr>
      <w:r>
        <w:rPr>
          <w:rFonts w:hint="eastAsia" w:ascii="仿宋_GB2312" w:hAnsi="宋体" w:eastAsia="仿宋_GB2312"/>
          <w:b/>
          <w:color w:val="auto"/>
          <w:sz w:val="32"/>
          <w:szCs w:val="32"/>
          <w:lang w:eastAsia="zh-CN"/>
        </w:rPr>
        <w:t>1.现场反馈：</w:t>
      </w:r>
      <w:r>
        <w:rPr>
          <w:rFonts w:hint="eastAsia" w:ascii="仿宋_GB2312" w:hAnsi="宋体" w:eastAsia="仿宋_GB2312"/>
          <w:color w:val="auto"/>
          <w:sz w:val="32"/>
          <w:szCs w:val="32"/>
          <w:lang w:eastAsia="zh-CN"/>
        </w:rPr>
        <w:t>经过为期一天的评估，评委针对</w:t>
      </w:r>
      <w:r>
        <w:rPr>
          <w:rFonts w:hint="eastAsia" w:ascii="仿宋_GB2312" w:hAnsi="宋体" w:eastAsia="仿宋_GB2312"/>
          <w:color w:val="auto"/>
          <w:sz w:val="32"/>
          <w:szCs w:val="32"/>
          <w:lang w:val="en-US" w:eastAsia="zh-CN"/>
        </w:rPr>
        <w:t>新造镇</w:t>
      </w:r>
      <w:r>
        <w:rPr>
          <w:rFonts w:hint="eastAsia" w:ascii="仿宋_GB2312" w:hAnsi="宋体" w:eastAsia="仿宋_GB2312"/>
          <w:color w:val="auto"/>
          <w:sz w:val="32"/>
          <w:szCs w:val="32"/>
          <w:lang w:eastAsia="zh-CN"/>
        </w:rPr>
        <w:t>社工站的情况，进行了现场总结反馈，在总结反馈环节，</w:t>
      </w:r>
      <w:r>
        <w:rPr>
          <w:rFonts w:hint="eastAsia" w:ascii="仿宋_GB2312" w:hAnsi="宋体" w:eastAsia="仿宋_GB2312"/>
          <w:color w:val="auto"/>
          <w:sz w:val="32"/>
          <w:szCs w:val="32"/>
          <w:lang w:val="en-US" w:eastAsia="zh-CN"/>
        </w:rPr>
        <w:t>新造镇</w:t>
      </w:r>
      <w:r>
        <w:rPr>
          <w:rFonts w:hint="eastAsia" w:ascii="仿宋_GB2312" w:hAnsi="宋体" w:eastAsia="仿宋_GB2312"/>
          <w:color w:val="auto"/>
          <w:sz w:val="32"/>
          <w:szCs w:val="32"/>
          <w:lang w:eastAsia="zh-CN"/>
        </w:rPr>
        <w:t>社工站表示对评委们提出的意见和建议无异议。</w:t>
      </w:r>
    </w:p>
    <w:p w14:paraId="5F843FDF">
      <w:pPr>
        <w:pStyle w:val="15"/>
        <w:pageBreakBefore w:val="0"/>
        <w:widowControl w:val="0"/>
        <w:kinsoku/>
        <w:wordWrap/>
        <w:overflowPunct/>
        <w:topLinePunct w:val="0"/>
        <w:autoSpaceDE/>
        <w:autoSpaceDN/>
        <w:bidi w:val="0"/>
        <w:adjustRightInd/>
        <w:snapToGrid/>
        <w:spacing w:after="0" w:line="520" w:lineRule="exact"/>
        <w:ind w:firstLine="720"/>
        <w:jc w:val="both"/>
        <w:textAlignment w:val="auto"/>
        <w:rPr>
          <w:rFonts w:ascii="仿宋_GB2312" w:hAnsi="宋体" w:eastAsia="仿宋_GB2312"/>
          <w:color w:val="auto"/>
          <w:sz w:val="32"/>
          <w:szCs w:val="32"/>
          <w:lang w:eastAsia="zh-CN"/>
        </w:rPr>
      </w:pPr>
      <w:r>
        <w:rPr>
          <w:rFonts w:hint="eastAsia" w:ascii="仿宋_GB2312" w:hAnsi="宋体" w:eastAsia="仿宋_GB2312"/>
          <w:b/>
          <w:color w:val="auto"/>
          <w:sz w:val="32"/>
          <w:szCs w:val="32"/>
          <w:lang w:eastAsia="zh-CN"/>
        </w:rPr>
        <w:t>2.对评估报告初稿的反馈：</w:t>
      </w:r>
      <w:r>
        <w:rPr>
          <w:rFonts w:hint="eastAsia" w:ascii="仿宋_GB2312" w:hAnsi="宋体" w:eastAsia="仿宋_GB2312"/>
          <w:color w:val="auto"/>
          <w:sz w:val="32"/>
          <w:szCs w:val="32"/>
          <w:lang w:eastAsia="zh-CN"/>
        </w:rPr>
        <w:t>番禺区民政局、</w:t>
      </w:r>
      <w:r>
        <w:rPr>
          <w:rFonts w:hint="eastAsia" w:ascii="仿宋_GB2312" w:hAnsi="宋体" w:eastAsia="仿宋_GB2312"/>
          <w:color w:val="auto"/>
          <w:sz w:val="32"/>
          <w:szCs w:val="32"/>
          <w:lang w:val="en-US" w:eastAsia="zh-CN"/>
        </w:rPr>
        <w:t>新造镇人民政府</w:t>
      </w:r>
      <w:r>
        <w:rPr>
          <w:rFonts w:hint="eastAsia" w:ascii="仿宋_GB2312" w:hAnsi="宋体" w:eastAsia="仿宋_GB2312"/>
          <w:color w:val="auto"/>
          <w:sz w:val="32"/>
          <w:szCs w:val="32"/>
          <w:lang w:eastAsia="zh-CN"/>
        </w:rPr>
        <w:t>、</w:t>
      </w:r>
      <w:r>
        <w:rPr>
          <w:rFonts w:hint="eastAsia" w:ascii="仿宋_GB2312" w:hAnsi="宋体" w:eastAsia="仿宋_GB2312"/>
          <w:color w:val="auto"/>
          <w:sz w:val="32"/>
          <w:szCs w:val="32"/>
          <w:lang w:val="en-US" w:eastAsia="zh-CN"/>
        </w:rPr>
        <w:t>新造镇</w:t>
      </w:r>
      <w:r>
        <w:rPr>
          <w:rFonts w:hint="eastAsia" w:ascii="仿宋_GB2312" w:hAnsi="宋体" w:eastAsia="仿宋_GB2312"/>
          <w:color w:val="auto"/>
          <w:sz w:val="32"/>
          <w:szCs w:val="32"/>
          <w:lang w:eastAsia="zh-CN"/>
        </w:rPr>
        <w:t>社工站对评估报告初稿无异议。</w:t>
      </w:r>
    </w:p>
    <w:p w14:paraId="7376E544">
      <w:pPr>
        <w:pStyle w:val="13"/>
        <w:keepNext/>
        <w:keepLines/>
        <w:pageBreakBefore w:val="0"/>
        <w:widowControl w:val="0"/>
        <w:kinsoku/>
        <w:wordWrap/>
        <w:overflowPunct/>
        <w:topLinePunct w:val="0"/>
        <w:autoSpaceDE/>
        <w:autoSpaceDN/>
        <w:bidi w:val="0"/>
        <w:adjustRightInd/>
        <w:snapToGrid/>
        <w:spacing w:before="0" w:after="0" w:line="520" w:lineRule="exact"/>
        <w:ind w:firstLine="643" w:firstLineChars="200"/>
        <w:jc w:val="both"/>
        <w:textAlignment w:val="auto"/>
        <w:rPr>
          <w:rFonts w:ascii="方正小标宋简体" w:eastAsia="方正小标宋简体"/>
          <w:b/>
          <w:bCs/>
          <w:color w:val="auto"/>
          <w:sz w:val="32"/>
          <w:szCs w:val="28"/>
          <w:lang w:val="en-US"/>
        </w:rPr>
      </w:pPr>
      <w:bookmarkStart w:id="56" w:name="bookmark86"/>
      <w:r>
        <w:rPr>
          <w:rFonts w:hint="eastAsia" w:ascii="方正小标宋简体" w:eastAsia="方正小标宋简体"/>
          <w:b/>
          <w:bCs/>
          <w:color w:val="auto"/>
          <w:sz w:val="32"/>
          <w:szCs w:val="28"/>
          <w:lang w:val="en-US"/>
        </w:rPr>
        <w:t>四</w:t>
      </w:r>
      <w:bookmarkEnd w:id="56"/>
      <w:r>
        <w:rPr>
          <w:rFonts w:hint="eastAsia" w:ascii="方正小标宋简体" w:eastAsia="方正小标宋简体"/>
          <w:b/>
          <w:bCs/>
          <w:color w:val="auto"/>
          <w:sz w:val="32"/>
          <w:szCs w:val="28"/>
          <w:lang w:val="en-US"/>
        </w:rPr>
        <w:t>、评估等级</w:t>
      </w:r>
    </w:p>
    <w:p w14:paraId="72A8D634">
      <w:pPr>
        <w:pStyle w:val="15"/>
        <w:pageBreakBefore w:val="0"/>
        <w:widowControl w:val="0"/>
        <w:kinsoku/>
        <w:wordWrap/>
        <w:overflowPunct/>
        <w:topLinePunct w:val="0"/>
        <w:autoSpaceDE/>
        <w:autoSpaceDN/>
        <w:bidi w:val="0"/>
        <w:adjustRightInd/>
        <w:snapToGrid/>
        <w:spacing w:after="120" w:line="520" w:lineRule="exact"/>
        <w:ind w:firstLine="640"/>
        <w:jc w:val="both"/>
        <w:textAlignment w:val="auto"/>
        <w:rPr>
          <w:rFonts w:ascii="仿宋_GB2312" w:eastAsia="仿宋_GB2312"/>
          <w:sz w:val="32"/>
          <w:szCs w:val="32"/>
          <w:lang w:val="en-US" w:eastAsia="zh-CN"/>
        </w:rPr>
      </w:pPr>
      <w:r>
        <w:rPr>
          <w:rFonts w:hint="eastAsia" w:ascii="仿宋_GB2312" w:eastAsia="仿宋_GB2312"/>
          <w:sz w:val="32"/>
          <w:szCs w:val="32"/>
          <w:lang w:val="en-US" w:eastAsia="zh-CN"/>
        </w:rPr>
        <w:t>评估总分为100分，其中，第三方评估机构占比55%、街道办事处（镇人民政府）占比20%、市督导中心占15%、区民政局占比10%。评估结果由四方评估分数的总和确定。评估等级分为优秀、良好、合格、不合格四个等级，90分以上为优秀，80分至90分（不含90分）为良好， 60分至80分（不含80分）为合格，60分以下（不含60分）为不合格。</w:t>
      </w:r>
    </w:p>
    <w:p w14:paraId="55AEFC6A">
      <w:pPr>
        <w:pStyle w:val="15"/>
        <w:pageBreakBefore w:val="0"/>
        <w:widowControl w:val="0"/>
        <w:kinsoku/>
        <w:wordWrap/>
        <w:overflowPunct/>
        <w:topLinePunct w:val="0"/>
        <w:autoSpaceDE/>
        <w:autoSpaceDN/>
        <w:bidi w:val="0"/>
        <w:adjustRightInd/>
        <w:snapToGrid/>
        <w:spacing w:after="120" w:line="520" w:lineRule="exact"/>
        <w:ind w:firstLine="640"/>
        <w:jc w:val="both"/>
        <w:textAlignment w:val="auto"/>
        <w:rPr>
          <w:rFonts w:ascii="仿宋_GB2312" w:eastAsia="PMingLiU"/>
          <w:color w:val="auto"/>
          <w:sz w:val="32"/>
          <w:szCs w:val="32"/>
        </w:rPr>
      </w:pPr>
      <w:r>
        <w:rPr>
          <w:rFonts w:hint="eastAsia" w:ascii="仿宋_GB2312" w:eastAsia="仿宋_GB2312"/>
          <w:color w:val="auto"/>
          <w:sz w:val="32"/>
          <w:szCs w:val="32"/>
        </w:rPr>
        <w:t>经过评估</w:t>
      </w:r>
      <w:r>
        <w:rPr>
          <w:rFonts w:hint="eastAsia" w:ascii="仿宋_GB2312" w:eastAsia="仿宋_GB2312"/>
          <w:color w:val="auto"/>
          <w:sz w:val="32"/>
          <w:szCs w:val="32"/>
          <w:lang w:eastAsia="zh-CN"/>
        </w:rPr>
        <w:t>，</w:t>
      </w:r>
      <w:r>
        <w:rPr>
          <w:rFonts w:hint="eastAsia" w:ascii="仿宋_GB2312" w:hAnsi="宋体" w:eastAsia="仿宋_GB2312"/>
          <w:color w:val="auto"/>
          <w:sz w:val="32"/>
          <w:szCs w:val="32"/>
          <w:lang w:val="en-US" w:eastAsia="zh-CN"/>
        </w:rPr>
        <w:t>新造镇</w:t>
      </w:r>
      <w:r>
        <w:rPr>
          <w:rFonts w:hint="eastAsia" w:ascii="仿宋_GB2312" w:eastAsia="仿宋_GB2312"/>
          <w:color w:val="auto"/>
          <w:sz w:val="32"/>
          <w:szCs w:val="32"/>
        </w:rPr>
        <w:t>社工站本次</w:t>
      </w:r>
      <w:r>
        <w:rPr>
          <w:rFonts w:hint="eastAsia" w:ascii="仿宋_GB2312" w:eastAsia="仿宋_GB2312"/>
          <w:color w:val="auto"/>
          <w:sz w:val="32"/>
          <w:szCs w:val="32"/>
          <w:lang w:eastAsia="zh-CN"/>
        </w:rPr>
        <w:t>中期</w:t>
      </w:r>
      <w:r>
        <w:rPr>
          <w:rFonts w:hint="eastAsia" w:ascii="仿宋_GB2312" w:eastAsia="仿宋_GB2312"/>
          <w:color w:val="auto"/>
          <w:sz w:val="32"/>
          <w:szCs w:val="32"/>
        </w:rPr>
        <w:t>评估的等级为</w:t>
      </w:r>
      <w:r>
        <w:rPr>
          <w:rFonts w:hint="eastAsia" w:ascii="仿宋_GB2312" w:eastAsia="仿宋_GB2312"/>
          <w:b/>
          <w:color w:val="auto"/>
          <w:sz w:val="32"/>
          <w:szCs w:val="32"/>
          <w:highlight w:val="none"/>
        </w:rPr>
        <w:t>“</w:t>
      </w:r>
      <w:r>
        <w:rPr>
          <w:rFonts w:hint="eastAsia" w:ascii="仿宋_GB2312" w:eastAsia="仿宋_GB2312"/>
          <w:b/>
          <w:color w:val="auto"/>
          <w:sz w:val="32"/>
          <w:szCs w:val="32"/>
          <w:highlight w:val="none"/>
          <w:lang w:val="en-US" w:eastAsia="zh-CN"/>
        </w:rPr>
        <w:t>良好</w:t>
      </w:r>
      <w:r>
        <w:rPr>
          <w:rFonts w:hint="eastAsia" w:ascii="仿宋_GB2312" w:eastAsia="仿宋_GB2312"/>
          <w:b/>
          <w:color w:val="auto"/>
          <w:sz w:val="32"/>
          <w:szCs w:val="32"/>
          <w:highlight w:val="none"/>
        </w:rPr>
        <w:t>”</w:t>
      </w:r>
      <w:r>
        <w:rPr>
          <w:rFonts w:hint="eastAsia" w:ascii="仿宋_GB2312" w:eastAsia="仿宋_GB2312"/>
          <w:b/>
          <w:color w:val="auto"/>
          <w:sz w:val="32"/>
          <w:szCs w:val="32"/>
          <w:highlight w:val="none"/>
          <w:lang w:eastAsia="zh-CN"/>
        </w:rPr>
        <w:t>（</w:t>
      </w:r>
      <w:r>
        <w:rPr>
          <w:rFonts w:hint="eastAsia" w:ascii="仿宋_GB2312" w:eastAsia="仿宋_GB2312"/>
          <w:b/>
          <w:color w:val="auto"/>
          <w:sz w:val="32"/>
          <w:szCs w:val="32"/>
          <w:highlight w:val="none"/>
          <w:lang w:val="en-US" w:eastAsia="zh-CN"/>
        </w:rPr>
        <w:t>87.34</w:t>
      </w:r>
      <w:bookmarkStart w:id="58" w:name="_GoBack"/>
      <w:bookmarkEnd w:id="58"/>
      <w:r>
        <w:rPr>
          <w:rFonts w:ascii="仿宋_GB2312" w:eastAsia="仿宋_GB2312"/>
          <w:b/>
          <w:sz w:val="32"/>
          <w:szCs w:val="32"/>
          <w:highlight w:val="none"/>
          <w:lang w:val="en-US" w:eastAsia="zh-CN"/>
        </w:rPr>
        <w:t>分</w:t>
      </w:r>
      <w:r>
        <w:rPr>
          <w:rFonts w:hint="eastAsia" w:ascii="仿宋_GB2312" w:eastAsia="仿宋_GB2312"/>
          <w:b/>
          <w:color w:val="auto"/>
          <w:sz w:val="32"/>
          <w:szCs w:val="32"/>
          <w:highlight w:val="none"/>
          <w:lang w:eastAsia="zh-CN"/>
        </w:rPr>
        <w:t>）</w:t>
      </w:r>
      <w:r>
        <w:rPr>
          <w:rFonts w:hint="eastAsia" w:ascii="仿宋_GB2312" w:eastAsia="仿宋_GB2312"/>
          <w:color w:val="auto"/>
          <w:sz w:val="32"/>
          <w:szCs w:val="32"/>
          <w:highlight w:val="none"/>
        </w:rPr>
        <w:t>。</w:t>
      </w:r>
    </w:p>
    <w:p w14:paraId="7C116B93">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eastAsia="仿宋_GB2312"/>
          <w:sz w:val="32"/>
          <w:szCs w:val="32"/>
          <w:lang w:val="en-US" w:eastAsia="zh-CN"/>
        </w:rPr>
      </w:pPr>
      <w:r>
        <w:rPr>
          <w:rFonts w:hint="eastAsia" w:ascii="仿宋_GB2312" w:eastAsia="仿宋_GB2312"/>
          <w:sz w:val="32"/>
          <w:szCs w:val="32"/>
          <w:lang w:val="en-US" w:eastAsia="zh-CN"/>
        </w:rPr>
        <w:t>以下是详细的评分情况：</w:t>
      </w: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76"/>
        <w:gridCol w:w="1508"/>
        <w:gridCol w:w="1514"/>
        <w:gridCol w:w="1757"/>
      </w:tblGrid>
      <w:tr w14:paraId="1901A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vAlign w:val="center"/>
          </w:tcPr>
          <w:p w14:paraId="020BBFB3">
            <w:pPr>
              <w:pStyle w:val="15"/>
              <w:spacing w:after="0" w:line="560" w:lineRule="exact"/>
              <w:jc w:val="center"/>
              <w:rPr>
                <w:rFonts w:ascii="仿宋_GB2312" w:hAnsi="仿宋_GB2312" w:eastAsia="仿宋_GB2312" w:cs="仿宋_GB2312"/>
                <w:b/>
                <w:bCs/>
                <w:lang w:val="en-US" w:eastAsia="zh-CN"/>
              </w:rPr>
            </w:pPr>
            <w:bookmarkStart w:id="57" w:name="bookmark87"/>
            <w:r>
              <w:rPr>
                <w:rFonts w:hint="eastAsia" w:ascii="仿宋_GB2312" w:hAnsi="仿宋_GB2312" w:eastAsia="仿宋_GB2312" w:cs="仿宋_GB2312"/>
                <w:b/>
                <w:bCs/>
                <w:lang w:val="en-US" w:eastAsia="zh-CN"/>
              </w:rPr>
              <w:t>评估内容</w:t>
            </w:r>
          </w:p>
        </w:tc>
        <w:tc>
          <w:tcPr>
            <w:tcW w:w="728" w:type="pct"/>
            <w:vAlign w:val="center"/>
          </w:tcPr>
          <w:p w14:paraId="2820EA13">
            <w:pPr>
              <w:pStyle w:val="15"/>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标准分</w:t>
            </w:r>
          </w:p>
        </w:tc>
        <w:tc>
          <w:tcPr>
            <w:tcW w:w="731" w:type="pct"/>
            <w:vAlign w:val="center"/>
          </w:tcPr>
          <w:p w14:paraId="2B12547B">
            <w:pPr>
              <w:pStyle w:val="15"/>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评分</w:t>
            </w:r>
          </w:p>
        </w:tc>
        <w:tc>
          <w:tcPr>
            <w:tcW w:w="848" w:type="pct"/>
            <w:vAlign w:val="center"/>
          </w:tcPr>
          <w:p w14:paraId="1B331BAE">
            <w:pPr>
              <w:pStyle w:val="15"/>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折算分</w:t>
            </w:r>
          </w:p>
        </w:tc>
      </w:tr>
      <w:tr w14:paraId="351C2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vAlign w:val="center"/>
          </w:tcPr>
          <w:p w14:paraId="69C60D42">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专业服务板块</w:t>
            </w:r>
          </w:p>
        </w:tc>
        <w:tc>
          <w:tcPr>
            <w:tcW w:w="728" w:type="pct"/>
            <w:vAlign w:val="center"/>
          </w:tcPr>
          <w:p w14:paraId="3E3A4AEB">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55</w:t>
            </w:r>
          </w:p>
        </w:tc>
        <w:tc>
          <w:tcPr>
            <w:tcW w:w="731" w:type="pct"/>
            <w:vAlign w:val="center"/>
          </w:tcPr>
          <w:p w14:paraId="1CE63F2B">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46.29</w:t>
            </w:r>
          </w:p>
        </w:tc>
        <w:tc>
          <w:tcPr>
            <w:tcW w:w="848" w:type="pct"/>
            <w:vAlign w:val="center"/>
          </w:tcPr>
          <w:p w14:paraId="5B8DCF37">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46.29</w:t>
            </w:r>
          </w:p>
        </w:tc>
      </w:tr>
      <w:tr w14:paraId="604C8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vAlign w:val="center"/>
          </w:tcPr>
          <w:p w14:paraId="213E0B34">
            <w:pPr>
              <w:widowControl/>
              <w:jc w:val="center"/>
              <w:textAlignment w:val="center"/>
              <w:rPr>
                <w:rFonts w:ascii="仿宋_GB2312" w:hAnsi="仿宋_GB2312" w:eastAsia="仿宋_GB2312" w:cs="仿宋_GB2312"/>
                <w:sz w:val="28"/>
                <w:szCs w:val="28"/>
                <w:lang w:eastAsia="zh-CN"/>
              </w:rPr>
            </w:pPr>
            <w:r>
              <w:rPr>
                <w:rStyle w:val="34"/>
                <w:rFonts w:hint="default" w:ascii="仿宋_GB2312" w:hAnsi="仿宋_GB2312" w:eastAsia="仿宋_GB2312" w:cs="仿宋_GB2312"/>
                <w:sz w:val="28"/>
                <w:szCs w:val="28"/>
                <w:lang w:eastAsia="zh-CN"/>
              </w:rPr>
              <w:t>购买方</w:t>
            </w:r>
          </w:p>
        </w:tc>
        <w:tc>
          <w:tcPr>
            <w:tcW w:w="728" w:type="pct"/>
            <w:vAlign w:val="center"/>
          </w:tcPr>
          <w:p w14:paraId="07F44460">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20</w:t>
            </w:r>
          </w:p>
        </w:tc>
        <w:tc>
          <w:tcPr>
            <w:tcW w:w="731" w:type="pct"/>
            <w:vAlign w:val="center"/>
          </w:tcPr>
          <w:p w14:paraId="1FE548E8">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w:t>
            </w:r>
          </w:p>
        </w:tc>
        <w:tc>
          <w:tcPr>
            <w:tcW w:w="848" w:type="pct"/>
            <w:vAlign w:val="center"/>
          </w:tcPr>
          <w:p w14:paraId="36B4BEB3">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w:t>
            </w:r>
          </w:p>
        </w:tc>
      </w:tr>
      <w:tr w14:paraId="76914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vAlign w:val="center"/>
          </w:tcPr>
          <w:p w14:paraId="3C8D8742">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督导中心</w:t>
            </w:r>
          </w:p>
        </w:tc>
        <w:tc>
          <w:tcPr>
            <w:tcW w:w="728" w:type="pct"/>
            <w:vAlign w:val="center"/>
          </w:tcPr>
          <w:p w14:paraId="60D4FA1E">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15</w:t>
            </w:r>
          </w:p>
        </w:tc>
        <w:tc>
          <w:tcPr>
            <w:tcW w:w="731" w:type="pct"/>
            <w:vAlign w:val="center"/>
          </w:tcPr>
          <w:p w14:paraId="416A2B79">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12.05</w:t>
            </w:r>
          </w:p>
        </w:tc>
        <w:tc>
          <w:tcPr>
            <w:tcW w:w="848" w:type="pct"/>
            <w:vAlign w:val="center"/>
          </w:tcPr>
          <w:p w14:paraId="4C822D84">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12.05</w:t>
            </w:r>
          </w:p>
        </w:tc>
      </w:tr>
      <w:tr w14:paraId="14B37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vAlign w:val="center"/>
          </w:tcPr>
          <w:p w14:paraId="77491D9E">
            <w:pPr>
              <w:widowControl/>
              <w:jc w:val="center"/>
              <w:textAlignment w:val="center"/>
              <w:rPr>
                <w:rFonts w:ascii="仿宋_GB2312" w:hAnsi="仿宋_GB2312" w:eastAsia="仿宋_GB2312" w:cs="仿宋_GB2312"/>
                <w:sz w:val="28"/>
                <w:szCs w:val="28"/>
                <w:highlight w:val="yellow"/>
                <w:lang w:eastAsia="zh-CN"/>
              </w:rPr>
            </w:pPr>
            <w:r>
              <w:rPr>
                <w:rFonts w:ascii="仿宋_GB2312" w:hAnsi="仿宋_GB2312" w:eastAsia="仿宋_GB2312" w:cs="仿宋_GB2312"/>
                <w:sz w:val="28"/>
                <w:szCs w:val="28"/>
                <w:lang w:eastAsia="zh-CN"/>
              </w:rPr>
              <w:t>监督方</w:t>
            </w:r>
          </w:p>
        </w:tc>
        <w:tc>
          <w:tcPr>
            <w:tcW w:w="728" w:type="pct"/>
            <w:vAlign w:val="center"/>
          </w:tcPr>
          <w:p w14:paraId="0085B058">
            <w:pPr>
              <w:widowControl/>
              <w:jc w:val="center"/>
              <w:textAlignment w:val="center"/>
              <w:rPr>
                <w:rFonts w:ascii="仿宋_GB2312" w:hAnsi="仿宋_GB2312" w:eastAsia="仿宋_GB2312" w:cs="仿宋_GB2312"/>
                <w:sz w:val="28"/>
                <w:szCs w:val="28"/>
                <w:highlight w:val="yellow"/>
                <w:lang w:eastAsia="zh-CN"/>
              </w:rPr>
            </w:pPr>
            <w:r>
              <w:rPr>
                <w:rFonts w:hint="eastAsia" w:ascii="仿宋_GB2312" w:hAnsi="仿宋_GB2312" w:eastAsia="仿宋_GB2312" w:cs="仿宋_GB2312"/>
                <w:sz w:val="28"/>
                <w:szCs w:val="28"/>
                <w:lang w:eastAsia="zh-CN"/>
              </w:rPr>
              <w:t>10</w:t>
            </w:r>
          </w:p>
        </w:tc>
        <w:tc>
          <w:tcPr>
            <w:tcW w:w="731" w:type="pct"/>
            <w:vAlign w:val="center"/>
          </w:tcPr>
          <w:p w14:paraId="76DA042B">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w:t>
            </w:r>
          </w:p>
        </w:tc>
        <w:tc>
          <w:tcPr>
            <w:tcW w:w="848" w:type="pct"/>
            <w:vAlign w:val="center"/>
          </w:tcPr>
          <w:p w14:paraId="188FDC21">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w:t>
            </w:r>
          </w:p>
        </w:tc>
      </w:tr>
      <w:tr w14:paraId="57D60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51" w:type="pct"/>
            <w:gridSpan w:val="3"/>
            <w:vAlign w:val="center"/>
          </w:tcPr>
          <w:p w14:paraId="3C526FC4">
            <w:pPr>
              <w:pStyle w:val="15"/>
              <w:spacing w:after="0" w:line="560" w:lineRule="exact"/>
              <w:ind w:firstLine="0"/>
              <w:jc w:val="center"/>
              <w:rPr>
                <w:rFonts w:ascii="仿宋_GB2312" w:eastAsia="仿宋_GB2312"/>
                <w:b/>
                <w:lang w:val="en-US" w:eastAsia="zh-CN"/>
              </w:rPr>
            </w:pPr>
            <w:r>
              <w:rPr>
                <w:rFonts w:hint="eastAsia" w:ascii="仿宋_GB2312" w:eastAsia="仿宋_GB2312"/>
                <w:b/>
                <w:lang w:val="en-US" w:eastAsia="zh-CN"/>
              </w:rPr>
              <w:t>总分</w:t>
            </w:r>
          </w:p>
        </w:tc>
        <w:tc>
          <w:tcPr>
            <w:tcW w:w="848" w:type="pct"/>
            <w:vAlign w:val="center"/>
          </w:tcPr>
          <w:p w14:paraId="4DC5EBC5">
            <w:pPr>
              <w:widowControl/>
              <w:jc w:val="center"/>
              <w:textAlignment w:val="center"/>
              <w:rPr>
                <w:rFonts w:hint="default" w:ascii="仿宋_GB2312" w:hAnsi="仿宋_GB2312" w:eastAsia="仿宋_GB2312" w:cs="仿宋_GB2312"/>
                <w:b/>
                <w:sz w:val="28"/>
                <w:szCs w:val="28"/>
                <w:lang w:val="en-US" w:eastAsia="zh-CN"/>
              </w:rPr>
            </w:pPr>
            <w:r>
              <w:rPr>
                <w:rFonts w:hint="eastAsia" w:ascii="仿宋_GB2312" w:hAnsi="仿宋_GB2312" w:eastAsia="仿宋_GB2312" w:cs="仿宋_GB2312"/>
                <w:b/>
                <w:sz w:val="28"/>
                <w:szCs w:val="28"/>
                <w:lang w:val="en-US" w:eastAsia="zh-CN"/>
              </w:rPr>
              <w:t>87.34</w:t>
            </w:r>
          </w:p>
        </w:tc>
      </w:tr>
    </w:tbl>
    <w:p w14:paraId="02082B75">
      <w:pPr>
        <w:pStyle w:val="13"/>
        <w:keepNext/>
        <w:keepLines/>
        <w:pageBreakBefore w:val="0"/>
        <w:widowControl w:val="0"/>
        <w:kinsoku/>
        <w:wordWrap/>
        <w:overflowPunct/>
        <w:topLinePunct w:val="0"/>
        <w:autoSpaceDE/>
        <w:autoSpaceDN/>
        <w:bidi w:val="0"/>
        <w:adjustRightInd/>
        <w:snapToGrid/>
        <w:spacing w:before="0" w:after="0" w:line="520" w:lineRule="exact"/>
        <w:ind w:firstLine="643"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五</w:t>
      </w:r>
      <w:bookmarkEnd w:id="57"/>
      <w:r>
        <w:rPr>
          <w:rFonts w:hint="eastAsia" w:ascii="方正小标宋简体" w:eastAsia="方正小标宋简体"/>
          <w:b/>
          <w:bCs/>
          <w:color w:val="auto"/>
          <w:sz w:val="32"/>
          <w:szCs w:val="28"/>
          <w:lang w:val="en-US"/>
        </w:rPr>
        <w:t>、结语</w:t>
      </w:r>
    </w:p>
    <w:p w14:paraId="1E2D072C">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eastAsia="仿宋_GB2312"/>
          <w:color w:val="auto"/>
          <w:sz w:val="32"/>
          <w:szCs w:val="32"/>
          <w:lang w:val="en-US" w:eastAsia="zh-CN"/>
        </w:rPr>
      </w:pPr>
      <w:r>
        <w:rPr>
          <w:rFonts w:hint="eastAsia" w:ascii="仿宋_GB2312" w:hAnsi="宋体" w:eastAsia="仿宋_GB2312"/>
          <w:color w:val="auto"/>
          <w:sz w:val="32"/>
          <w:szCs w:val="32"/>
          <w:lang w:val="en-US" w:eastAsia="zh-CN"/>
        </w:rPr>
        <w:t>新造镇</w:t>
      </w:r>
      <w:r>
        <w:rPr>
          <w:rFonts w:hint="eastAsia" w:ascii="仿宋_GB2312" w:eastAsia="仿宋_GB2312"/>
          <w:color w:val="auto"/>
          <w:sz w:val="32"/>
          <w:szCs w:val="32"/>
        </w:rPr>
        <w:t>社工服务站在番禺区民政局、</w:t>
      </w:r>
      <w:r>
        <w:rPr>
          <w:rFonts w:hint="eastAsia" w:ascii="仿宋_GB2312" w:eastAsia="仿宋_GB2312"/>
          <w:color w:val="auto"/>
          <w:sz w:val="32"/>
          <w:szCs w:val="32"/>
          <w:lang w:val="en-US" w:eastAsia="zh-CN"/>
        </w:rPr>
        <w:t>新造镇党委</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新造镇人民政府</w:t>
      </w:r>
      <w:r>
        <w:rPr>
          <w:rFonts w:hint="eastAsia" w:ascii="仿宋_GB2312" w:eastAsia="仿宋_GB2312"/>
          <w:color w:val="auto"/>
          <w:sz w:val="32"/>
          <w:szCs w:val="32"/>
        </w:rPr>
        <w:t>的大力支持下，在</w:t>
      </w:r>
      <w:r>
        <w:rPr>
          <w:rFonts w:hint="eastAsia" w:ascii="仿宋_GB2312" w:eastAsia="仿宋_GB2312"/>
          <w:color w:val="auto"/>
          <w:sz w:val="32"/>
          <w:szCs w:val="32"/>
          <w:lang w:val="en-US" w:eastAsia="zh-CN"/>
        </w:rPr>
        <w:t>广州市洋城社会工作服务中心</w:t>
      </w:r>
      <w:r>
        <w:rPr>
          <w:rFonts w:hint="eastAsia" w:ascii="仿宋_GB2312" w:eastAsia="仿宋_GB2312"/>
          <w:color w:val="auto"/>
          <w:sz w:val="32"/>
          <w:szCs w:val="32"/>
        </w:rPr>
        <w:t>的努力下，</w:t>
      </w:r>
      <w:r>
        <w:rPr>
          <w:rFonts w:hint="eastAsia" w:ascii="仿宋_GB2312" w:eastAsia="仿宋_GB2312"/>
          <w:color w:val="auto"/>
          <w:sz w:val="32"/>
          <w:szCs w:val="32"/>
          <w:lang w:val="en-US" w:eastAsia="zh-CN"/>
        </w:rPr>
        <w:t>社工站人员配备充足，服务团队工作认真负责，重视困难群众和特殊群体服务，建立了社工站的基本服务管理制度，宣传渠道多样，服务满意度高</w:t>
      </w:r>
      <w:r>
        <w:rPr>
          <w:rFonts w:hint="eastAsia" w:ascii="仿宋_GB2312" w:eastAsia="仿宋_GB2312"/>
          <w:bCs/>
          <w:color w:val="auto"/>
          <w:sz w:val="32"/>
          <w:szCs w:val="32"/>
          <w:lang w:val="en-US" w:eastAsia="zh-CN"/>
        </w:rPr>
        <w:t>。</w:t>
      </w:r>
    </w:p>
    <w:p w14:paraId="3D44A61A">
      <w:pPr>
        <w:pStyle w:val="15"/>
        <w:pageBreakBefore w:val="0"/>
        <w:widowControl w:val="0"/>
        <w:numPr>
          <w:ilvl w:val="-1"/>
          <w:numId w:val="0"/>
        </w:numPr>
        <w:kinsoku/>
        <w:wordWrap/>
        <w:overflowPunct/>
        <w:topLinePunct w:val="0"/>
        <w:autoSpaceDE/>
        <w:autoSpaceDN/>
        <w:bidi w:val="0"/>
        <w:adjustRightInd/>
        <w:snapToGrid/>
        <w:spacing w:after="0" w:line="520" w:lineRule="exact"/>
        <w:ind w:firstLine="0" w:firstLineChars="0"/>
        <w:jc w:val="both"/>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建议社工站</w:t>
      </w:r>
      <w:r>
        <w:rPr>
          <w:rFonts w:hint="eastAsia" w:ascii="仿宋_GB2312" w:eastAsia="仿宋_GB2312"/>
          <w:color w:val="auto"/>
          <w:sz w:val="32"/>
          <w:szCs w:val="32"/>
          <w:lang w:eastAsia="zh-CN"/>
        </w:rPr>
        <w:t>根据《广州市社工站购买服务项目服务清单（民政领域社会工作）》的文件精神，</w:t>
      </w:r>
      <w:r>
        <w:rPr>
          <w:rFonts w:hint="eastAsia" w:ascii="仿宋_GB2312" w:eastAsia="仿宋_GB2312"/>
          <w:color w:val="auto"/>
          <w:sz w:val="32"/>
          <w:szCs w:val="32"/>
          <w:lang w:val="en-US" w:eastAsia="zh-CN"/>
        </w:rPr>
        <w:t>完善服务持续改进涉及的内容和措施，并按制度加强落实，</w:t>
      </w:r>
      <w:r>
        <w:rPr>
          <w:rFonts w:hint="eastAsia" w:ascii="仿宋_GB2312" w:eastAsia="仿宋_GB2312"/>
          <w:color w:val="auto"/>
          <w:sz w:val="32"/>
          <w:szCs w:val="32"/>
          <w:lang w:eastAsia="zh-CN"/>
        </w:rPr>
        <w:t>进一步优化需求调研与服务计划的逻辑关系，留意民生政策宣传的覆盖面问题，在探访过程中要更加注重针对性和专业性元素，进一步理解基础性民生服务和普惠性民生服务的服务内容，提高服务设计的精准性；结合困难群众和特殊群体的类别、所占比例等因素合理设计服务，避免服务仅聚焦少部分群体，忽视其他群体的需求，影响资源、服务等在群体内的分配；</w:t>
      </w:r>
      <w:r>
        <w:rPr>
          <w:rFonts w:hint="eastAsia" w:ascii="仿宋_GB2312" w:hAnsi="宋体" w:eastAsia="仿宋_GB2312"/>
          <w:color w:val="auto"/>
          <w:sz w:val="32"/>
          <w:szCs w:val="32"/>
          <w:lang w:val="en-US" w:eastAsia="zh-CN"/>
        </w:rPr>
        <w:t>继续深化对广州市社工站综合管理平台的实践应用</w:t>
      </w:r>
      <w:r>
        <w:rPr>
          <w:rFonts w:hint="eastAsia" w:ascii="仿宋_GB2312" w:eastAsia="仿宋_GB2312"/>
          <w:color w:val="auto"/>
          <w:sz w:val="32"/>
          <w:szCs w:val="32"/>
          <w:lang w:val="en-US" w:eastAsia="zh-CN"/>
        </w:rPr>
        <w:t>，</w:t>
      </w:r>
      <w:r>
        <w:rPr>
          <w:rFonts w:hint="eastAsia" w:ascii="仿宋_GB2312" w:hAnsi="宋体" w:eastAsia="仿宋_GB2312"/>
          <w:color w:val="auto"/>
          <w:sz w:val="32"/>
          <w:szCs w:val="32"/>
          <w:lang w:val="en-US" w:eastAsia="zh-CN"/>
        </w:rPr>
        <w:t>完善平台长效管理机制，全面落实常态化使用平台的要求，持续加强对全体社工的平台操作培训与服务记录跟踪监测</w:t>
      </w:r>
      <w:r>
        <w:rPr>
          <w:rFonts w:hint="eastAsia" w:ascii="仿宋_GB2312" w:eastAsia="仿宋_GB2312"/>
          <w:color w:val="auto"/>
          <w:sz w:val="32"/>
          <w:szCs w:val="32"/>
          <w:lang w:val="en-US" w:eastAsia="zh-CN"/>
        </w:rPr>
        <w:t>；</w:t>
      </w:r>
      <w:r>
        <w:rPr>
          <w:rFonts w:hint="eastAsia" w:ascii="仿宋_GB2312" w:hAnsi="宋体" w:eastAsia="仿宋_GB2312"/>
          <w:color w:val="auto"/>
          <w:sz w:val="32"/>
          <w:szCs w:val="32"/>
          <w:lang w:val="en-US" w:eastAsia="zh-CN"/>
        </w:rPr>
        <w:t>系统强化研究成果产出与宣传报道的深度，推动宣传内容从活动报道向服务模式与成效总结转型，逐步提升项目专业显示度。</w:t>
      </w:r>
    </w:p>
    <w:p w14:paraId="63345146">
      <w:pPr>
        <w:pStyle w:val="15"/>
        <w:numPr>
          <w:ilvl w:val="-1"/>
          <w:numId w:val="0"/>
        </w:numPr>
        <w:spacing w:after="0" w:line="520" w:lineRule="exact"/>
        <w:ind w:firstLine="0"/>
        <w:jc w:val="both"/>
        <w:rPr>
          <w:rFonts w:hint="eastAsia" w:ascii="仿宋_GB2312" w:eastAsia="仿宋_GB2312"/>
          <w:color w:val="auto"/>
          <w:sz w:val="32"/>
          <w:szCs w:val="32"/>
        </w:rPr>
      </w:pPr>
    </w:p>
    <w:p w14:paraId="0AF07939">
      <w:pPr>
        <w:pStyle w:val="15"/>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附件：1.新造镇社工服务站指标完成情况统计表</w:t>
      </w:r>
    </w:p>
    <w:p w14:paraId="0E86D763">
      <w:pPr>
        <w:pStyle w:val="15"/>
        <w:pageBreakBefore w:val="0"/>
        <w:widowControl w:val="0"/>
        <w:kinsoku/>
        <w:wordWrap/>
        <w:overflowPunct/>
        <w:topLinePunct w:val="0"/>
        <w:autoSpaceDE/>
        <w:autoSpaceDN/>
        <w:bidi w:val="0"/>
        <w:adjustRightInd/>
        <w:snapToGrid/>
        <w:spacing w:after="0" w:line="520" w:lineRule="exact"/>
        <w:ind w:firstLine="1600" w:firstLineChars="5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2.新造镇社工服务站工作人员情况统计表</w:t>
      </w:r>
    </w:p>
    <w:p w14:paraId="74EB7D3A">
      <w:pPr>
        <w:pStyle w:val="15"/>
        <w:spacing w:after="160" w:line="560" w:lineRule="exact"/>
        <w:ind w:left="0" w:leftChars="0" w:firstLine="0" w:firstLineChars="0"/>
        <w:jc w:val="both"/>
        <w:rPr>
          <w:rFonts w:hint="eastAsia" w:ascii="仿宋_GB2312" w:eastAsia="仿宋_GB2312"/>
          <w:color w:val="auto"/>
          <w:sz w:val="32"/>
          <w:szCs w:val="32"/>
        </w:rPr>
      </w:pPr>
    </w:p>
    <w:p w14:paraId="491C722A">
      <w:pPr>
        <w:pStyle w:val="15"/>
        <w:spacing w:after="160" w:line="560" w:lineRule="exact"/>
        <w:ind w:firstLine="640"/>
        <w:jc w:val="both"/>
        <w:rPr>
          <w:rFonts w:hint="eastAsia" w:ascii="仿宋_GB2312" w:eastAsia="仿宋_GB2312"/>
          <w:color w:val="auto"/>
          <w:sz w:val="32"/>
          <w:szCs w:val="32"/>
        </w:rPr>
      </w:pPr>
    </w:p>
    <w:p w14:paraId="2BC23CE2">
      <w:pPr>
        <w:tabs>
          <w:tab w:val="left" w:pos="7330"/>
        </w:tabs>
        <w:spacing w:line="560" w:lineRule="exact"/>
        <w:ind w:firstLine="5120" w:firstLineChars="1600"/>
        <w:jc w:val="both"/>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广州市番禺区社会组织联合会</w:t>
      </w:r>
    </w:p>
    <w:p w14:paraId="23FAE7A5">
      <w:pPr>
        <w:tabs>
          <w:tab w:val="left" w:pos="7330"/>
        </w:tabs>
        <w:spacing w:line="560" w:lineRule="exact"/>
        <w:ind w:firstLine="6080" w:firstLineChars="1900"/>
        <w:jc w:val="both"/>
        <w:rPr>
          <w:rFonts w:hint="eastAsia" w:ascii="仿宋_GB2312" w:hAnsi="仿宋_GB2312" w:eastAsia="仿宋_GB2312" w:cs="仿宋_GB2312"/>
          <w:color w:val="auto"/>
          <w:sz w:val="32"/>
          <w:szCs w:val="32"/>
          <w:lang w:eastAsia="zh-CN"/>
        </w:rPr>
        <w:sectPr>
          <w:footerReference r:id="rId3" w:type="default"/>
          <w:footerReference r:id="rId4" w:type="even"/>
          <w:pgSz w:w="11900" w:h="16840"/>
          <w:pgMar w:top="1301" w:right="876" w:bottom="1373" w:left="885" w:header="457" w:footer="448" w:gutter="0"/>
          <w:cols w:space="720" w:num="1"/>
          <w:docGrid w:linePitch="360" w:charSpace="0"/>
        </w:sectPr>
      </w:pP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lang w:eastAsia="zh-CN"/>
        </w:rPr>
        <w:t>年3月</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lang w:eastAsia="zh-CN"/>
        </w:rPr>
        <w:t>日</w:t>
      </w:r>
    </w:p>
    <w:p w14:paraId="560C3CD1">
      <w:pPr>
        <w:pStyle w:val="15"/>
        <w:spacing w:after="160" w:line="560" w:lineRule="exact"/>
        <w:ind w:firstLine="0"/>
        <w:rPr>
          <w:rFonts w:ascii="仿宋_GB2312" w:eastAsia="仿宋_GB2312"/>
          <w:b/>
          <w:bCs/>
          <w:color w:val="auto"/>
          <w:sz w:val="32"/>
          <w:szCs w:val="32"/>
          <w:lang w:val="en-US" w:eastAsia="zh-CN"/>
        </w:rPr>
      </w:pPr>
      <w:r>
        <w:rPr>
          <w:rFonts w:hint="eastAsia" w:ascii="仿宋_GB2312" w:eastAsia="仿宋_GB2312"/>
          <w:b/>
          <w:bCs/>
          <w:color w:val="auto"/>
          <w:sz w:val="32"/>
          <w:szCs w:val="32"/>
          <w:lang w:eastAsia="zh-CN"/>
        </w:rPr>
        <w:t>附件</w:t>
      </w:r>
      <w:r>
        <w:rPr>
          <w:rFonts w:hint="eastAsia" w:ascii="仿宋_GB2312" w:eastAsia="仿宋_GB2312"/>
          <w:b/>
          <w:bCs/>
          <w:color w:val="auto"/>
          <w:sz w:val="32"/>
          <w:szCs w:val="32"/>
          <w:lang w:val="en-US" w:eastAsia="zh-CN"/>
        </w:rPr>
        <w:t>1</w:t>
      </w:r>
    </w:p>
    <w:p w14:paraId="7ECC88DB">
      <w:pPr>
        <w:pStyle w:val="15"/>
        <w:spacing w:after="160" w:line="360" w:lineRule="auto"/>
        <w:ind w:firstLine="0"/>
        <w:jc w:val="center"/>
        <w:rPr>
          <w:lang w:val="en-US" w:eastAsia="zh-CN"/>
        </w:rPr>
      </w:pPr>
      <w:r>
        <w:drawing>
          <wp:inline distT="0" distB="0" distL="114300" distR="114300">
            <wp:extent cx="8992870" cy="4037965"/>
            <wp:effectExtent l="0" t="0" r="17780"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8992870" cy="4037965"/>
                    </a:xfrm>
                    <a:prstGeom prst="rect">
                      <a:avLst/>
                    </a:prstGeom>
                    <a:noFill/>
                    <a:ln>
                      <a:noFill/>
                    </a:ln>
                  </pic:spPr>
                </pic:pic>
              </a:graphicData>
            </a:graphic>
          </wp:inline>
        </w:drawing>
      </w:r>
    </w:p>
    <w:p w14:paraId="3B57558D">
      <w:pPr>
        <w:pStyle w:val="15"/>
        <w:spacing w:after="160" w:line="360" w:lineRule="auto"/>
        <w:ind w:firstLine="0"/>
        <w:jc w:val="center"/>
        <w:rPr>
          <w:lang w:val="en-US" w:eastAsia="zh-CN"/>
        </w:rPr>
        <w:sectPr>
          <w:pgSz w:w="16840" w:h="11900" w:orient="landscape"/>
          <w:pgMar w:top="885" w:right="1301" w:bottom="876" w:left="1373" w:header="457" w:footer="448" w:gutter="0"/>
          <w:cols w:space="720" w:num="1"/>
          <w:docGrid w:linePitch="360" w:charSpace="0"/>
        </w:sectPr>
      </w:pPr>
    </w:p>
    <w:p w14:paraId="4F15D7A2">
      <w:pPr>
        <w:pStyle w:val="15"/>
        <w:spacing w:after="160" w:line="360" w:lineRule="auto"/>
        <w:ind w:firstLine="0"/>
        <w:rPr>
          <w:rFonts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附件2</w:t>
      </w:r>
    </w:p>
    <w:p w14:paraId="0960F6CD">
      <w:pPr>
        <w:pStyle w:val="15"/>
        <w:spacing w:after="160" w:line="360" w:lineRule="auto"/>
        <w:ind w:firstLine="0"/>
        <w:rPr>
          <w:rFonts w:ascii="仿宋_GB2312" w:hAnsi="仿宋_GB2312" w:eastAsia="仿宋_GB2312" w:cs="仿宋_GB2312"/>
          <w:b/>
          <w:bCs/>
          <w:sz w:val="32"/>
          <w:szCs w:val="32"/>
          <w:lang w:val="en-US" w:eastAsia="zh-CN"/>
        </w:rPr>
      </w:pPr>
      <w:r>
        <w:drawing>
          <wp:inline distT="0" distB="0" distL="114300" distR="114300">
            <wp:extent cx="6437630" cy="5507355"/>
            <wp:effectExtent l="0" t="0" r="127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tretch>
                      <a:fillRect/>
                    </a:stretch>
                  </pic:blipFill>
                  <pic:spPr>
                    <a:xfrm>
                      <a:off x="0" y="0"/>
                      <a:ext cx="6437630" cy="5507355"/>
                    </a:xfrm>
                    <a:prstGeom prst="rect">
                      <a:avLst/>
                    </a:prstGeom>
                    <a:noFill/>
                    <a:ln>
                      <a:noFill/>
                    </a:ln>
                  </pic:spPr>
                </pic:pic>
              </a:graphicData>
            </a:graphic>
          </wp:inline>
        </w:drawing>
      </w:r>
    </w:p>
    <w:p w14:paraId="3091BAE7">
      <w:pPr>
        <w:pStyle w:val="15"/>
        <w:spacing w:after="160" w:line="360" w:lineRule="auto"/>
        <w:ind w:firstLine="0"/>
        <w:rPr>
          <w:rFonts w:ascii="仿宋_GB2312" w:hAnsi="仿宋_GB2312" w:eastAsia="仿宋_GB2312" w:cs="仿宋_GB2312"/>
          <w:b/>
          <w:bCs/>
          <w:sz w:val="32"/>
          <w:szCs w:val="32"/>
          <w:lang w:val="en-US" w:eastAsia="zh-CN"/>
        </w:rPr>
      </w:pPr>
    </w:p>
    <w:p w14:paraId="40F77573">
      <w:pPr>
        <w:pStyle w:val="2"/>
        <w:rPr>
          <w:lang w:val="en-US" w:eastAsia="zh-CN"/>
        </w:rPr>
      </w:pPr>
    </w:p>
    <w:sectPr>
      <w:pgSz w:w="11900" w:h="16840"/>
      <w:pgMar w:top="1301" w:right="876" w:bottom="1373" w:left="885" w:header="457" w:footer="44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PMingLiU">
    <w:panose1 w:val="02020500000000000000"/>
    <w:charset w:val="88"/>
    <w:family w:val="roman"/>
    <w:pitch w:val="default"/>
    <w:sig w:usb0="A00002FF" w:usb1="28CFFCFA" w:usb2="00000016" w:usb3="00000000" w:csb0="0010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F56F90">
    <w:pPr>
      <w:pStyle w:val="5"/>
    </w:pPr>
    <w:r>
      <w:rPr>
        <w:lang w:eastAsia="zh-CN" w:bidi="ar-SA"/>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8" name="文本框 2"/>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535B85DF">
                          <w:pPr>
                            <w:pStyle w:val="5"/>
                          </w:pPr>
                          <w:r>
                            <w:fldChar w:fldCharType="begin"/>
                          </w:r>
                          <w:r>
                            <w:instrText xml:space="preserve"> PAGE  \* MERGEFORMAT </w:instrText>
                          </w:r>
                          <w:r>
                            <w:fldChar w:fldCharType="separate"/>
                          </w:r>
                          <w:r>
                            <w:t>19</w:t>
                          </w:r>
                          <w:r>
                            <w:fldChar w:fldCharType="end"/>
                          </w:r>
                        </w:p>
                      </w:txbxContent>
                    </wps:txbx>
                    <wps:bodyPr vert="horz" wrap="none" lIns="0" tIns="0" rIns="0" bIns="0" anchor="t">
                      <a:spAutoFit/>
                    </wps:bodyPr>
                  </wps:wsp>
                </a:graphicData>
              </a:graphic>
            </wp:anchor>
          </w:drawing>
        </mc:Choice>
        <mc:Fallback>
          <w:pict>
            <v:rect id="文本框 2"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C5dblS0AAAAAUBAAAPAAAAAAAAAAEAIAAAACIAAABkcnMvZG93bnJldi54&#10;bWxQSwECFAAUAAAACACHTuJA8RvrdckBAACSAwAADgAAAAAAAAABACAAAAAfAQAAZHJzL2Uyb0Rv&#10;Yy54bWxQSwUGAAAAAAYABgBZAQAAWgUAAAAA&#10;">
              <v:fill on="f" focussize="0,0"/>
              <v:stroke on="f"/>
              <v:imagedata o:title=""/>
              <o:lock v:ext="edit" aspectratio="f"/>
              <v:textbox inset="0mm,0mm,0mm,0mm" style="mso-fit-shape-to-text:t;">
                <w:txbxContent>
                  <w:p w14:paraId="535B85DF">
                    <w:pPr>
                      <w:pStyle w:val="5"/>
                    </w:pPr>
                    <w:r>
                      <w:fldChar w:fldCharType="begin"/>
                    </w:r>
                    <w:r>
                      <w:instrText xml:space="preserve"> PAGE  \* MERGEFORMAT </w:instrText>
                    </w:r>
                    <w:r>
                      <w:fldChar w:fldCharType="separate"/>
                    </w:r>
                    <w:r>
                      <w:t>19</w:t>
                    </w:r>
                    <w:r>
                      <w:fldChar w:fldCharType="end"/>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C7927C">
    <w:pPr>
      <w:pStyle w:val="5"/>
    </w:pPr>
    <w:r>
      <w:rPr>
        <w:lang w:eastAsia="zh-CN" w:bidi="ar-SA"/>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6"/>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3B491342">
                          <w:pPr>
                            <w:pStyle w:val="5"/>
                          </w:pPr>
                          <w:r>
                            <w:fldChar w:fldCharType="begin"/>
                          </w:r>
                          <w:r>
                            <w:instrText xml:space="preserve"> PAGE  \* MERGEFORMAT </w:instrText>
                          </w:r>
                          <w:r>
                            <w:fldChar w:fldCharType="separate"/>
                          </w:r>
                          <w:r>
                            <w:t>18</w:t>
                          </w:r>
                          <w:r>
                            <w:fldChar w:fldCharType="end"/>
                          </w:r>
                        </w:p>
                      </w:txbxContent>
                    </wps:txbx>
                    <wps:bodyPr vert="horz" wrap="none" lIns="0" tIns="0" rIns="0" bIns="0" anchor="t">
                      <a:spAutoFit/>
                    </wps:bodyPr>
                  </wps:wsp>
                </a:graphicData>
              </a:graphic>
            </wp:anchor>
          </w:drawing>
        </mc:Choice>
        <mc:Fallback>
          <w:pict>
            <v:rect id="文本框 6"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uXW5UtAAAAAFAQAADwAAAAAAAAABACAAAAAiAAAAZHJzL2Rvd25yZXYu&#10;eG1sUEsBAhQAFAAAAAgAh07iQHwkrQrKAQAAkgMAAA4AAAAAAAAAAQAgAAAAHwEAAGRycy9lMm9E&#10;b2MueG1sUEsFBgAAAAAGAAYAWQEAAFsFAAAAAA==&#10;">
              <v:fill on="f" focussize="0,0"/>
              <v:stroke on="f"/>
              <v:imagedata o:title=""/>
              <o:lock v:ext="edit" aspectratio="f"/>
              <v:textbox inset="0mm,0mm,0mm,0mm" style="mso-fit-shape-to-text:t;">
                <w:txbxContent>
                  <w:p w14:paraId="3B491342">
                    <w:pPr>
                      <w:pStyle w:val="5"/>
                    </w:pPr>
                    <w:r>
                      <w:fldChar w:fldCharType="begin"/>
                    </w:r>
                    <w:r>
                      <w:instrText xml:space="preserve"> PAGE  \* MERGEFORMAT </w:instrText>
                    </w:r>
                    <w:r>
                      <w:fldChar w:fldCharType="separate"/>
                    </w:r>
                    <w:r>
                      <w:t>18</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7"/>
      <w:numFmt w:val="chineseCounting"/>
      <w:suff w:val="nothing"/>
      <w:lvlText w:val="（%1）"/>
      <w:lvlJc w:val="left"/>
      <w:rPr>
        <w:rFonts w:hint="eastAsia"/>
      </w:rPr>
    </w:lvl>
  </w:abstractNum>
  <w:abstractNum w:abstractNumId="1">
    <w:nsid w:val="00000001"/>
    <w:multiLevelType w:val="singleLevel"/>
    <w:tmpl w:val="00000001"/>
    <w:lvl w:ilvl="0" w:tentative="0">
      <w:start w:val="1"/>
      <w:numFmt w:val="decimal"/>
      <w:lvlText w:val="%1."/>
      <w:lvlJc w:val="left"/>
      <w:rPr>
        <w:rFonts w:ascii="仿宋" w:hAnsi="仿宋" w:eastAsia="仿宋" w:cs="Times New Roman"/>
        <w:b/>
        <w:bCs w:val="0"/>
        <w:i w:val="0"/>
        <w:iCs w:val="0"/>
        <w:smallCaps w:val="0"/>
        <w:color w:val="000000"/>
        <w:spacing w:val="0"/>
        <w:w w:val="100"/>
        <w:position w:val="0"/>
        <w:sz w:val="32"/>
        <w:szCs w:val="28"/>
        <w:u w:val="none"/>
        <w:shd w:val="clear" w:color="auto" w:fill="auto"/>
        <w:lang w:val="zh-TW" w:eastAsia="zh-TW" w:bidi="zh-TW"/>
      </w:rPr>
    </w:lvl>
  </w:abstractNum>
  <w:abstractNum w:abstractNumId="2">
    <w:nsid w:val="00000002"/>
    <w:multiLevelType w:val="singleLevel"/>
    <w:tmpl w:val="00000002"/>
    <w:lvl w:ilvl="0" w:tentative="0">
      <w:start w:val="1"/>
      <w:numFmt w:val="decimal"/>
      <w:lvlText w:val="%1."/>
      <w:lvlJc w:val="left"/>
      <w:rPr>
        <w:rFonts w:ascii="仿宋" w:hAnsi="仿宋" w:eastAsia="仿宋" w:cs="Times New Roman"/>
        <w:b/>
        <w:bCs w:val="0"/>
        <w:i w:val="0"/>
        <w:iCs w:val="0"/>
        <w:smallCaps w:val="0"/>
        <w:color w:val="000000"/>
        <w:spacing w:val="0"/>
        <w:w w:val="100"/>
        <w:position w:val="0"/>
        <w:sz w:val="32"/>
        <w:szCs w:val="28"/>
        <w:u w:val="none"/>
        <w:shd w:val="clear" w:color="auto" w:fill="auto"/>
        <w:lang w:val="zh-TW" w:eastAsia="zh-TW" w:bidi="zh-TW"/>
      </w:rPr>
    </w:lvl>
  </w:abstractNum>
  <w:abstractNum w:abstractNumId="3">
    <w:nsid w:val="00000003"/>
    <w:multiLevelType w:val="singleLevel"/>
    <w:tmpl w:val="00000003"/>
    <w:lvl w:ilvl="0" w:tentative="0">
      <w:start w:val="1"/>
      <w:numFmt w:val="decimal"/>
      <w:lvlText w:val="%1."/>
      <w:lvlJc w:val="left"/>
      <w:rPr>
        <w:rFonts w:ascii="Times New Roman" w:hAnsi="Times New Roman" w:eastAsia="Times New Roman" w:cs="Times New Roman"/>
        <w:b/>
        <w:bCs/>
        <w:i w:val="0"/>
        <w:iCs w:val="0"/>
        <w:smallCaps w:val="0"/>
        <w:color w:val="000000"/>
        <w:spacing w:val="0"/>
        <w:w w:val="100"/>
        <w:position w:val="0"/>
        <w:sz w:val="30"/>
        <w:szCs w:val="30"/>
        <w:u w:val="none"/>
        <w:shd w:val="clear" w:color="auto" w:fill="auto"/>
        <w:lang w:val="zh-TW" w:eastAsia="zh-TW" w:bidi="zh-TW"/>
      </w:rPr>
    </w:lvl>
  </w:abstractNum>
  <w:abstractNum w:abstractNumId="4">
    <w:nsid w:val="00000004"/>
    <w:multiLevelType w:val="singleLevel"/>
    <w:tmpl w:val="00000004"/>
    <w:lvl w:ilvl="0" w:tentative="0">
      <w:start w:val="1"/>
      <w:numFmt w:val="decimal"/>
      <w:lvlText w:val="%1."/>
      <w:lvlJc w:val="left"/>
      <w:rPr>
        <w:rFonts w:ascii="仿宋" w:hAnsi="仿宋" w:eastAsia="仿宋" w:cs="Times New Roman"/>
        <w:b/>
        <w:bCs w:val="0"/>
        <w:i w:val="0"/>
        <w:iCs w:val="0"/>
        <w:smallCaps w:val="0"/>
        <w:color w:val="000000"/>
        <w:spacing w:val="0"/>
        <w:w w:val="100"/>
        <w:position w:val="0"/>
        <w:sz w:val="32"/>
        <w:szCs w:val="28"/>
        <w:u w:val="none"/>
        <w:shd w:val="clear" w:color="auto" w:fill="auto"/>
        <w:lang w:val="zh-TW" w:eastAsia="zh-TW" w:bidi="zh-TW"/>
      </w:rPr>
    </w:lvl>
  </w:abstractNum>
  <w:abstractNum w:abstractNumId="5">
    <w:nsid w:val="00000005"/>
    <w:multiLevelType w:val="singleLevel"/>
    <w:tmpl w:val="00000005"/>
    <w:lvl w:ilvl="0" w:tentative="0">
      <w:start w:val="1"/>
      <w:numFmt w:val="decimal"/>
      <w:suff w:val="nothing"/>
      <w:lvlText w:val="（%1）"/>
      <w:lvlJc w:val="left"/>
    </w:lvl>
  </w:abstractNum>
  <w:num w:numId="1">
    <w:abstractNumId w:val="4"/>
  </w:num>
  <w:num w:numId="2">
    <w:abstractNumId w:val="1"/>
  </w:num>
  <w:num w:numId="3">
    <w:abstractNumId w:val="2"/>
  </w:num>
  <w:num w:numId="4">
    <w:abstractNumId w:val="3"/>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420"/>
  <w:evenAndOddHeaders w:val="1"/>
  <w:drawingGridHorizontalSpacing w:val="181"/>
  <w:drawingGridVerticalSpacing w:val="181"/>
  <w:noPunctuationKerning w:val="1"/>
  <w:characterSpacingControl w:val="compressPunctuation"/>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74D1ECF"/>
    <w:rsid w:val="0BE671DC"/>
    <w:rsid w:val="10AB2557"/>
    <w:rsid w:val="16820EE4"/>
    <w:rsid w:val="267B279E"/>
    <w:rsid w:val="376822DC"/>
    <w:rsid w:val="386F1E90"/>
    <w:rsid w:val="4B022915"/>
    <w:rsid w:val="55F66C4D"/>
    <w:rsid w:val="593B1BF2"/>
    <w:rsid w:val="5F0556C3"/>
    <w:rsid w:val="601E1F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Pr>
    <w:rPr>
      <w:rFonts w:ascii="Times New Roman" w:hAnsi="Times New Roman" w:eastAsia="Times New Roman" w:cs="Times New Roman"/>
      <w:color w:val="000000"/>
      <w:sz w:val="24"/>
      <w:szCs w:val="24"/>
      <w:lang w:val="en-US" w:eastAsia="en-US" w:bidi="en-US"/>
    </w:rPr>
  </w:style>
  <w:style w:type="paragraph" w:styleId="2">
    <w:name w:val="heading 2"/>
    <w:basedOn w:val="1"/>
    <w:next w:val="1"/>
    <w:qFormat/>
    <w:uiPriority w:val="0"/>
    <w:pPr>
      <w:keepNext/>
      <w:keepLines/>
      <w:spacing w:before="260" w:after="260" w:line="413" w:lineRule="auto"/>
      <w:outlineLvl w:val="1"/>
    </w:pPr>
    <w:rPr>
      <w:rFonts w:ascii="Arial" w:hAnsi="Arial" w:eastAsia="宋体"/>
      <w:b/>
      <w:sz w:val="32"/>
    </w:rPr>
  </w:style>
  <w:style w:type="character" w:default="1" w:styleId="10">
    <w:name w:val="Default Paragraph Font"/>
    <w:qFormat/>
    <w:uiPriority w:val="1"/>
  </w:style>
  <w:style w:type="table" w:default="1" w:styleId="8">
    <w:name w:val="Normal Table"/>
    <w:qFormat/>
    <w:uiPriority w:val="99"/>
    <w:tblPr>
      <w:tblCellMar>
        <w:top w:w="0" w:type="dxa"/>
        <w:left w:w="108" w:type="dxa"/>
        <w:bottom w:w="0" w:type="dxa"/>
        <w:right w:w="108" w:type="dxa"/>
      </w:tblCellMar>
    </w:tblPr>
  </w:style>
  <w:style w:type="paragraph" w:styleId="3">
    <w:name w:val="annotation text"/>
    <w:basedOn w:val="1"/>
    <w:link w:val="35"/>
    <w:qFormat/>
    <w:uiPriority w:val="0"/>
  </w:style>
  <w:style w:type="paragraph" w:styleId="4">
    <w:name w:val="Body Text"/>
    <w:basedOn w:val="1"/>
    <w:link w:val="33"/>
    <w:qFormat/>
    <w:uiPriority w:val="0"/>
    <w:pPr>
      <w:spacing w:after="120"/>
    </w:pPr>
  </w:style>
  <w:style w:type="paragraph" w:styleId="5">
    <w:name w:val="footer"/>
    <w:basedOn w:val="1"/>
    <w:link w:val="31"/>
    <w:qFormat/>
    <w:uiPriority w:val="0"/>
    <w:pPr>
      <w:tabs>
        <w:tab w:val="center" w:pos="4153"/>
        <w:tab w:val="right" w:pos="8306"/>
      </w:tabs>
      <w:snapToGrid w:val="0"/>
    </w:pPr>
    <w:rPr>
      <w:sz w:val="18"/>
      <w:szCs w:val="18"/>
    </w:rPr>
  </w:style>
  <w:style w:type="paragraph" w:styleId="6">
    <w:name w:val="header"/>
    <w:basedOn w:val="1"/>
    <w:link w:val="30"/>
    <w:qFormat/>
    <w:uiPriority w:val="0"/>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36"/>
    <w:qFormat/>
    <w:uiPriority w:val="0"/>
    <w:rPr>
      <w:b/>
      <w:bCs/>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basedOn w:val="10"/>
    <w:qFormat/>
    <w:uiPriority w:val="0"/>
    <w:rPr>
      <w:sz w:val="21"/>
      <w:szCs w:val="21"/>
    </w:rPr>
  </w:style>
  <w:style w:type="character" w:customStyle="1" w:styleId="12">
    <w:name w:val="Heading #1|1_"/>
    <w:basedOn w:val="10"/>
    <w:link w:val="13"/>
    <w:qFormat/>
    <w:uiPriority w:val="0"/>
    <w:rPr>
      <w:rFonts w:ascii="宋体" w:hAnsi="宋体" w:eastAsia="宋体" w:cs="宋体"/>
      <w:sz w:val="40"/>
      <w:szCs w:val="40"/>
      <w:u w:val="none"/>
      <w:shd w:val="clear" w:color="auto" w:fill="auto"/>
      <w:lang w:val="zh-TW" w:eastAsia="zh-TW" w:bidi="zh-TW"/>
    </w:rPr>
  </w:style>
  <w:style w:type="paragraph" w:customStyle="1" w:styleId="13">
    <w:name w:val="Heading #1|1"/>
    <w:basedOn w:val="1"/>
    <w:link w:val="12"/>
    <w:qFormat/>
    <w:uiPriority w:val="0"/>
    <w:pPr>
      <w:spacing w:before="320" w:after="4320" w:line="541" w:lineRule="exact"/>
      <w:jc w:val="center"/>
      <w:outlineLvl w:val="0"/>
    </w:pPr>
    <w:rPr>
      <w:rFonts w:ascii="宋体" w:hAnsi="宋体" w:eastAsia="宋体" w:cs="宋体"/>
      <w:sz w:val="40"/>
      <w:szCs w:val="40"/>
      <w:lang w:val="zh-TW" w:eastAsia="zh-TW" w:bidi="zh-TW"/>
    </w:rPr>
  </w:style>
  <w:style w:type="character" w:customStyle="1" w:styleId="14">
    <w:name w:val="Body text|1_"/>
    <w:basedOn w:val="10"/>
    <w:link w:val="15"/>
    <w:qFormat/>
    <w:uiPriority w:val="0"/>
    <w:rPr>
      <w:rFonts w:ascii="宋体" w:hAnsi="宋体" w:eastAsia="宋体" w:cs="宋体"/>
      <w:sz w:val="28"/>
      <w:szCs w:val="28"/>
      <w:u w:val="none"/>
      <w:shd w:val="clear" w:color="auto" w:fill="auto"/>
      <w:lang w:val="zh-TW" w:eastAsia="zh-TW" w:bidi="zh-TW"/>
    </w:rPr>
  </w:style>
  <w:style w:type="paragraph" w:customStyle="1" w:styleId="15">
    <w:name w:val="Body text|1"/>
    <w:basedOn w:val="1"/>
    <w:link w:val="14"/>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16">
    <w:name w:val="Header or footer|2_"/>
    <w:basedOn w:val="10"/>
    <w:link w:val="17"/>
    <w:qFormat/>
    <w:uiPriority w:val="0"/>
    <w:rPr>
      <w:sz w:val="20"/>
      <w:szCs w:val="20"/>
      <w:u w:val="none"/>
      <w:shd w:val="clear" w:color="auto" w:fill="auto"/>
      <w:lang w:val="zh-TW" w:eastAsia="zh-TW" w:bidi="zh-TW"/>
    </w:rPr>
  </w:style>
  <w:style w:type="paragraph" w:customStyle="1" w:styleId="17">
    <w:name w:val="Header or footer|2"/>
    <w:basedOn w:val="1"/>
    <w:link w:val="16"/>
    <w:qFormat/>
    <w:uiPriority w:val="0"/>
    <w:rPr>
      <w:sz w:val="20"/>
      <w:szCs w:val="20"/>
      <w:lang w:val="zh-TW" w:eastAsia="zh-TW" w:bidi="zh-TW"/>
    </w:rPr>
  </w:style>
  <w:style w:type="character" w:customStyle="1" w:styleId="18">
    <w:name w:val="Header or footer|1_"/>
    <w:basedOn w:val="10"/>
    <w:link w:val="19"/>
    <w:qFormat/>
    <w:uiPriority w:val="0"/>
    <w:rPr>
      <w:rFonts w:ascii="宋体" w:hAnsi="宋体" w:eastAsia="宋体" w:cs="宋体"/>
      <w:sz w:val="26"/>
      <w:szCs w:val="26"/>
      <w:u w:val="none"/>
      <w:shd w:val="clear" w:color="auto" w:fill="auto"/>
      <w:lang w:val="zh-TW" w:eastAsia="zh-TW" w:bidi="zh-TW"/>
    </w:rPr>
  </w:style>
  <w:style w:type="paragraph" w:customStyle="1" w:styleId="19">
    <w:name w:val="Header or footer|1"/>
    <w:basedOn w:val="1"/>
    <w:link w:val="18"/>
    <w:qFormat/>
    <w:uiPriority w:val="0"/>
    <w:rPr>
      <w:rFonts w:ascii="宋体" w:hAnsi="宋体" w:eastAsia="宋体" w:cs="宋体"/>
      <w:sz w:val="26"/>
      <w:szCs w:val="26"/>
      <w:lang w:val="zh-TW" w:eastAsia="zh-TW" w:bidi="zh-TW"/>
    </w:rPr>
  </w:style>
  <w:style w:type="character" w:customStyle="1" w:styleId="20">
    <w:name w:val="Body text|2_"/>
    <w:basedOn w:val="10"/>
    <w:link w:val="21"/>
    <w:qFormat/>
    <w:uiPriority w:val="0"/>
    <w:rPr>
      <w:rFonts w:ascii="宋体" w:hAnsi="宋体" w:eastAsia="宋体" w:cs="宋体"/>
      <w:sz w:val="22"/>
      <w:szCs w:val="22"/>
      <w:u w:val="none"/>
      <w:shd w:val="clear" w:color="auto" w:fill="auto"/>
      <w:lang w:val="zh-TW" w:eastAsia="zh-TW" w:bidi="zh-TW"/>
    </w:rPr>
  </w:style>
  <w:style w:type="paragraph" w:customStyle="1" w:styleId="21">
    <w:name w:val="Body text|2"/>
    <w:basedOn w:val="1"/>
    <w:link w:val="20"/>
    <w:qFormat/>
    <w:uiPriority w:val="0"/>
    <w:pPr>
      <w:spacing w:after="240"/>
    </w:pPr>
    <w:rPr>
      <w:rFonts w:ascii="宋体" w:hAnsi="宋体" w:eastAsia="宋体" w:cs="宋体"/>
      <w:sz w:val="22"/>
      <w:szCs w:val="22"/>
      <w:lang w:val="zh-TW" w:eastAsia="zh-TW" w:bidi="zh-TW"/>
    </w:rPr>
  </w:style>
  <w:style w:type="character" w:customStyle="1" w:styleId="22">
    <w:name w:val="Other|1_"/>
    <w:basedOn w:val="10"/>
    <w:link w:val="23"/>
    <w:qFormat/>
    <w:uiPriority w:val="0"/>
    <w:rPr>
      <w:rFonts w:ascii="宋体" w:hAnsi="宋体" w:eastAsia="宋体" w:cs="宋体"/>
      <w:sz w:val="28"/>
      <w:szCs w:val="28"/>
      <w:u w:val="none"/>
      <w:shd w:val="clear" w:color="auto" w:fill="auto"/>
      <w:lang w:val="zh-TW" w:eastAsia="zh-TW" w:bidi="zh-TW"/>
    </w:rPr>
  </w:style>
  <w:style w:type="paragraph" w:customStyle="1" w:styleId="23">
    <w:name w:val="Other|1"/>
    <w:basedOn w:val="1"/>
    <w:link w:val="22"/>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24">
    <w:name w:val="Other|2_"/>
    <w:basedOn w:val="10"/>
    <w:link w:val="25"/>
    <w:qFormat/>
    <w:uiPriority w:val="0"/>
    <w:rPr>
      <w:rFonts w:ascii="宋体" w:hAnsi="宋体" w:eastAsia="宋体" w:cs="宋体"/>
      <w:sz w:val="15"/>
      <w:szCs w:val="15"/>
      <w:u w:val="none"/>
      <w:shd w:val="clear" w:color="auto" w:fill="auto"/>
      <w:lang w:val="zh-TW" w:eastAsia="zh-TW" w:bidi="zh-TW"/>
    </w:rPr>
  </w:style>
  <w:style w:type="paragraph" w:customStyle="1" w:styleId="25">
    <w:name w:val="Other|2"/>
    <w:basedOn w:val="1"/>
    <w:link w:val="24"/>
    <w:qFormat/>
    <w:uiPriority w:val="0"/>
    <w:pPr>
      <w:spacing w:line="177" w:lineRule="exact"/>
      <w:jc w:val="center"/>
    </w:pPr>
    <w:rPr>
      <w:rFonts w:ascii="宋体" w:hAnsi="宋体" w:eastAsia="宋体" w:cs="宋体"/>
      <w:sz w:val="15"/>
      <w:szCs w:val="15"/>
      <w:lang w:val="zh-TW" w:eastAsia="zh-TW" w:bidi="zh-TW"/>
    </w:rPr>
  </w:style>
  <w:style w:type="character" w:customStyle="1" w:styleId="26">
    <w:name w:val="Body text|3_"/>
    <w:basedOn w:val="10"/>
    <w:link w:val="27"/>
    <w:qFormat/>
    <w:uiPriority w:val="0"/>
    <w:rPr>
      <w:rFonts w:ascii="宋体" w:hAnsi="宋体" w:eastAsia="宋体" w:cs="宋体"/>
      <w:sz w:val="15"/>
      <w:szCs w:val="15"/>
      <w:u w:val="none"/>
      <w:shd w:val="clear" w:color="auto" w:fill="auto"/>
      <w:lang w:val="zh-TW" w:eastAsia="zh-TW" w:bidi="zh-TW"/>
    </w:rPr>
  </w:style>
  <w:style w:type="paragraph" w:customStyle="1" w:styleId="27">
    <w:name w:val="Body text|3"/>
    <w:basedOn w:val="1"/>
    <w:link w:val="26"/>
    <w:qFormat/>
    <w:uiPriority w:val="0"/>
    <w:rPr>
      <w:rFonts w:ascii="宋体" w:hAnsi="宋体" w:eastAsia="宋体" w:cs="宋体"/>
      <w:sz w:val="15"/>
      <w:szCs w:val="15"/>
      <w:lang w:val="zh-TW" w:eastAsia="zh-TW" w:bidi="zh-TW"/>
    </w:rPr>
  </w:style>
  <w:style w:type="character" w:customStyle="1" w:styleId="28">
    <w:name w:val="Picture caption|1_"/>
    <w:basedOn w:val="10"/>
    <w:link w:val="29"/>
    <w:qFormat/>
    <w:uiPriority w:val="0"/>
    <w:rPr>
      <w:rFonts w:ascii="宋体" w:hAnsi="宋体" w:eastAsia="宋体" w:cs="宋体"/>
      <w:sz w:val="20"/>
      <w:szCs w:val="20"/>
      <w:u w:val="none"/>
      <w:shd w:val="clear" w:color="auto" w:fill="auto"/>
      <w:lang w:val="zh-TW" w:eastAsia="zh-TW" w:bidi="zh-TW"/>
    </w:rPr>
  </w:style>
  <w:style w:type="paragraph" w:customStyle="1" w:styleId="29">
    <w:name w:val="Picture caption|1"/>
    <w:basedOn w:val="1"/>
    <w:link w:val="28"/>
    <w:qFormat/>
    <w:uiPriority w:val="0"/>
    <w:pPr>
      <w:jc w:val="center"/>
    </w:pPr>
    <w:rPr>
      <w:rFonts w:ascii="宋体" w:hAnsi="宋体" w:eastAsia="宋体" w:cs="宋体"/>
      <w:sz w:val="20"/>
      <w:szCs w:val="20"/>
      <w:lang w:val="zh-TW" w:eastAsia="zh-TW" w:bidi="zh-TW"/>
    </w:rPr>
  </w:style>
  <w:style w:type="character" w:customStyle="1" w:styleId="30">
    <w:name w:val="页眉 字符"/>
    <w:basedOn w:val="10"/>
    <w:link w:val="6"/>
    <w:qFormat/>
    <w:uiPriority w:val="0"/>
    <w:rPr>
      <w:rFonts w:eastAsia="Times New Roman"/>
      <w:color w:val="000000"/>
      <w:sz w:val="18"/>
      <w:szCs w:val="18"/>
      <w:lang w:eastAsia="en-US" w:bidi="en-US"/>
    </w:rPr>
  </w:style>
  <w:style w:type="character" w:customStyle="1" w:styleId="31">
    <w:name w:val="页脚 字符"/>
    <w:basedOn w:val="10"/>
    <w:link w:val="5"/>
    <w:qFormat/>
    <w:uiPriority w:val="0"/>
    <w:rPr>
      <w:rFonts w:eastAsia="Times New Roman"/>
      <w:color w:val="000000"/>
      <w:sz w:val="18"/>
      <w:szCs w:val="18"/>
      <w:lang w:eastAsia="en-US" w:bidi="en-US"/>
    </w:rPr>
  </w:style>
  <w:style w:type="paragraph" w:customStyle="1" w:styleId="32">
    <w:name w:val="NOTE_Normal"/>
    <w:basedOn w:val="1"/>
    <w:next w:val="4"/>
    <w:qFormat/>
    <w:uiPriority w:val="0"/>
    <w:pPr>
      <w:spacing w:after="160" w:line="259" w:lineRule="auto"/>
      <w:jc w:val="both"/>
    </w:pPr>
    <w:rPr>
      <w:rFonts w:ascii="Calibri" w:hAnsi="Calibri" w:eastAsia="宋体" w:cs="Arial"/>
      <w:color w:val="auto"/>
      <w:kern w:val="2"/>
      <w:sz w:val="21"/>
      <w:lang w:eastAsia="zh-CN" w:bidi="ar-SA"/>
    </w:rPr>
  </w:style>
  <w:style w:type="character" w:customStyle="1" w:styleId="33">
    <w:name w:val="正文文本 字符"/>
    <w:basedOn w:val="10"/>
    <w:link w:val="4"/>
    <w:qFormat/>
    <w:uiPriority w:val="0"/>
    <w:rPr>
      <w:rFonts w:eastAsia="Times New Roman"/>
      <w:color w:val="000000"/>
      <w:sz w:val="24"/>
      <w:szCs w:val="24"/>
      <w:lang w:eastAsia="en-US" w:bidi="en-US"/>
    </w:rPr>
  </w:style>
  <w:style w:type="character" w:customStyle="1" w:styleId="34">
    <w:name w:val="font11"/>
    <w:qFormat/>
    <w:uiPriority w:val="0"/>
    <w:rPr>
      <w:rFonts w:hint="eastAsia" w:ascii="宋体" w:hAnsi="宋体" w:eastAsia="宋体" w:cs="宋体"/>
      <w:color w:val="000000"/>
      <w:sz w:val="20"/>
      <w:szCs w:val="20"/>
      <w:u w:val="none"/>
    </w:rPr>
  </w:style>
  <w:style w:type="character" w:customStyle="1" w:styleId="35">
    <w:name w:val="批注文字 字符"/>
    <w:basedOn w:val="10"/>
    <w:link w:val="3"/>
    <w:qFormat/>
    <w:uiPriority w:val="0"/>
    <w:rPr>
      <w:rFonts w:eastAsia="Times New Roman"/>
      <w:color w:val="000000"/>
      <w:sz w:val="24"/>
      <w:szCs w:val="24"/>
      <w:lang w:eastAsia="en-US" w:bidi="en-US"/>
    </w:rPr>
  </w:style>
  <w:style w:type="character" w:customStyle="1" w:styleId="36">
    <w:name w:val="批注主题 字符"/>
    <w:basedOn w:val="35"/>
    <w:link w:val="7"/>
    <w:qFormat/>
    <w:uiPriority w:val="0"/>
    <w:rPr>
      <w:rFonts w:eastAsia="Times New Roman"/>
      <w:b/>
      <w:bCs/>
      <w:color w:val="000000"/>
      <w:sz w:val="24"/>
      <w:szCs w:val="24"/>
      <w:lang w:eastAsia="en-US" w:bidi="en-US"/>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3.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contractReview xmlns="http://schemas.wps.cn/vas-ai-hub/contract-review">
  <reviewItems>
    <reviewItem>
      <errorID>b711e08f-4556-4d29-91a4-4a9bbde9d79b</errorID>
      <errorWord>，以</errorWord>
      <group>L1_Word</group>
      <groupName>字词问题</groupName>
      <ability>L2_Typo</ability>
      <abilityName>字词错误</abilityName>
      <candidateList>
        <item>，</item>
      </candidateList>
      <explain/>
      <paraID>5E964663</paraID>
      <start>69</start>
      <end>70</end>
      <status>modified</status>
      <modifiedWord>，</modifiedWord>
      <trackRevisions>false</trackRevisions>
    </reviewItem>
    <reviewItem>
      <errorID>69ddd3ba-359b-47f1-8f3e-a0f8573d6635</errorID>
      <errorWord>-</errorWord>
      <group>L1_Format</group>
      <groupName>格式问题</groupName>
      <ability>L2_HalfPunc</ability>
      <abilityName>全半角检查</abilityName>
      <candidateList>
        <item>－</item>
      </candidateList>
      <explain>文本全半角错误。</explain>
      <paraID>6FC753D8</paraID>
      <start>115</start>
      <end>116</end>
      <status>modified</status>
      <modifiedWord>－</modifiedWord>
      <trackRevisions>false</trackRevisions>
    </reviewItem>
    <reviewItem>
      <errorID>5b50696a-7e18-4e27-9d80-acc661e56b52</errorID>
      <errorWord>-</errorWord>
      <group>L1_Format</group>
      <groupName>格式问题</groupName>
      <ability>L2_HalfPunc</ability>
      <abilityName>全半角检查</abilityName>
      <candidateList>
        <item>－</item>
      </candidateList>
      <explain>文本全半角错误。</explain>
      <paraID>6FC753D8</paraID>
      <start>118</start>
      <end>119</end>
      <status>modified</status>
      <modifiedWord>－</modifiedWord>
      <trackRevisions>false</trackRevisions>
    </reviewItem>
    <reviewItem>
      <errorID>f40b9294-4910-4d4b-83fc-18a60da58da2</errorID>
      <errorWord>.</errorWord>
      <group>L1_Format</group>
      <groupName>格式问题</groupName>
      <ability>L2_HalfPunc</ability>
      <abilityName>全半角检查</abilityName>
      <candidateList>
        <item>。</item>
      </candidateList>
      <explain>文本全半角错误。</explain>
      <paraID>6FC753D8</paraID>
      <start>135</start>
      <end>136</end>
      <status>modified</status>
      <modifiedWord>。</modifiedWord>
      <trackRevisions>false</trackRevisions>
    </reviewItem>
    <reviewItem>
      <errorID>e87953e9-41b9-4191-805f-d23172085e06</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576E1557</paraID>
      <start>79</start>
      <end>80</end>
      <status>modified</status>
      <modifiedWord>—</modifiedWord>
      <trackRevisions>false</trackRevisions>
    </reviewItem>
    <reviewItem>
      <errorID>69b9a235-0458-4fd2-bf6d-33757e3bb63e</errorID>
      <errorWord>，</errorWord>
      <group>L1_Word</group>
      <groupName>字词问题</groupName>
      <ability>L2_Typo</ability>
      <abilityName>字词错误</abilityName>
      <candidateList>
        <item>，在</item>
      </candidateList>
      <explain/>
      <paraID>1D35C1BB</paraID>
      <start>86</start>
      <end>88</end>
      <status>modified</status>
      <modifiedWord>，在</modifiedWord>
      <trackRevisions>false</trackRevisions>
    </reviewItem>
  </reviewItems>
  <config/>
</contractReview>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434e08d-7d74-45c6-9a50-dd839d5f0211}">
  <ds:schemaRefs/>
</ds:datastoreItem>
</file>

<file path=customXml/itemProps3.xml><?xml version="1.0" encoding="utf-8"?>
<ds:datastoreItem xmlns:ds="http://schemas.openxmlformats.org/officeDocument/2006/customXml" ds:itemID="{76255780-2BA4-4433-9966-2B7DCE716B1E}">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11501</Words>
  <Characters>11889</Characters>
  <Paragraphs>246</Paragraphs>
  <TotalTime>0</TotalTime>
  <ScaleCrop>false</ScaleCrop>
  <LinksUpToDate>false</LinksUpToDate>
  <CharactersWithSpaces>11892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2023-08-15T07:15:00Z</dcterms:created>
  <dc:creator>WPS Office</dc:creator>
  <cp:lastModifiedBy>番禺区社联会</cp:lastModifiedBy>
  <dcterms:modified xsi:type="dcterms:W3CDTF">2026-03-30T03:21:13Z</dcterms:modified>
  <dc:title>KM_C364e-20200923144555</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F7C151EB8D904D5B930DF47285FE9E0D_13</vt:lpwstr>
  </property>
  <property fmtid="{D5CDD505-2E9C-101B-9397-08002B2CF9AE}" pid="4" name="KSOTemplateDocerSaveRecord">
    <vt:lpwstr>eyJoZGlkIjoiZDZhZGYwNTVjNmEwZDlmYmM0M2UzYmUxZTMyY2ZhNTgiLCJ1c2VySWQiOiIyOTU1NTMyNTMifQ==</vt:lpwstr>
  </property>
</Properties>
</file>