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distribute"/>
        <w:rPr>
          <w:rFonts w:ascii="宋体" w:hAnsi="宋体"/>
          <w:b/>
          <w:color w:val="000000"/>
          <w:sz w:val="40"/>
          <w:szCs w:val="40"/>
        </w:rPr>
      </w:pPr>
      <w:r>
        <w:rPr>
          <w:rFonts w:hint="eastAsia" w:ascii="宋体" w:hAnsi="宋体"/>
          <w:b/>
          <w:color w:val="000000"/>
          <w:sz w:val="40"/>
          <w:szCs w:val="40"/>
        </w:rPr>
        <w:t xml:space="preserve">广东金五羊会计师事务所有限公司  </w:t>
      </w:r>
    </w:p>
    <w:p>
      <w:pPr>
        <w:pBdr>
          <w:bottom w:val="single" w:color="auto" w:sz="12" w:space="1"/>
        </w:pBdr>
        <w:jc w:val="center"/>
        <w:rPr>
          <w:rFonts w:ascii="宋体"/>
          <w:sz w:val="24"/>
        </w:rPr>
      </w:pPr>
      <w:r>
        <w:rPr>
          <w:rFonts w:hint="eastAsia" w:ascii="宋体"/>
          <w:sz w:val="24"/>
        </w:rPr>
        <w:t>金五羊审字（20</w:t>
      </w:r>
      <w:r>
        <w:rPr>
          <w:rFonts w:ascii="宋体"/>
          <w:sz w:val="24"/>
        </w:rPr>
        <w:t>2</w:t>
      </w:r>
      <w:r>
        <w:rPr>
          <w:rFonts w:hint="eastAsia" w:ascii="宋体"/>
          <w:sz w:val="24"/>
        </w:rPr>
        <w:t>6）</w:t>
      </w:r>
      <w:r>
        <w:rPr>
          <w:rFonts w:hint="eastAsia" w:ascii="宋体"/>
          <w:sz w:val="24"/>
          <w:lang w:val="en-US" w:eastAsia="zh-CN"/>
        </w:rPr>
        <w:t>2041</w:t>
      </w:r>
      <w:bookmarkStart w:id="23" w:name="_GoBack"/>
      <w:bookmarkEnd w:id="23"/>
      <w:r>
        <w:rPr>
          <w:rFonts w:hint="eastAsia" w:ascii="宋体"/>
          <w:sz w:val="24"/>
        </w:rPr>
        <w:t>号</w:t>
      </w: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关于对广州市番禺区钟村街社工服务站</w:t>
      </w:r>
    </w:p>
    <w:p>
      <w:pPr>
        <w:spacing w:line="600" w:lineRule="exact"/>
        <w:jc w:val="center"/>
        <w:rPr>
          <w:rFonts w:ascii="Times New Roman" w:hAnsi="Times New Roman" w:eastAsia="宋体" w:cs="Times New Roman"/>
          <w:b/>
          <w:sz w:val="30"/>
          <w:szCs w:val="30"/>
        </w:rPr>
      </w:pPr>
      <w:r>
        <w:rPr>
          <w:rFonts w:ascii="Times New Roman" w:hAnsi="Times New Roman" w:eastAsia="宋体" w:cs="Times New Roman"/>
          <w:b/>
          <w:sz w:val="30"/>
          <w:szCs w:val="30"/>
        </w:rPr>
        <w:t>2025年7月16日至2026年1月15日财务管理情况评估报告</w:t>
      </w:r>
    </w:p>
    <w:p>
      <w:pPr>
        <w:spacing w:line="360" w:lineRule="auto"/>
        <w:jc w:val="center"/>
        <w:rPr>
          <w:rFonts w:ascii="Times New Roman" w:hAnsi="Times New Roman" w:eastAsia="仿宋_GB2312" w:cs="Times New Roman"/>
          <w:sz w:val="28"/>
          <w:szCs w:val="28"/>
        </w:rPr>
      </w:pPr>
    </w:p>
    <w:p>
      <w:pPr>
        <w:spacing w:line="60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们接受委托，对广州市番禺区钟村街社工服务站（以下简称钟村街社工站）2025年7月16日至2026年1月15日财务管理情况进行财务评估。提供真实、合法、完整的会计资料和评估相关资料是钟村街社工站及其承接机构的责任，我们的责任是依据《中国注册会计师执业准则》、《中华人民共和国会计法》、《会计基础工作规范》、《民间非营利组织会计制度》、</w:t>
      </w:r>
      <w:bookmarkStart w:id="0" w:name="_Hlk151996488"/>
      <w:r>
        <w:rPr>
          <w:rFonts w:hint="eastAsia" w:ascii="Times New Roman" w:hAnsi="Times New Roman" w:eastAsia="仿宋" w:cs="Times New Roman"/>
          <w:sz w:val="28"/>
          <w:szCs w:val="28"/>
        </w:rPr>
        <w:t>《广州市人民政府办公厅关于印发广州市社工服务站管理办法的通知》（穗府办〔2023〕7号）、</w:t>
      </w:r>
      <w:bookmarkEnd w:id="0"/>
      <w:r>
        <w:rPr>
          <w:rFonts w:hint="eastAsia" w:ascii="Times New Roman" w:hAnsi="Times New Roman" w:eastAsia="仿宋" w:cs="Times New Roman"/>
          <w:sz w:val="28"/>
          <w:szCs w:val="28"/>
        </w:rPr>
        <w:t>《广州市民政局关于印发〈广州市社工服务站管理办法〉有关配套文件的通知》（穗民〔2023〕97号）</w:t>
      </w:r>
      <w:r>
        <w:rPr>
          <w:rFonts w:ascii="Times New Roman" w:hAnsi="Times New Roman" w:eastAsia="仿宋" w:cs="Times New Roman"/>
          <w:sz w:val="28"/>
          <w:szCs w:val="28"/>
        </w:rPr>
        <w:t>及广州市番禺区人民政府钟村街道办事处与社工服务站承接机构签订的购买服务项目合同中相关约定，对钟村街社工站的财务管理情况进行审核，并出具财务评估报告。</w:t>
      </w:r>
    </w:p>
    <w:p>
      <w:pPr>
        <w:spacing w:line="360" w:lineRule="auto"/>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钟村街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360" w:lineRule="auto"/>
        <w:ind w:right="-6" w:rightChars="-3" w:firstLine="560" w:firstLineChars="200"/>
        <w:rPr>
          <w:rFonts w:ascii="Times New Roman" w:hAnsi="Times New Roman" w:eastAsia="仿宋" w:cs="Times New Roman"/>
          <w:sz w:val="28"/>
          <w:szCs w:val="28"/>
        </w:rPr>
      </w:pP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一、基本情况</w:t>
      </w:r>
    </w:p>
    <w:p>
      <w:pPr>
        <w:spacing w:line="620" w:lineRule="exact"/>
        <w:ind w:firstLine="560" w:firstLineChars="200"/>
        <w:rPr>
          <w:rFonts w:ascii="Times New Roman" w:hAnsi="Times New Roman" w:eastAsia="仿宋" w:cs="Times New Roman"/>
          <w:sz w:val="28"/>
          <w:szCs w:val="28"/>
        </w:rPr>
      </w:pPr>
      <w:bookmarkStart w:id="1" w:name="OLE_LINK12"/>
      <w:bookmarkStart w:id="2" w:name="OLE_LINK13"/>
      <w:r>
        <w:rPr>
          <w:rFonts w:ascii="Times New Roman" w:hAnsi="Times New Roman" w:eastAsia="仿宋" w:cs="Times New Roman"/>
          <w:sz w:val="28"/>
          <w:szCs w:val="28"/>
        </w:rPr>
        <w:t>广州市番禺区</w:t>
      </w:r>
      <w:bookmarkStart w:id="3" w:name="OLE_LINK10"/>
      <w:r>
        <w:rPr>
          <w:rFonts w:ascii="Times New Roman" w:hAnsi="Times New Roman" w:eastAsia="仿宋" w:cs="Times New Roman"/>
          <w:sz w:val="28"/>
          <w:szCs w:val="28"/>
        </w:rPr>
        <w:t>钟村街</w:t>
      </w:r>
      <w:bookmarkEnd w:id="3"/>
      <w:r>
        <w:rPr>
          <w:rFonts w:ascii="Times New Roman" w:hAnsi="Times New Roman" w:eastAsia="仿宋" w:cs="Times New Roman"/>
          <w:sz w:val="28"/>
          <w:szCs w:val="28"/>
        </w:rPr>
        <w:t>社工服务站</w:t>
      </w:r>
      <w:bookmarkEnd w:id="1"/>
      <w:bookmarkEnd w:id="2"/>
      <w:r>
        <w:rPr>
          <w:rFonts w:hint="eastAsia" w:ascii="Times New Roman" w:hAnsi="Times New Roman" w:eastAsia="仿宋" w:cs="Times New Roman"/>
          <w:sz w:val="28"/>
          <w:szCs w:val="28"/>
        </w:rPr>
        <w:t>位于</w:t>
      </w:r>
      <w:r>
        <w:rPr>
          <w:rFonts w:ascii="Times New Roman" w:hAnsi="Times New Roman" w:eastAsia="仿宋" w:cs="Times New Roman"/>
          <w:sz w:val="28"/>
          <w:szCs w:val="28"/>
        </w:rPr>
        <w:t>番禺区钟村街道人民路76号文化大楼</w:t>
      </w:r>
      <w:r>
        <w:rPr>
          <w:rFonts w:hint="eastAsia" w:ascii="Times New Roman" w:hAnsi="Times New Roman" w:eastAsia="仿宋" w:cs="Times New Roman"/>
          <w:sz w:val="28"/>
          <w:szCs w:val="28"/>
        </w:rPr>
        <w:t>4</w:t>
      </w:r>
      <w:r>
        <w:rPr>
          <w:rFonts w:ascii="Times New Roman" w:hAnsi="Times New Roman" w:eastAsia="仿宋" w:cs="Times New Roman"/>
          <w:sz w:val="28"/>
          <w:szCs w:val="28"/>
        </w:rPr>
        <w:t>楼</w:t>
      </w:r>
      <w:r>
        <w:rPr>
          <w:rFonts w:hint="eastAsia" w:ascii="Times New Roman" w:hAnsi="Times New Roman" w:eastAsia="仿宋" w:cs="Times New Roman"/>
          <w:sz w:val="28"/>
          <w:szCs w:val="28"/>
        </w:rPr>
        <w:t>，于2011年12月开始，由</w:t>
      </w:r>
      <w:r>
        <w:rPr>
          <w:rFonts w:ascii="Times New Roman" w:hAnsi="Times New Roman" w:eastAsia="仿宋" w:cs="Times New Roman"/>
          <w:sz w:val="28"/>
          <w:szCs w:val="28"/>
        </w:rPr>
        <w:t>钟村街</w:t>
      </w:r>
      <w:r>
        <w:rPr>
          <w:rFonts w:hint="eastAsia" w:ascii="Times New Roman" w:hAnsi="Times New Roman" w:eastAsia="仿宋" w:cs="Times New Roman"/>
          <w:sz w:val="28"/>
          <w:szCs w:val="28"/>
        </w:rPr>
        <w:t>道办事处引入专业社工服务机构广州市番禺区正阳社会工作服务中心承接运营。钟村街社工站主要服务包括：党建引领服务、兜底性民生服务、基础性民生服务、普惠性民生服务四大板块。</w:t>
      </w:r>
    </w:p>
    <w:p>
      <w:pPr>
        <w:spacing w:line="62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广州市番禺区正阳社会工作服务中心是由广州市番禺区钟村街道办事处通过政府购买服务的方式确定为承接运营</w:t>
      </w:r>
      <w:r>
        <w:rPr>
          <w:rFonts w:ascii="Times New Roman" w:hAnsi="Times New Roman" w:eastAsia="仿宋" w:cs="Times New Roman"/>
          <w:sz w:val="28"/>
          <w:szCs w:val="28"/>
        </w:rPr>
        <w:t>广州市番禺区钟村街社工服务站</w:t>
      </w:r>
      <w:r>
        <w:rPr>
          <w:rFonts w:hint="eastAsia" w:ascii="Times New Roman" w:hAnsi="Times New Roman" w:eastAsia="仿宋" w:cs="Times New Roman"/>
          <w:sz w:val="28"/>
          <w:szCs w:val="28"/>
        </w:rPr>
        <w:t>的社会工作服务机构，</w:t>
      </w:r>
      <w:r>
        <w:rPr>
          <w:rFonts w:ascii="Times New Roman" w:hAnsi="Times New Roman" w:eastAsia="仿宋" w:cs="Times New Roman"/>
          <w:sz w:val="28"/>
          <w:szCs w:val="28"/>
        </w:rPr>
        <w:t>法定代表人：刘玉平。</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招标采购周期：2024年7月16日至2027年7月15日。</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本次服务协议期限：2025年7月16日至2026年7月15日。</w:t>
      </w:r>
    </w:p>
    <w:p>
      <w:pPr>
        <w:spacing w:line="620" w:lineRule="exact"/>
        <w:ind w:firstLine="552" w:firstLineChars="200"/>
        <w:rPr>
          <w:rFonts w:ascii="Times New Roman" w:hAnsi="Times New Roman" w:eastAsia="仿宋" w:cs="Times New Roman"/>
          <w:spacing w:val="-2"/>
          <w:sz w:val="28"/>
          <w:szCs w:val="28"/>
        </w:rPr>
      </w:pPr>
      <w:r>
        <w:rPr>
          <w:rFonts w:ascii="Times New Roman" w:hAnsi="Times New Roman" w:eastAsia="仿宋" w:cs="Times New Roman"/>
          <w:spacing w:val="-2"/>
          <w:sz w:val="28"/>
          <w:szCs w:val="28"/>
        </w:rPr>
        <w:t>政府购买服务经费：本服务合同协议期限</w:t>
      </w:r>
      <w:r>
        <w:rPr>
          <w:rFonts w:ascii="Times New Roman" w:hAnsi="Times New Roman" w:eastAsia="仿宋" w:cs="Times New Roman"/>
          <w:sz w:val="28"/>
          <w:szCs w:val="28"/>
        </w:rPr>
        <w:t>2025年7月16日至2026年7月15日</w:t>
      </w:r>
      <w:r>
        <w:rPr>
          <w:rFonts w:ascii="Times New Roman" w:hAnsi="Times New Roman" w:eastAsia="仿宋" w:cs="Times New Roman"/>
          <w:spacing w:val="-2"/>
          <w:sz w:val="28"/>
          <w:szCs w:val="28"/>
        </w:rPr>
        <w:t>的服务经费总计2,160,000.00元</w:t>
      </w:r>
      <w:r>
        <w:rPr>
          <w:rFonts w:hint="eastAsia" w:ascii="Times New Roman" w:hAnsi="Times New Roman" w:eastAsia="仿宋" w:cs="Times New Roman"/>
          <w:spacing w:val="-2"/>
          <w:sz w:val="28"/>
          <w:szCs w:val="28"/>
        </w:rPr>
        <w:t>，由于上一年度协议期超付人民币0.89万元，本年度项目经费拨付总金额应为215.11万元，分为三期拨付。其中：协议签订生效之日起30个工作日内拨付</w:t>
      </w:r>
      <w:r>
        <w:rPr>
          <w:rFonts w:ascii="Times New Roman" w:hAnsi="Times New Roman" w:eastAsia="仿宋" w:cs="Times New Roman"/>
          <w:spacing w:val="-2"/>
          <w:sz w:val="28"/>
          <w:szCs w:val="28"/>
        </w:rPr>
        <w:t>55%</w:t>
      </w:r>
      <w:r>
        <w:rPr>
          <w:rFonts w:hint="eastAsia" w:ascii="Times New Roman" w:hAnsi="Times New Roman" w:eastAsia="仿宋" w:cs="Times New Roman"/>
          <w:spacing w:val="-2"/>
          <w:sz w:val="28"/>
          <w:szCs w:val="28"/>
        </w:rPr>
        <w:t>即1,183,105.00元，年度中期评估为合格及以上拨付</w:t>
      </w:r>
      <w:r>
        <w:rPr>
          <w:rFonts w:ascii="Times New Roman" w:hAnsi="Times New Roman" w:eastAsia="仿宋" w:cs="Times New Roman"/>
          <w:spacing w:val="-2"/>
          <w:sz w:val="28"/>
          <w:szCs w:val="28"/>
        </w:rPr>
        <w:t>40%</w:t>
      </w:r>
      <w:r>
        <w:rPr>
          <w:rFonts w:hint="eastAsia" w:ascii="Times New Roman" w:hAnsi="Times New Roman" w:eastAsia="仿宋" w:cs="Times New Roman"/>
          <w:spacing w:val="-2"/>
          <w:sz w:val="28"/>
          <w:szCs w:val="28"/>
        </w:rPr>
        <w:t>即860,440.00元，年度末期评估为合格及以上的拨付</w:t>
      </w:r>
      <w:r>
        <w:rPr>
          <w:rFonts w:ascii="Times New Roman" w:hAnsi="Times New Roman" w:eastAsia="仿宋" w:cs="Times New Roman"/>
          <w:spacing w:val="-2"/>
          <w:sz w:val="28"/>
          <w:szCs w:val="28"/>
        </w:rPr>
        <w:t>5%</w:t>
      </w:r>
      <w:r>
        <w:rPr>
          <w:rFonts w:hint="eastAsia" w:ascii="Times New Roman" w:hAnsi="Times New Roman" w:eastAsia="仿宋" w:cs="Times New Roman"/>
          <w:spacing w:val="-2"/>
          <w:sz w:val="28"/>
          <w:szCs w:val="28"/>
        </w:rPr>
        <w:t>即107</w:t>
      </w:r>
      <w:r>
        <w:rPr>
          <w:rFonts w:ascii="Times New Roman" w:hAnsi="Times New Roman" w:eastAsia="仿宋" w:cs="Times New Roman"/>
          <w:spacing w:val="-2"/>
          <w:sz w:val="28"/>
          <w:szCs w:val="28"/>
        </w:rPr>
        <w:t>,</w:t>
      </w:r>
      <w:r>
        <w:rPr>
          <w:rFonts w:hint="eastAsia" w:ascii="Times New Roman" w:hAnsi="Times New Roman" w:eastAsia="仿宋" w:cs="Times New Roman"/>
          <w:spacing w:val="-2"/>
          <w:sz w:val="28"/>
          <w:szCs w:val="28"/>
        </w:rPr>
        <w:t>555</w:t>
      </w:r>
      <w:r>
        <w:rPr>
          <w:rFonts w:ascii="Times New Roman" w:hAnsi="Times New Roman" w:eastAsia="仿宋" w:cs="Times New Roman"/>
          <w:spacing w:val="-2"/>
          <w:sz w:val="28"/>
          <w:szCs w:val="28"/>
        </w:rPr>
        <w:t>.00</w:t>
      </w:r>
      <w:r>
        <w:rPr>
          <w:rFonts w:hint="eastAsia" w:ascii="Times New Roman" w:hAnsi="Times New Roman" w:eastAsia="仿宋" w:cs="Times New Roman"/>
          <w:spacing w:val="-2"/>
          <w:sz w:val="28"/>
          <w:szCs w:val="28"/>
        </w:rPr>
        <w:t>元。</w:t>
      </w: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二、钟村街社工站财务管理制度执行情况</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㈠</w:t>
      </w:r>
      <w:r>
        <w:rPr>
          <w:rFonts w:ascii="Times New Roman" w:hAnsi="Times New Roman" w:eastAsia="仿宋" w:cs="Times New Roman"/>
          <w:sz w:val="28"/>
          <w:szCs w:val="28"/>
        </w:rPr>
        <w:t>非营利组织会计制度的执行情况</w:t>
      </w:r>
    </w:p>
    <w:p>
      <w:pPr>
        <w:spacing w:line="62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街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㈡</w:t>
      </w:r>
      <w:r>
        <w:rPr>
          <w:rFonts w:ascii="Times New Roman" w:hAnsi="Times New Roman" w:eastAsia="仿宋" w:cs="Times New Roman"/>
          <w:sz w:val="28"/>
          <w:szCs w:val="28"/>
        </w:rPr>
        <w:t>财务监管、风控制度的执行情况</w:t>
      </w:r>
    </w:p>
    <w:p>
      <w:pPr>
        <w:spacing w:line="62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、承接机构广州市番禺区正阳社会工作服务中心根据自身业务特点建立了</w:t>
      </w:r>
      <w:r>
        <w:rPr>
          <w:rFonts w:hint="eastAsia" w:ascii="Times New Roman" w:hAnsi="Times New Roman" w:eastAsia="仿宋" w:cs="Times New Roman"/>
          <w:sz w:val="28"/>
          <w:szCs w:val="28"/>
        </w:rPr>
        <w:t>财务制度，对财务管理、财务预决算、费用报销、资产管理以及财务问责等方面进行了规范。钟村街社工站</w:t>
      </w:r>
      <w:r>
        <w:rPr>
          <w:rFonts w:ascii="Times New Roman" w:hAnsi="Times New Roman" w:eastAsia="仿宋" w:cs="Times New Roman"/>
          <w:sz w:val="28"/>
          <w:szCs w:val="28"/>
        </w:rPr>
        <w:t>在实际工作中能按上述制度要求编制“</w:t>
      </w:r>
      <w:bookmarkStart w:id="4" w:name="OLE_LINK2"/>
      <w:bookmarkStart w:id="5" w:name="OLE_LINK1"/>
      <w:r>
        <w:rPr>
          <w:rFonts w:hint="eastAsia" w:ascii="Times New Roman" w:hAnsi="Times New Roman" w:eastAsia="仿宋" w:cs="Times New Roman"/>
          <w:sz w:val="28"/>
          <w:szCs w:val="28"/>
        </w:rPr>
        <w:t>项目</w:t>
      </w:r>
      <w:r>
        <w:rPr>
          <w:rFonts w:ascii="Times New Roman" w:hAnsi="Times New Roman" w:eastAsia="仿宋" w:cs="Times New Roman"/>
          <w:sz w:val="28"/>
          <w:szCs w:val="28"/>
        </w:rPr>
        <w:t>经费预算</w:t>
      </w:r>
      <w:bookmarkEnd w:id="4"/>
      <w:bookmarkEnd w:id="5"/>
      <w:r>
        <w:rPr>
          <w:rFonts w:ascii="Times New Roman" w:hAnsi="Times New Roman" w:eastAsia="仿宋" w:cs="Times New Roman"/>
          <w:sz w:val="28"/>
          <w:szCs w:val="28"/>
        </w:rPr>
        <w:t>表”；在经费报销和预支申请等方面均能执行承接机构制度规定的程序、权限。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、钟村街社工站严格执行</w:t>
      </w:r>
      <w:r>
        <w:rPr>
          <w:rFonts w:hint="eastAsia" w:ascii="Times New Roman" w:hAnsi="Times New Roman" w:eastAsia="仿宋" w:cs="Times New Roman"/>
          <w:sz w:val="28"/>
          <w:szCs w:val="28"/>
        </w:rPr>
        <w:t>固定资产管理相关的</w:t>
      </w:r>
      <w:r>
        <w:rPr>
          <w:rFonts w:ascii="Times New Roman" w:hAnsi="Times New Roman" w:eastAsia="仿宋" w:cs="Times New Roman"/>
          <w:sz w:val="28"/>
          <w:szCs w:val="28"/>
        </w:rPr>
        <w:t>制度，并定期对固定资产进行盘点，详见本报告后附202</w:t>
      </w:r>
      <w:r>
        <w:rPr>
          <w:rFonts w:hint="eastAsia" w:ascii="Times New Roman" w:hAnsi="Times New Roman" w:eastAsia="仿宋" w:cs="Times New Roman"/>
          <w:sz w:val="28"/>
          <w:szCs w:val="28"/>
        </w:rPr>
        <w:t>6</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1</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31</w:t>
      </w:r>
      <w:r>
        <w:rPr>
          <w:rFonts w:ascii="Times New Roman" w:hAnsi="Times New Roman" w:eastAsia="仿宋" w:cs="Times New Roman"/>
          <w:sz w:val="28"/>
          <w:szCs w:val="28"/>
        </w:rPr>
        <w:t>日固定资产明细表（详见附件）。</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w:t>
      </w:r>
      <w:bookmarkStart w:id="6" w:name="_Hlk110953931"/>
      <w:r>
        <w:rPr>
          <w:rFonts w:ascii="Times New Roman" w:hAnsi="Times New Roman" w:eastAsia="仿宋" w:cs="Times New Roman"/>
          <w:sz w:val="28"/>
          <w:szCs w:val="28"/>
        </w:rPr>
        <w:t>承接机构广州市番禺区正阳社会工作服务中心已按要求编制服务期内钟村街社工站的</w:t>
      </w:r>
      <w:r>
        <w:rPr>
          <w:rFonts w:hint="eastAsia" w:ascii="Times New Roman" w:hAnsi="Times New Roman" w:eastAsia="仿宋" w:cs="Times New Roman"/>
          <w:sz w:val="28"/>
          <w:szCs w:val="28"/>
        </w:rPr>
        <w:t>财务自评报告</w:t>
      </w:r>
      <w:r>
        <w:rPr>
          <w:rFonts w:ascii="Times New Roman" w:hAnsi="Times New Roman" w:eastAsia="仿宋" w:cs="Times New Roman"/>
          <w:sz w:val="28"/>
          <w:szCs w:val="28"/>
        </w:rPr>
        <w:t>；</w:t>
      </w:r>
      <w:bookmarkEnd w:id="6"/>
      <w:r>
        <w:rPr>
          <w:rFonts w:hint="eastAsia" w:ascii="Times New Roman" w:hAnsi="Times New Roman" w:eastAsia="仿宋" w:cs="Times New Roman"/>
          <w:sz w:val="28"/>
          <w:szCs w:val="28"/>
        </w:rPr>
        <w:t>承接机构</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年度财务报表已经</w:t>
      </w:r>
      <w:r>
        <w:rPr>
          <w:rFonts w:hint="eastAsia" w:ascii="Times New Roman" w:hAnsi="Times New Roman" w:eastAsia="仿宋" w:cs="Times New Roman"/>
          <w:sz w:val="28"/>
          <w:szCs w:val="28"/>
        </w:rPr>
        <w:t>广东中职信会计师事务所（特殊普通合伙）东莞分所</w:t>
      </w:r>
      <w:r>
        <w:rPr>
          <w:rFonts w:ascii="Times New Roman" w:hAnsi="Times New Roman" w:eastAsia="仿宋" w:cs="Times New Roman"/>
          <w:sz w:val="28"/>
          <w:szCs w:val="28"/>
        </w:rPr>
        <w:t>审计，并取得</w:t>
      </w:r>
      <w:r>
        <w:rPr>
          <w:rFonts w:hint="eastAsia" w:ascii="Times New Roman" w:hAnsi="Times New Roman" w:eastAsia="仿宋" w:cs="Times New Roman"/>
          <w:sz w:val="28"/>
          <w:szCs w:val="28"/>
        </w:rPr>
        <w:t>中职信莞审字（2025）第0030号</w:t>
      </w:r>
      <w:r>
        <w:rPr>
          <w:rFonts w:ascii="Times New Roman" w:hAnsi="Times New Roman" w:eastAsia="仿宋" w:cs="Times New Roman"/>
          <w:sz w:val="28"/>
          <w:szCs w:val="28"/>
        </w:rPr>
        <w:t>无保留意见审计报告</w:t>
      </w:r>
      <w:r>
        <w:rPr>
          <w:rFonts w:hint="eastAsia" w:ascii="Times New Roman" w:hAnsi="Times New Roman" w:eastAsia="仿宋" w:cs="Times New Roman"/>
          <w:sz w:val="28"/>
          <w:szCs w:val="28"/>
        </w:rPr>
        <w:t>；</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年度企业所得税纳税情况已经</w:t>
      </w:r>
      <w:r>
        <w:rPr>
          <w:rFonts w:hint="eastAsia" w:ascii="Times New Roman" w:hAnsi="Times New Roman" w:eastAsia="仿宋" w:cs="Times New Roman"/>
          <w:sz w:val="28"/>
          <w:szCs w:val="28"/>
        </w:rPr>
        <w:t>中职信（东莞）会计师事务所（普通合伙）</w:t>
      </w:r>
      <w:r>
        <w:rPr>
          <w:rFonts w:ascii="Times New Roman" w:hAnsi="Times New Roman" w:eastAsia="仿宋" w:cs="Times New Roman"/>
          <w:sz w:val="28"/>
          <w:szCs w:val="28"/>
        </w:rPr>
        <w:t>复核，并取得</w:t>
      </w:r>
      <w:r>
        <w:rPr>
          <w:rFonts w:hint="eastAsia" w:ascii="Times New Roman" w:hAnsi="Times New Roman" w:eastAsia="仿宋" w:cs="Times New Roman"/>
          <w:sz w:val="28"/>
          <w:szCs w:val="28"/>
        </w:rPr>
        <w:t>中职信莞税字（2025）第0001号</w:t>
      </w:r>
      <w:r>
        <w:rPr>
          <w:rFonts w:ascii="Times New Roman" w:hAnsi="Times New Roman" w:eastAsia="仿宋" w:cs="Times New Roman"/>
          <w:sz w:val="28"/>
          <w:szCs w:val="28"/>
        </w:rPr>
        <w:t>汇算清缴纳税调整报告。</w:t>
      </w: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三、钟村街社工站人员配备情况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承接机构广州市番禺区正阳社会工作服务中心严格贯彻不相容职务分离原则，为配置财务人员2名，分别担任会计、出纳岗位，负责</w:t>
      </w:r>
      <w:r>
        <w:rPr>
          <w:rFonts w:hint="eastAsia" w:ascii="Times New Roman" w:hAnsi="Times New Roman" w:eastAsia="仿宋" w:cs="Times New Roman"/>
          <w:sz w:val="28"/>
          <w:szCs w:val="28"/>
        </w:rPr>
        <w:t>包括</w:t>
      </w:r>
      <w:r>
        <w:rPr>
          <w:rFonts w:ascii="Times New Roman" w:hAnsi="Times New Roman" w:eastAsia="仿宋" w:cs="Times New Roman"/>
          <w:sz w:val="28"/>
          <w:szCs w:val="28"/>
        </w:rPr>
        <w:t>钟村街社工站</w:t>
      </w:r>
      <w:r>
        <w:rPr>
          <w:rFonts w:hint="eastAsia" w:ascii="Times New Roman" w:hAnsi="Times New Roman" w:eastAsia="仿宋" w:cs="Times New Roman"/>
          <w:sz w:val="28"/>
          <w:szCs w:val="28"/>
        </w:rPr>
        <w:t>在内的中心</w:t>
      </w:r>
      <w:r>
        <w:rPr>
          <w:rFonts w:ascii="Times New Roman" w:hAnsi="Times New Roman" w:eastAsia="仿宋" w:cs="Times New Roman"/>
          <w:sz w:val="28"/>
          <w:szCs w:val="28"/>
        </w:rPr>
        <w:t>财务工作，其中主管会计吴燕已取得会计</w:t>
      </w:r>
      <w:r>
        <w:rPr>
          <w:rFonts w:hint="eastAsia" w:ascii="Times New Roman" w:hAnsi="Times New Roman" w:eastAsia="仿宋" w:cs="Times New Roman"/>
          <w:sz w:val="28"/>
          <w:szCs w:val="28"/>
        </w:rPr>
        <w:t>中</w:t>
      </w:r>
      <w:r>
        <w:rPr>
          <w:rFonts w:ascii="Times New Roman" w:hAnsi="Times New Roman" w:eastAsia="仿宋" w:cs="Times New Roman"/>
          <w:sz w:val="28"/>
          <w:szCs w:val="28"/>
        </w:rPr>
        <w:t>级专业技术资格证，出纳李淑娟已取得会计</w:t>
      </w:r>
      <w:r>
        <w:rPr>
          <w:rFonts w:hint="eastAsia" w:ascii="Times New Roman" w:hAnsi="Times New Roman" w:eastAsia="仿宋" w:cs="Times New Roman"/>
          <w:sz w:val="28"/>
          <w:szCs w:val="28"/>
        </w:rPr>
        <w:t>初级</w:t>
      </w:r>
      <w:r>
        <w:rPr>
          <w:rFonts w:ascii="Times New Roman" w:hAnsi="Times New Roman" w:eastAsia="仿宋" w:cs="Times New Roman"/>
          <w:sz w:val="28"/>
          <w:szCs w:val="28"/>
        </w:rPr>
        <w:t>专业技术资格证。</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经查阅，主管会计吴燕及出纳</w:t>
      </w:r>
      <w:r>
        <w:rPr>
          <w:rFonts w:hint="eastAsia" w:ascii="Times New Roman" w:hAnsi="Times New Roman" w:eastAsia="仿宋" w:cs="Times New Roman"/>
          <w:sz w:val="28"/>
          <w:szCs w:val="28"/>
        </w:rPr>
        <w:t>李淑娟</w:t>
      </w:r>
      <w:r>
        <w:rPr>
          <w:rFonts w:ascii="Times New Roman" w:hAnsi="Times New Roman" w:eastAsia="仿宋" w:cs="Times New Roman"/>
          <w:sz w:val="28"/>
          <w:szCs w:val="28"/>
        </w:rPr>
        <w:t>均已完成202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年度会计专业技术人员继续教育学习任务，且相应工资、五险一金等薪金支出在机构作为运营管理费用项目核算，未计入社工人员经费支出，</w:t>
      </w:r>
      <w:bookmarkStart w:id="7" w:name="_Hlk110958106"/>
      <w:r>
        <w:rPr>
          <w:rFonts w:ascii="Times New Roman" w:hAnsi="Times New Roman" w:eastAsia="仿宋" w:cs="Times New Roman"/>
          <w:sz w:val="28"/>
          <w:szCs w:val="28"/>
        </w:rPr>
        <w:t>符合要求</w:t>
      </w:r>
      <w:bookmarkEnd w:id="7"/>
      <w:r>
        <w:rPr>
          <w:rFonts w:ascii="Times New Roman" w:hAnsi="Times New Roman" w:eastAsia="仿宋" w:cs="Times New Roman"/>
          <w:sz w:val="28"/>
          <w:szCs w:val="28"/>
        </w:rPr>
        <w:t>。</w:t>
      </w: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四、钟村街社工站服务经费支出情况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承接机构广州市番禺区正阳社会工作服务中心</w:t>
      </w:r>
      <w:r>
        <w:rPr>
          <w:rFonts w:hint="eastAsia" w:ascii="Times New Roman" w:hAnsi="Times New Roman" w:eastAsia="仿宋" w:cs="Times New Roman"/>
          <w:sz w:val="28"/>
          <w:szCs w:val="28"/>
        </w:rPr>
        <w:t>根据《广州市人民政府办公厅关于印发广州市社工服务站管理办法的通知》（穗府办〔2023〕7号）、《广州市民政局关于印发〈广州市社工服务站管理办法〉有关配套文件的通知》（穗民〔2023〕97号）等相关规定，结合实际情况建立了财务管理制度，明确了财务经费支出的审核程序及支出权限。制度规定具体费用审批权限如下：项目（部门）负责人：费用≤1000元；总干事：费用≤ 5000 元；理事长：费用&gt;5000 元且不高于 10 万元；单笔费用超 10 万元的支出需报请理事会决议通过后执行（银行一般账户往来、工资支付除外）。本评估期内钟村街社工站经费支出具体情况如下：</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㈠</w:t>
      </w:r>
      <w:r>
        <w:rPr>
          <w:rFonts w:ascii="Times New Roman" w:hAnsi="Times New Roman" w:eastAsia="仿宋" w:cs="Times New Roman"/>
          <w:sz w:val="28"/>
          <w:szCs w:val="28"/>
        </w:rPr>
        <w:t>财务支出的合规性</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钟村街社工站经费使用的范围、比例基本能按《</w:t>
      </w:r>
      <w:r>
        <w:rPr>
          <w:rFonts w:hint="eastAsia" w:ascii="Times New Roman" w:hAnsi="Times New Roman" w:eastAsia="仿宋" w:cs="Times New Roman"/>
          <w:sz w:val="28"/>
          <w:szCs w:val="28"/>
        </w:rPr>
        <w:t>广州市社工服务站管理办法</w:t>
      </w:r>
      <w:r>
        <w:rPr>
          <w:rFonts w:ascii="Times New Roman" w:hAnsi="Times New Roman" w:eastAsia="仿宋" w:cs="Times New Roman"/>
          <w:sz w:val="28"/>
          <w:szCs w:val="28"/>
        </w:rPr>
        <w:t>》有关规定执行。钟村街社工站每年有制定“</w:t>
      </w:r>
      <w:r>
        <w:rPr>
          <w:rFonts w:hint="eastAsia" w:ascii="Times New Roman" w:hAnsi="Times New Roman" w:eastAsia="仿宋" w:cs="Times New Roman"/>
          <w:sz w:val="28"/>
          <w:szCs w:val="28"/>
        </w:rPr>
        <w:t>项目</w:t>
      </w:r>
      <w:r>
        <w:rPr>
          <w:rFonts w:ascii="Times New Roman" w:hAnsi="Times New Roman" w:eastAsia="仿宋" w:cs="Times New Roman"/>
          <w:sz w:val="28"/>
          <w:szCs w:val="28"/>
        </w:rPr>
        <w:t>经费预算表”，明确规划了协议期内的收入和支出预算计划，经费支出预算表基本能符合《民间非营利组织会计制度》和广州市番禺区人民政府钟村街道办事处与社工服务站承接机构签订的购买服务合同中人员费用、服务质量保障费用和运营管理费用规定的使用范围，活动经费预算表有机构理事会负责人签名确认。</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㈡财务支出的合理性</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经审核，钟村街社工站财务支出的事由、票据、标准基本合理。钟村街社工站有经费预算程序，财务支出根据经费预算计划执行、基本能按预算标准支出，并有财务支出票据。</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㈢财务支出</w:t>
      </w:r>
      <w:r>
        <w:rPr>
          <w:rFonts w:hint="eastAsia" w:ascii="Times New Roman" w:hAnsi="Times New Roman" w:eastAsia="仿宋" w:cs="Times New Roman"/>
          <w:sz w:val="28"/>
          <w:szCs w:val="28"/>
        </w:rPr>
        <w:t>的</w:t>
      </w:r>
      <w:r>
        <w:rPr>
          <w:rFonts w:ascii="Times New Roman" w:hAnsi="Times New Roman" w:eastAsia="仿宋" w:cs="Times New Roman"/>
          <w:sz w:val="28"/>
          <w:szCs w:val="28"/>
        </w:rPr>
        <w:t>审批情况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经审核，钟村街社工站能按承接机构广州市番禺区正阳社会工作服务中心财务制度规定的审批权限进行审批。经费支出</w:t>
      </w:r>
      <w:r>
        <w:rPr>
          <w:rFonts w:hint="eastAsia" w:ascii="Times New Roman" w:hAnsi="Times New Roman" w:eastAsia="仿宋" w:cs="Times New Roman"/>
          <w:sz w:val="28"/>
          <w:szCs w:val="28"/>
        </w:rPr>
        <w:t>均有</w:t>
      </w:r>
      <w:r>
        <w:rPr>
          <w:rFonts w:ascii="Times New Roman" w:hAnsi="Times New Roman" w:eastAsia="仿宋" w:cs="Times New Roman"/>
          <w:sz w:val="28"/>
          <w:szCs w:val="28"/>
        </w:rPr>
        <w:t>经办人、证明人、审核人签名。</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㈣</w:t>
      </w:r>
      <w:r>
        <w:rPr>
          <w:rFonts w:ascii="Times New Roman" w:hAnsi="Times New Roman" w:eastAsia="仿宋" w:cs="Times New Roman"/>
          <w:sz w:val="28"/>
          <w:szCs w:val="28"/>
        </w:rPr>
        <w:t>财务支出</w:t>
      </w:r>
      <w:r>
        <w:rPr>
          <w:rFonts w:hint="eastAsia" w:ascii="Times New Roman" w:hAnsi="Times New Roman" w:eastAsia="仿宋" w:cs="Times New Roman"/>
          <w:sz w:val="28"/>
          <w:szCs w:val="28"/>
        </w:rPr>
        <w:t>的</w:t>
      </w:r>
      <w:r>
        <w:rPr>
          <w:rFonts w:ascii="Times New Roman" w:hAnsi="Times New Roman" w:eastAsia="仿宋" w:cs="Times New Roman"/>
          <w:sz w:val="28"/>
          <w:szCs w:val="28"/>
        </w:rPr>
        <w:t>监控情况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经审核，承接机构广州市番禺区正阳社会工作服务中心已建立财务支出管理的监控机制，并在钟村街社工站得到较规范执行。</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、承接机构广州市番禺区正阳社会工作服务中心能按规定开设银行基本账户，按规定对该钟村街社工站开设银行一般账户</w:t>
      </w:r>
      <w:r>
        <w:rPr>
          <w:rFonts w:hint="eastAsia" w:ascii="Times New Roman" w:hAnsi="Times New Roman" w:eastAsia="仿宋" w:cs="Times New Roman"/>
          <w:sz w:val="28"/>
          <w:szCs w:val="28"/>
        </w:rPr>
        <w:t>（专户），日常财务支出采用专户支付和基本户代付后专户转回结合的方式。</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、为确保政府购买服务经费用于指定用途，承接机构广州市番禺区正阳社会工作服务中心有定期向购买方提交钟村街社工站服务经费使用情况报告，对经费预算及使用情况作比对分析。</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㈤</w:t>
      </w:r>
      <w:r>
        <w:rPr>
          <w:rFonts w:ascii="Times New Roman" w:hAnsi="Times New Roman" w:eastAsia="仿宋" w:cs="Times New Roman"/>
          <w:sz w:val="28"/>
          <w:szCs w:val="28"/>
        </w:rPr>
        <w:t>财务支出票据的完整性、规范性</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钟村街社工站财务支出票据、凭证填制较完整，账目设置、票据管理较规范。</w:t>
      </w: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五、钟村街社工站会计核算情况</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㈠是否设置会计科目，编制完整会计报表</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对钟村街社工站会计科目设置合理，所有服务业务均编制了记账凭证、登记了明细分类账簿和总账，核算做到账册、账账、账表相符，编制了会计报表，并符合相关会计制度独立核算。</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㈡是否分项目核算</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经审核，承接机构广州市番禺区正阳社会工作服务中心对承接的钟村街社工站政府购买服务资金的服务经费支出，能按要求做到分项目核算。</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㈢是否领域服务经费分开归集</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经审核，承接机构广州市番禺区正阳社会工作服务中心对承接的钟村街社工站政府购买服务资金的服务经费支出，能按要求做到领域服务经费分开归集。</w:t>
      </w:r>
    </w:p>
    <w:p>
      <w:pPr>
        <w:spacing w:line="620" w:lineRule="exact"/>
        <w:ind w:right="-6" w:rightChars="-3"/>
        <w:rPr>
          <w:rFonts w:ascii="仿宋" w:hAnsi="仿宋" w:eastAsia="仿宋" w:cs="Times New Roman"/>
          <w:b/>
          <w:sz w:val="28"/>
          <w:szCs w:val="28"/>
        </w:rPr>
      </w:pPr>
      <w:r>
        <w:rPr>
          <w:rFonts w:ascii="仿宋" w:hAnsi="仿宋" w:eastAsia="仿宋" w:cs="Times New Roman"/>
          <w:b/>
          <w:sz w:val="28"/>
          <w:szCs w:val="28"/>
        </w:rPr>
        <w:t>六、本评估期服务经费拨入、支出、结余情况</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2025年7月16日至2026年1月15日期间（以下简称本评估期），钟村街社工站收到本评估期内政府购买服务经费363,831.50元。归属于本评估期的服务经费支出累计965,090.75元。本评估期结余金额</w:t>
      </w:r>
      <w:r>
        <w:rPr>
          <w:rFonts w:ascii="Times New Roman" w:hAnsi="Times New Roman" w:eastAsia="仿宋" w:cs="Times New Roman"/>
          <w:sz w:val="28"/>
          <w:szCs w:val="28"/>
        </w:rPr>
        <w:t>-601,259.25</w:t>
      </w:r>
      <w:r>
        <w:rPr>
          <w:rFonts w:hint="eastAsia" w:ascii="Times New Roman" w:hAnsi="Times New Roman" w:eastAsia="仿宋" w:cs="Times New Roman"/>
          <w:sz w:val="28"/>
          <w:szCs w:val="28"/>
        </w:rPr>
        <w:t>元，占实际拨入经费的-165.26%。具体经费支出情况如下：</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㈠用于人员费用支出</w:t>
      </w:r>
      <w:r>
        <w:rPr>
          <w:rFonts w:hint="eastAsia" w:ascii="Times New Roman" w:hAnsi="Times New Roman" w:eastAsia="仿宋" w:cs="Times New Roman"/>
          <w:sz w:val="28"/>
          <w:szCs w:val="28"/>
        </w:rPr>
        <w:t>769,673.49元</w:t>
      </w:r>
      <w:r>
        <w:rPr>
          <w:rFonts w:ascii="Times New Roman" w:hAnsi="Times New Roman" w:eastAsia="仿宋" w:cs="Times New Roman"/>
          <w:sz w:val="28"/>
          <w:szCs w:val="28"/>
        </w:rPr>
        <w:t>，占本协议期应收服务总经费的</w:t>
      </w:r>
      <w:bookmarkStart w:id="8" w:name="OLE_LINK23"/>
      <w:bookmarkStart w:id="9" w:name="OLE_LINK24"/>
      <w:r>
        <w:rPr>
          <w:rFonts w:hint="eastAsia" w:ascii="Times New Roman" w:hAnsi="Times New Roman" w:eastAsia="仿宋" w:cs="Times New Roman"/>
          <w:sz w:val="28"/>
          <w:szCs w:val="28"/>
        </w:rPr>
        <w:t>35.63</w:t>
      </w:r>
      <w:r>
        <w:rPr>
          <w:rFonts w:ascii="Times New Roman" w:hAnsi="Times New Roman" w:eastAsia="仿宋" w:cs="Times New Roman"/>
          <w:sz w:val="28"/>
          <w:szCs w:val="28"/>
        </w:rPr>
        <w:t>%</w:t>
      </w:r>
      <w:bookmarkEnd w:id="8"/>
      <w:bookmarkEnd w:id="9"/>
      <w:r>
        <w:rPr>
          <w:rFonts w:ascii="Times New Roman" w:hAnsi="Times New Roman" w:eastAsia="仿宋" w:cs="Times New Roman"/>
          <w:sz w:val="28"/>
          <w:szCs w:val="28"/>
        </w:rPr>
        <w:t>，</w:t>
      </w:r>
      <w:r>
        <w:rPr>
          <w:rFonts w:hint="eastAsia" w:ascii="Times New Roman" w:hAnsi="Times New Roman" w:eastAsia="仿宋" w:cs="Times New Roman"/>
          <w:sz w:val="28"/>
          <w:szCs w:val="28"/>
        </w:rPr>
        <w:t>本期预算执行率（整体协议期）44.54</w:t>
      </w:r>
      <w:r>
        <w:rPr>
          <w:rFonts w:ascii="Times New Roman" w:hAnsi="Times New Roman" w:eastAsia="仿宋" w:cs="Times New Roman"/>
          <w:sz w:val="28"/>
          <w:szCs w:val="28"/>
        </w:rPr>
        <w:t>%（具体人员发放明细详见附件）。其中：</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、工资总额支出</w:t>
      </w:r>
      <w:r>
        <w:rPr>
          <w:rFonts w:hint="eastAsia" w:ascii="Times New Roman" w:hAnsi="Times New Roman" w:eastAsia="仿宋" w:cs="Times New Roman"/>
          <w:sz w:val="28"/>
          <w:szCs w:val="28"/>
        </w:rPr>
        <w:t>604,771.27</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、五险金支出</w:t>
      </w:r>
      <w:r>
        <w:rPr>
          <w:rFonts w:hint="eastAsia" w:ascii="Times New Roman" w:hAnsi="Times New Roman" w:eastAsia="仿宋" w:cs="Times New Roman"/>
          <w:sz w:val="28"/>
          <w:szCs w:val="28"/>
        </w:rPr>
        <w:t>137,774.72</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、公积金支出</w:t>
      </w:r>
      <w:r>
        <w:rPr>
          <w:rFonts w:hint="eastAsia" w:ascii="Times New Roman" w:hAnsi="Times New Roman" w:eastAsia="仿宋" w:cs="Times New Roman"/>
          <w:sz w:val="28"/>
          <w:szCs w:val="28"/>
        </w:rPr>
        <w:t>27,127.50</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㈡用于服务质量保障费用的支出合计82,147.92元，占本协议期应收服务总经费的</w:t>
      </w:r>
      <w:r>
        <w:rPr>
          <w:rFonts w:hint="eastAsia" w:ascii="Times New Roman" w:hAnsi="Times New Roman" w:eastAsia="仿宋" w:cs="Times New Roman"/>
          <w:sz w:val="28"/>
          <w:szCs w:val="28"/>
        </w:rPr>
        <w:t>3.80</w:t>
      </w:r>
      <w:r>
        <w:rPr>
          <w:rFonts w:ascii="Times New Roman" w:hAnsi="Times New Roman" w:eastAsia="仿宋" w:cs="Times New Roman"/>
          <w:sz w:val="28"/>
          <w:szCs w:val="28"/>
        </w:rPr>
        <w:t>%，</w:t>
      </w:r>
      <w:r>
        <w:rPr>
          <w:rFonts w:hint="eastAsia" w:ascii="Times New Roman" w:hAnsi="Times New Roman" w:eastAsia="仿宋" w:cs="Times New Roman"/>
          <w:sz w:val="28"/>
          <w:szCs w:val="28"/>
        </w:rPr>
        <w:t>本期预算执行率（整体协议期）30.54</w:t>
      </w:r>
      <w:r>
        <w:rPr>
          <w:rFonts w:ascii="Times New Roman" w:hAnsi="Times New Roman" w:eastAsia="仿宋" w:cs="Times New Roman"/>
          <w:sz w:val="28"/>
          <w:szCs w:val="28"/>
        </w:rPr>
        <w:t>%。其中：</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、用于</w:t>
      </w:r>
      <w:r>
        <w:rPr>
          <w:rFonts w:hint="eastAsia" w:ascii="Times New Roman" w:hAnsi="Times New Roman" w:eastAsia="仿宋" w:cs="Times New Roman"/>
          <w:sz w:val="28"/>
          <w:szCs w:val="28"/>
        </w:rPr>
        <w:t>专业支持费用</w:t>
      </w:r>
      <w:r>
        <w:rPr>
          <w:rFonts w:ascii="Times New Roman" w:hAnsi="Times New Roman" w:eastAsia="仿宋" w:cs="Times New Roman"/>
          <w:sz w:val="28"/>
          <w:szCs w:val="28"/>
        </w:rPr>
        <w:t>2,174.73元。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⑴社工交流学习</w:t>
      </w:r>
      <w:r>
        <w:rPr>
          <w:rFonts w:ascii="Times New Roman" w:hAnsi="Times New Roman" w:eastAsia="仿宋" w:cs="Times New Roman"/>
          <w:sz w:val="28"/>
          <w:szCs w:val="28"/>
        </w:rPr>
        <w:t>支出</w:t>
      </w:r>
      <w:r>
        <w:rPr>
          <w:rFonts w:hint="eastAsia" w:ascii="Times New Roman" w:hAnsi="Times New Roman" w:eastAsia="仿宋" w:cs="Times New Roman"/>
          <w:sz w:val="28"/>
          <w:szCs w:val="28"/>
        </w:rPr>
        <w:t>1,406.44</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⑵专业提升</w:t>
      </w:r>
      <w:r>
        <w:rPr>
          <w:rFonts w:ascii="Times New Roman" w:hAnsi="Times New Roman" w:eastAsia="仿宋" w:cs="Times New Roman"/>
          <w:sz w:val="28"/>
          <w:szCs w:val="28"/>
        </w:rPr>
        <w:t>支出</w:t>
      </w:r>
      <w:r>
        <w:rPr>
          <w:rFonts w:hint="eastAsia" w:ascii="Times New Roman" w:hAnsi="Times New Roman" w:eastAsia="仿宋" w:cs="Times New Roman"/>
          <w:sz w:val="28"/>
          <w:szCs w:val="28"/>
        </w:rPr>
        <w:t>768.29</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bookmarkStart w:id="10" w:name="OLE_LINK28"/>
      <w:r>
        <w:rPr>
          <w:rFonts w:hint="eastAsia" w:ascii="Times New Roman" w:hAnsi="Times New Roman" w:eastAsia="仿宋" w:cs="Times New Roman"/>
          <w:sz w:val="28"/>
          <w:szCs w:val="28"/>
        </w:rPr>
        <w:t>2</w:t>
      </w:r>
      <w:r>
        <w:rPr>
          <w:rFonts w:ascii="Times New Roman" w:hAnsi="Times New Roman" w:eastAsia="仿宋" w:cs="Times New Roman"/>
          <w:sz w:val="28"/>
          <w:szCs w:val="28"/>
        </w:rPr>
        <w:t>、用于开展与专业服务和活动的支出</w:t>
      </w:r>
      <w:r>
        <w:rPr>
          <w:rFonts w:hint="eastAsia" w:ascii="Times New Roman" w:hAnsi="Times New Roman" w:eastAsia="仿宋" w:cs="Times New Roman"/>
          <w:sz w:val="28"/>
          <w:szCs w:val="28"/>
        </w:rPr>
        <w:t>11,636.91</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⑴服务和活动物料</w:t>
      </w:r>
      <w:r>
        <w:rPr>
          <w:rFonts w:ascii="Times New Roman" w:hAnsi="Times New Roman" w:eastAsia="仿宋" w:cs="Times New Roman"/>
          <w:sz w:val="28"/>
          <w:szCs w:val="28"/>
        </w:rPr>
        <w:t>支出</w:t>
      </w:r>
      <w:r>
        <w:rPr>
          <w:rFonts w:hint="eastAsia" w:ascii="Times New Roman" w:hAnsi="Times New Roman" w:eastAsia="仿宋" w:cs="Times New Roman"/>
          <w:sz w:val="28"/>
          <w:szCs w:val="28"/>
        </w:rPr>
        <w:t>984.41</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⑵宣传费</w:t>
      </w:r>
      <w:r>
        <w:rPr>
          <w:rFonts w:ascii="Times New Roman" w:hAnsi="Times New Roman" w:eastAsia="仿宋" w:cs="Times New Roman"/>
          <w:sz w:val="28"/>
          <w:szCs w:val="28"/>
        </w:rPr>
        <w:t>支出</w:t>
      </w:r>
      <w:r>
        <w:rPr>
          <w:rFonts w:hint="eastAsia" w:ascii="Times New Roman" w:hAnsi="Times New Roman" w:eastAsia="仿宋" w:cs="Times New Roman"/>
          <w:sz w:val="28"/>
          <w:szCs w:val="28"/>
        </w:rPr>
        <w:t>10,652.50</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bookmarkEnd w:id="10"/>
    <w:p>
      <w:pPr>
        <w:spacing w:line="590" w:lineRule="exact"/>
        <w:ind w:firstLine="560" w:firstLineChars="200"/>
        <w:rPr>
          <w:rFonts w:ascii="Times New Roman" w:hAnsi="Times New Roman" w:eastAsia="仿宋" w:cs="Times New Roman"/>
          <w:sz w:val="28"/>
          <w:szCs w:val="28"/>
        </w:rPr>
      </w:pPr>
      <w:bookmarkStart w:id="11" w:name="OLE_LINK27"/>
      <w:bookmarkStart w:id="12" w:name="OLE_LINK26"/>
      <w:r>
        <w:rPr>
          <w:rFonts w:hint="eastAsia" w:ascii="Times New Roman" w:hAnsi="Times New Roman" w:eastAsia="仿宋" w:cs="Times New Roman"/>
          <w:sz w:val="28"/>
          <w:szCs w:val="28"/>
        </w:rPr>
        <w:t>3</w:t>
      </w:r>
      <w:r>
        <w:rPr>
          <w:rFonts w:ascii="Times New Roman" w:hAnsi="Times New Roman" w:eastAsia="仿宋" w:cs="Times New Roman"/>
          <w:sz w:val="28"/>
          <w:szCs w:val="28"/>
        </w:rPr>
        <w:t>、</w:t>
      </w:r>
      <w:bookmarkEnd w:id="11"/>
      <w:bookmarkEnd w:id="12"/>
      <w:r>
        <w:rPr>
          <w:rFonts w:ascii="Times New Roman" w:hAnsi="Times New Roman" w:eastAsia="仿宋" w:cs="Times New Roman"/>
          <w:sz w:val="28"/>
          <w:szCs w:val="28"/>
        </w:rPr>
        <w:t>用于日常办公费用支出</w:t>
      </w:r>
      <w:r>
        <w:rPr>
          <w:rFonts w:hint="eastAsia" w:ascii="Times New Roman" w:hAnsi="Times New Roman" w:eastAsia="仿宋" w:cs="Times New Roman"/>
          <w:sz w:val="28"/>
          <w:szCs w:val="28"/>
        </w:rPr>
        <w:t>16,872.70元</w:t>
      </w:r>
      <w:r>
        <w:rPr>
          <w:rFonts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⑴</w:t>
      </w:r>
      <w:r>
        <w:rPr>
          <w:rFonts w:ascii="Times New Roman" w:hAnsi="Times New Roman" w:eastAsia="仿宋" w:cs="Times New Roman"/>
          <w:sz w:val="28"/>
          <w:szCs w:val="28"/>
        </w:rPr>
        <w:t>办公费耗材支出</w:t>
      </w:r>
      <w:r>
        <w:rPr>
          <w:rFonts w:hint="eastAsia" w:ascii="Times New Roman" w:hAnsi="Times New Roman" w:eastAsia="仿宋" w:cs="Times New Roman"/>
          <w:sz w:val="28"/>
          <w:szCs w:val="28"/>
        </w:rPr>
        <w:t>7,539.13</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⑵电信</w:t>
      </w:r>
      <w:r>
        <w:rPr>
          <w:rFonts w:ascii="Times New Roman" w:hAnsi="Times New Roman" w:eastAsia="仿宋" w:cs="Times New Roman"/>
          <w:sz w:val="28"/>
          <w:szCs w:val="28"/>
        </w:rPr>
        <w:t>费支出</w:t>
      </w:r>
      <w:r>
        <w:rPr>
          <w:rFonts w:hint="eastAsia" w:ascii="Times New Roman" w:hAnsi="Times New Roman" w:eastAsia="仿宋" w:cs="Times New Roman"/>
          <w:sz w:val="28"/>
          <w:szCs w:val="28"/>
        </w:rPr>
        <w:t>2,459.90</w:t>
      </w:r>
      <w:r>
        <w:rPr>
          <w:rFonts w:ascii="Times New Roman" w:hAnsi="Times New Roman" w:eastAsia="仿宋" w:cs="Times New Roman"/>
          <w:sz w:val="28"/>
          <w:szCs w:val="28"/>
        </w:rPr>
        <w:t>元；</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⑶水电费支出6,165.57元。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4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⑷</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折旧费支出171.94元。</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5 \* GB2</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⑸</w:t>
      </w:r>
      <w:r>
        <w:rPr>
          <w:rFonts w:ascii="Times New Roman" w:hAnsi="Times New Roman" w:eastAsia="仿宋" w:cs="Times New Roman"/>
          <w:sz w:val="28"/>
          <w:szCs w:val="28"/>
        </w:rPr>
        <w:fldChar w:fldCharType="end"/>
      </w:r>
      <w:r>
        <w:rPr>
          <w:rFonts w:hint="eastAsia" w:ascii="Times New Roman" w:hAnsi="Times New Roman" w:eastAsia="仿宋" w:cs="Times New Roman"/>
          <w:sz w:val="28"/>
          <w:szCs w:val="28"/>
        </w:rPr>
        <w:t>银行手续费支出536.16元</w:t>
      </w:r>
      <w:bookmarkStart w:id="13" w:name="_Hlk116635588"/>
      <w:r>
        <w:rPr>
          <w:rFonts w:hint="eastAsia" w:ascii="Times New Roman" w:hAnsi="Times New Roman" w:eastAsia="仿宋" w:cs="Times New Roman"/>
          <w:sz w:val="28"/>
          <w:szCs w:val="28"/>
        </w:rPr>
        <w:t>。</w:t>
      </w:r>
      <w:bookmarkEnd w:id="13"/>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w:t>
      </w:r>
      <w:r>
        <w:rPr>
          <w:rFonts w:ascii="Times New Roman" w:hAnsi="Times New Roman" w:eastAsia="仿宋" w:cs="Times New Roman"/>
          <w:sz w:val="28"/>
          <w:szCs w:val="28"/>
        </w:rPr>
        <w:t>、用于</w:t>
      </w:r>
      <w:r>
        <w:rPr>
          <w:rFonts w:hint="eastAsia" w:ascii="Times New Roman" w:hAnsi="Times New Roman" w:eastAsia="仿宋" w:cs="Times New Roman"/>
          <w:sz w:val="28"/>
          <w:szCs w:val="28"/>
        </w:rPr>
        <w:t>购买服务项目中标费用</w:t>
      </w:r>
      <w:r>
        <w:rPr>
          <w:rFonts w:ascii="Times New Roman" w:hAnsi="Times New Roman" w:eastAsia="仿宋" w:cs="Times New Roman"/>
          <w:sz w:val="28"/>
          <w:szCs w:val="28"/>
        </w:rPr>
        <w:t>支出</w:t>
      </w:r>
      <w:bookmarkStart w:id="14" w:name="OLE_LINK29"/>
      <w:r>
        <w:rPr>
          <w:rFonts w:hint="eastAsia" w:ascii="Times New Roman" w:hAnsi="Times New Roman" w:eastAsia="仿宋" w:cs="Times New Roman"/>
          <w:sz w:val="28"/>
          <w:szCs w:val="28"/>
        </w:rPr>
        <w:t>29,</w:t>
      </w:r>
      <w:bookmarkEnd w:id="14"/>
      <w:r>
        <w:rPr>
          <w:rFonts w:hint="eastAsia" w:ascii="Times New Roman" w:hAnsi="Times New Roman" w:eastAsia="仿宋" w:cs="Times New Roman"/>
          <w:sz w:val="28"/>
          <w:szCs w:val="28"/>
        </w:rPr>
        <w:t>735.97</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w:t>
      </w:r>
      <w:r>
        <w:rPr>
          <w:rFonts w:ascii="Times New Roman" w:hAnsi="Times New Roman" w:eastAsia="仿宋" w:cs="Times New Roman"/>
          <w:sz w:val="28"/>
          <w:szCs w:val="28"/>
        </w:rPr>
        <w:t>用于</w:t>
      </w:r>
      <w:r>
        <w:rPr>
          <w:rFonts w:hint="eastAsia" w:ascii="Times New Roman" w:hAnsi="Times New Roman" w:eastAsia="仿宋" w:cs="Times New Roman"/>
          <w:sz w:val="28"/>
          <w:szCs w:val="28"/>
        </w:rPr>
        <w:t>机构年度相关税费</w:t>
      </w:r>
      <w:r>
        <w:rPr>
          <w:rFonts w:ascii="Times New Roman" w:hAnsi="Times New Roman" w:eastAsia="仿宋" w:cs="Times New Roman"/>
          <w:sz w:val="28"/>
          <w:szCs w:val="28"/>
        </w:rPr>
        <w:t>支出</w:t>
      </w:r>
      <w:r>
        <w:rPr>
          <w:rFonts w:hint="eastAsia" w:ascii="Times New Roman" w:hAnsi="Times New Roman" w:eastAsia="仿宋" w:cs="Times New Roman"/>
          <w:sz w:val="28"/>
          <w:szCs w:val="28"/>
        </w:rPr>
        <w:t>21,727.61</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㈢用于运营管理费用支出</w:t>
      </w:r>
      <w:r>
        <w:rPr>
          <w:rFonts w:hint="eastAsia" w:ascii="Times New Roman" w:hAnsi="Times New Roman" w:eastAsia="仿宋" w:cs="Times New Roman"/>
          <w:sz w:val="28"/>
          <w:szCs w:val="28"/>
        </w:rPr>
        <w:t>113,269.34</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占本协议期应收服务总经费的</w:t>
      </w:r>
      <w:r>
        <w:rPr>
          <w:rFonts w:hint="eastAsia" w:ascii="Times New Roman" w:hAnsi="Times New Roman" w:eastAsia="仿宋" w:cs="Times New Roman"/>
          <w:sz w:val="28"/>
          <w:szCs w:val="28"/>
        </w:rPr>
        <w:t>5.25</w:t>
      </w:r>
      <w:r>
        <w:rPr>
          <w:rFonts w:ascii="Times New Roman" w:hAnsi="Times New Roman" w:eastAsia="仿宋" w:cs="Times New Roman"/>
          <w:sz w:val="28"/>
          <w:szCs w:val="28"/>
        </w:rPr>
        <w:t>%，</w:t>
      </w:r>
      <w:r>
        <w:rPr>
          <w:rFonts w:hint="eastAsia" w:ascii="Times New Roman" w:hAnsi="Times New Roman" w:eastAsia="仿宋" w:cs="Times New Roman"/>
          <w:sz w:val="28"/>
          <w:szCs w:val="28"/>
        </w:rPr>
        <w:t>本期预算执行率（整体协议期）69.49</w:t>
      </w:r>
      <w:r>
        <w:rPr>
          <w:rFonts w:ascii="Times New Roman" w:hAnsi="Times New Roman" w:eastAsia="仿宋" w:cs="Times New Roman"/>
          <w:sz w:val="28"/>
          <w:szCs w:val="28"/>
        </w:rPr>
        <w:t>%。其中：</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、分摊机构人员工资</w:t>
      </w:r>
      <w:r>
        <w:rPr>
          <w:rFonts w:hint="eastAsia" w:ascii="Times New Roman" w:hAnsi="Times New Roman" w:eastAsia="仿宋" w:cs="Times New Roman"/>
          <w:sz w:val="28"/>
          <w:szCs w:val="28"/>
        </w:rPr>
        <w:t>61,591.70</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、分摊机构人员社保</w:t>
      </w:r>
      <w:r>
        <w:rPr>
          <w:rFonts w:hint="eastAsia" w:ascii="Times New Roman" w:hAnsi="Times New Roman" w:eastAsia="仿宋" w:cs="Times New Roman"/>
          <w:sz w:val="28"/>
          <w:szCs w:val="28"/>
        </w:rPr>
        <w:t>5,966.67</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３</w:t>
      </w:r>
      <w:r>
        <w:rPr>
          <w:rFonts w:ascii="Times New Roman" w:hAnsi="Times New Roman" w:eastAsia="仿宋" w:cs="Times New Roman"/>
          <w:sz w:val="28"/>
          <w:szCs w:val="28"/>
        </w:rPr>
        <w:t>、分摊机构人员公积金</w:t>
      </w:r>
      <w:r>
        <w:rPr>
          <w:rFonts w:hint="eastAsia" w:ascii="Times New Roman" w:hAnsi="Times New Roman" w:eastAsia="仿宋" w:cs="Times New Roman"/>
          <w:sz w:val="28"/>
          <w:szCs w:val="28"/>
        </w:rPr>
        <w:t>1,108.58</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４</w:t>
      </w:r>
      <w:r>
        <w:rPr>
          <w:rFonts w:ascii="Times New Roman" w:hAnsi="Times New Roman" w:eastAsia="仿宋" w:cs="Times New Roman"/>
          <w:sz w:val="28"/>
          <w:szCs w:val="28"/>
        </w:rPr>
        <w:t>、分摊机构费用</w:t>
      </w:r>
      <w:r>
        <w:rPr>
          <w:rFonts w:hint="eastAsia" w:ascii="Times New Roman" w:hAnsi="Times New Roman" w:eastAsia="仿宋" w:cs="Times New Roman"/>
          <w:sz w:val="28"/>
          <w:szCs w:val="28"/>
        </w:rPr>
        <w:t>33,172.97</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５</w:t>
      </w:r>
      <w:r>
        <w:rPr>
          <w:rFonts w:ascii="Times New Roman" w:hAnsi="Times New Roman" w:eastAsia="仿宋" w:cs="Times New Roman"/>
          <w:sz w:val="28"/>
          <w:szCs w:val="28"/>
        </w:rPr>
        <w:t>、</w:t>
      </w:r>
      <w:r>
        <w:rPr>
          <w:rFonts w:hint="eastAsia" w:ascii="Times New Roman" w:hAnsi="Times New Roman" w:eastAsia="仿宋" w:cs="Times New Roman"/>
          <w:sz w:val="28"/>
          <w:szCs w:val="28"/>
        </w:rPr>
        <w:t>工会经费支出11,429.42</w:t>
      </w:r>
      <w:r>
        <w:rPr>
          <w:rFonts w:ascii="Times New Roman" w:hAnsi="Times New Roman" w:eastAsia="仿宋" w:cs="Times New Roman"/>
          <w:sz w:val="28"/>
          <w:szCs w:val="28"/>
        </w:rPr>
        <w:t>元</w:t>
      </w:r>
      <w:r>
        <w:rPr>
          <w:rFonts w:hint="eastAsia" w:ascii="Times New Roman" w:hAnsi="Times New Roman" w:eastAsia="仿宋" w:cs="Times New Roman"/>
          <w:sz w:val="28"/>
          <w:szCs w:val="28"/>
        </w:rPr>
        <w:t>。</w:t>
      </w:r>
      <w:r>
        <w:rPr>
          <w:rFonts w:ascii="Times New Roman" w:hAnsi="Times New Roman" w:eastAsia="仿宋" w:cs="Times New Roman"/>
          <w:sz w:val="28"/>
          <w:szCs w:val="28"/>
        </w:rPr>
        <w:t xml:space="preserve"> </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综上所述，按照《广州市人民政府办公厅关于印发广州市社工服务站管理办法的通知》（穗府办〔2023〕7号）文的规定：</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1、本评估期项目经费支出</w:t>
      </w:r>
      <w:r>
        <w:rPr>
          <w:rFonts w:ascii="Times New Roman" w:hAnsi="Times New Roman" w:eastAsia="仿宋" w:cs="Times New Roman"/>
          <w:sz w:val="28"/>
          <w:szCs w:val="28"/>
        </w:rPr>
        <w:t>用于人员费用支出</w:t>
      </w:r>
      <w:r>
        <w:rPr>
          <w:rFonts w:hint="eastAsia" w:ascii="Times New Roman" w:hAnsi="Times New Roman" w:eastAsia="仿宋" w:cs="Times New Roman"/>
          <w:sz w:val="28"/>
          <w:szCs w:val="28"/>
        </w:rPr>
        <w:t xml:space="preserve"> 769,673.49 元</w:t>
      </w:r>
      <w:r>
        <w:rPr>
          <w:rFonts w:ascii="Times New Roman" w:hAnsi="Times New Roman" w:eastAsia="仿宋" w:cs="Times New Roman"/>
          <w:sz w:val="28"/>
          <w:szCs w:val="28"/>
        </w:rPr>
        <w:t>，占本协议期应收服务总经费的</w:t>
      </w:r>
      <w:r>
        <w:rPr>
          <w:rFonts w:hint="eastAsia" w:ascii="Times New Roman" w:hAnsi="Times New Roman" w:eastAsia="仿宋" w:cs="Times New Roman"/>
          <w:sz w:val="28"/>
          <w:szCs w:val="28"/>
        </w:rPr>
        <w:t>35.63</w:t>
      </w:r>
      <w:r>
        <w:rPr>
          <w:rFonts w:ascii="Times New Roman" w:hAnsi="Times New Roman" w:eastAsia="仿宋" w:cs="Times New Roman"/>
          <w:sz w:val="28"/>
          <w:szCs w:val="28"/>
        </w:rPr>
        <w:t>%</w:t>
      </w:r>
      <w:r>
        <w:rPr>
          <w:rFonts w:hint="eastAsia" w:ascii="Times New Roman" w:hAnsi="Times New Roman" w:eastAsia="仿宋" w:cs="Times New Roman"/>
          <w:sz w:val="28"/>
          <w:szCs w:val="28"/>
        </w:rPr>
        <w:t>，按照规定 “人员费用应当不低于项目经费总额的80%”的要求，尚未执行44.37%。</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2、本评估期项目经费支出用于服务质量保障费用及承接机构管理费用实际支出195,417.26元，</w:t>
      </w:r>
      <w:r>
        <w:rPr>
          <w:rFonts w:ascii="Times New Roman" w:hAnsi="Times New Roman" w:eastAsia="仿宋" w:cs="Times New Roman"/>
          <w:sz w:val="28"/>
          <w:szCs w:val="28"/>
        </w:rPr>
        <w:t>占本协议期应收服务总经费的</w:t>
      </w:r>
      <w:r>
        <w:rPr>
          <w:rFonts w:hint="eastAsia" w:ascii="Times New Roman" w:hAnsi="Times New Roman" w:eastAsia="仿宋" w:cs="Times New Roman"/>
          <w:sz w:val="28"/>
          <w:szCs w:val="28"/>
        </w:rPr>
        <w:t>9.05</w:t>
      </w:r>
      <w:r>
        <w:rPr>
          <w:rFonts w:ascii="Times New Roman" w:hAnsi="Times New Roman" w:eastAsia="仿宋" w:cs="Times New Roman"/>
          <w:sz w:val="28"/>
          <w:szCs w:val="28"/>
        </w:rPr>
        <w:t>%，</w:t>
      </w:r>
      <w:r>
        <w:rPr>
          <w:rFonts w:hint="eastAsia" w:ascii="Times New Roman" w:hAnsi="Times New Roman" w:eastAsia="仿宋" w:cs="Times New Roman"/>
          <w:sz w:val="28"/>
          <w:szCs w:val="28"/>
        </w:rPr>
        <w:t>按照规定“服务质量保障费用及承接机构管理费用应当不高于项目经费总额的20%” 的要求，尚可执行10.95%。</w:t>
      </w:r>
    </w:p>
    <w:p>
      <w:pPr>
        <w:spacing w:line="610" w:lineRule="exact"/>
        <w:ind w:right="-6" w:rightChars="-3"/>
        <w:rPr>
          <w:rFonts w:ascii="仿宋" w:hAnsi="仿宋" w:eastAsia="仿宋" w:cs="Times New Roman"/>
          <w:b/>
          <w:sz w:val="28"/>
          <w:szCs w:val="28"/>
        </w:rPr>
      </w:pPr>
      <w:r>
        <w:rPr>
          <w:rFonts w:ascii="仿宋" w:hAnsi="仿宋" w:eastAsia="仿宋" w:cs="Times New Roman"/>
          <w:b/>
          <w:sz w:val="28"/>
          <w:szCs w:val="28"/>
        </w:rPr>
        <w:t>七、</w:t>
      </w:r>
      <w:r>
        <w:rPr>
          <w:rFonts w:hint="eastAsia" w:ascii="仿宋" w:hAnsi="仿宋" w:eastAsia="仿宋" w:cs="Times New Roman"/>
          <w:b/>
          <w:sz w:val="28"/>
          <w:szCs w:val="28"/>
        </w:rPr>
        <w:t>前期经费收、支、结余变化情况</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截至审计日，协议期2024年7月16日至2025年7月15日的结余资金发生变动，具体情况如下：</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根据“业会专审[202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w:t>
      </w:r>
      <w:r>
        <w:rPr>
          <w:rFonts w:hint="eastAsia" w:ascii="Times New Roman" w:hAnsi="Times New Roman" w:eastAsia="仿宋" w:cs="Times New Roman"/>
          <w:sz w:val="28"/>
          <w:szCs w:val="28"/>
        </w:rPr>
        <w:t>361</w:t>
      </w:r>
      <w:r>
        <w:rPr>
          <w:rFonts w:ascii="Times New Roman" w:hAnsi="Times New Roman" w:eastAsia="仿宋" w:cs="Times New Roman"/>
          <w:sz w:val="28"/>
          <w:szCs w:val="28"/>
        </w:rPr>
        <w:t>号”财务管理情况评估报告“截至</w:t>
      </w:r>
      <w:r>
        <w:rPr>
          <w:rFonts w:hint="eastAsia" w:ascii="Times New Roman" w:hAnsi="Times New Roman" w:eastAsia="仿宋" w:cs="Times New Roman"/>
          <w:sz w:val="28"/>
          <w:szCs w:val="28"/>
        </w:rPr>
        <w:t>2025年7月15日</w:t>
      </w:r>
      <w:r>
        <w:rPr>
          <w:rFonts w:ascii="Times New Roman" w:hAnsi="Times New Roman" w:eastAsia="仿宋" w:cs="Times New Roman"/>
          <w:sz w:val="28"/>
          <w:szCs w:val="28"/>
        </w:rPr>
        <w:t>，钟村街社工站累计已收到本次服务协议期政府采购服务经费2,172,900.00元，累计支出服务经费2,236,595.55元，结余金额为-63,695.55 元</w:t>
      </w:r>
      <w:r>
        <w:rPr>
          <w:rFonts w:hint="eastAsia" w:ascii="Times New Roman" w:hAnsi="Times New Roman" w:eastAsia="仿宋" w:cs="Times New Roman"/>
          <w:sz w:val="28"/>
          <w:szCs w:val="28"/>
        </w:rPr>
        <w:t>（不含未拨入的</w:t>
      </w:r>
      <w:bookmarkStart w:id="15" w:name="OLE_LINK36"/>
      <w:bookmarkStart w:id="16" w:name="OLE_LINK37"/>
      <w:bookmarkStart w:id="17" w:name="OLE_LINK38"/>
      <w:r>
        <w:rPr>
          <w:rFonts w:hint="eastAsia" w:ascii="Times New Roman" w:hAnsi="Times New Roman" w:eastAsia="仿宋" w:cs="Times New Roman"/>
          <w:sz w:val="28"/>
          <w:szCs w:val="28"/>
        </w:rPr>
        <w:t>98</w:t>
      </w:r>
      <w:r>
        <w:rPr>
          <w:rFonts w:ascii="Times New Roman" w:hAnsi="Times New Roman" w:eastAsia="仿宋" w:cs="Times New Roman"/>
          <w:sz w:val="28"/>
          <w:szCs w:val="28"/>
        </w:rPr>
        <w:t>,</w:t>
      </w:r>
      <w:r>
        <w:rPr>
          <w:rFonts w:hint="eastAsia" w:ascii="Times New Roman" w:hAnsi="Times New Roman" w:eastAsia="仿宋" w:cs="Times New Roman"/>
          <w:sz w:val="28"/>
          <w:szCs w:val="28"/>
        </w:rPr>
        <w:t>200.00</w:t>
      </w:r>
      <w:bookmarkEnd w:id="15"/>
      <w:bookmarkEnd w:id="16"/>
      <w:bookmarkEnd w:id="17"/>
      <w:r>
        <w:rPr>
          <w:rFonts w:hint="eastAsia" w:ascii="Times New Roman" w:hAnsi="Times New Roman" w:eastAsia="仿宋" w:cs="Times New Roman"/>
          <w:sz w:val="28"/>
          <w:szCs w:val="28"/>
        </w:rPr>
        <w:t>元）</w:t>
      </w:r>
      <w:r>
        <w:rPr>
          <w:rFonts w:ascii="Times New Roman" w:hAnsi="Times New Roman" w:eastAsia="仿宋" w:cs="Times New Roman"/>
          <w:sz w:val="28"/>
          <w:szCs w:val="28"/>
        </w:rPr>
        <w:t>”，结合本</w:t>
      </w:r>
      <w:r>
        <w:rPr>
          <w:rFonts w:hint="eastAsia" w:ascii="Times New Roman" w:hAnsi="Times New Roman" w:eastAsia="仿宋" w:cs="Times New Roman"/>
          <w:sz w:val="28"/>
          <w:szCs w:val="28"/>
        </w:rPr>
        <w:t>评估期</w:t>
      </w:r>
      <w:r>
        <w:rPr>
          <w:rFonts w:ascii="Times New Roman" w:hAnsi="Times New Roman" w:eastAsia="仿宋" w:cs="Times New Roman"/>
          <w:sz w:val="28"/>
          <w:szCs w:val="28"/>
        </w:rPr>
        <w:t>2025年7月16日至2026年1月15日财务管理评估情况，</w:t>
      </w:r>
      <w:r>
        <w:rPr>
          <w:rFonts w:hint="eastAsia" w:ascii="Times New Roman" w:hAnsi="Times New Roman" w:eastAsia="仿宋" w:cs="Times New Roman"/>
          <w:sz w:val="28"/>
          <w:szCs w:val="28"/>
        </w:rPr>
        <w:t>经评估，本评估期内收到该协议期服务经费98</w:t>
      </w:r>
      <w:r>
        <w:rPr>
          <w:rFonts w:ascii="Times New Roman" w:hAnsi="Times New Roman" w:eastAsia="仿宋" w:cs="Times New Roman"/>
          <w:sz w:val="28"/>
          <w:szCs w:val="28"/>
        </w:rPr>
        <w:t>,</w:t>
      </w:r>
      <w:r>
        <w:rPr>
          <w:rFonts w:hint="eastAsia" w:ascii="Times New Roman" w:hAnsi="Times New Roman" w:eastAsia="仿宋" w:cs="Times New Roman"/>
          <w:sz w:val="28"/>
          <w:szCs w:val="28"/>
        </w:rPr>
        <w:t>200.00元，截至</w:t>
      </w:r>
      <w:r>
        <w:rPr>
          <w:rFonts w:ascii="Times New Roman" w:hAnsi="Times New Roman" w:eastAsia="仿宋" w:cs="Times New Roman"/>
          <w:sz w:val="28"/>
          <w:szCs w:val="28"/>
        </w:rPr>
        <w:t>2026年1月15日</w:t>
      </w:r>
      <w:r>
        <w:rPr>
          <w:rFonts w:hint="eastAsia" w:ascii="Times New Roman" w:hAnsi="Times New Roman" w:eastAsia="仿宋" w:cs="Times New Roman"/>
          <w:sz w:val="28"/>
          <w:szCs w:val="28"/>
        </w:rPr>
        <w:t>，</w:t>
      </w:r>
      <w:r>
        <w:rPr>
          <w:rFonts w:ascii="Times New Roman" w:hAnsi="Times New Roman" w:eastAsia="仿宋" w:cs="Times New Roman"/>
          <w:sz w:val="28"/>
          <w:szCs w:val="28"/>
        </w:rPr>
        <w:t>钟村街社工站累计已收到本次服务协议期政府采购服务经费</w:t>
      </w:r>
      <w:r>
        <w:rPr>
          <w:rFonts w:hint="eastAsia" w:ascii="Times New Roman" w:hAnsi="Times New Roman" w:eastAsia="仿宋" w:cs="Times New Roman"/>
          <w:sz w:val="28"/>
          <w:szCs w:val="28"/>
        </w:rPr>
        <w:t>2,271,100.00元，结余资金为34,504.45元。</w:t>
      </w:r>
    </w:p>
    <w:p>
      <w:pPr>
        <w:spacing w:line="620" w:lineRule="exact"/>
        <w:ind w:right="-6" w:rightChars="-3"/>
        <w:rPr>
          <w:rFonts w:ascii="Times New Roman" w:hAnsi="Times New Roman" w:eastAsia="仿宋" w:cs="Times New Roman"/>
          <w:b/>
          <w:sz w:val="28"/>
          <w:szCs w:val="28"/>
        </w:rPr>
      </w:pPr>
      <w:r>
        <w:rPr>
          <w:rFonts w:hint="eastAsia" w:ascii="Times New Roman" w:hAnsi="Times New Roman" w:eastAsia="仿宋" w:cs="Times New Roman"/>
          <w:b/>
          <w:sz w:val="28"/>
          <w:szCs w:val="28"/>
        </w:rPr>
        <w:t>八</w:t>
      </w:r>
      <w:r>
        <w:rPr>
          <w:rFonts w:ascii="Times New Roman" w:hAnsi="Times New Roman" w:eastAsia="仿宋" w:cs="Times New Roman"/>
          <w:b/>
          <w:sz w:val="28"/>
          <w:szCs w:val="28"/>
        </w:rPr>
        <w:t>、累计结余情况（20</w:t>
      </w:r>
      <w:r>
        <w:rPr>
          <w:rFonts w:hint="eastAsia" w:ascii="Times New Roman" w:hAnsi="Times New Roman" w:eastAsia="仿宋" w:cs="Times New Roman"/>
          <w:b/>
          <w:sz w:val="28"/>
          <w:szCs w:val="28"/>
        </w:rPr>
        <w:t>16</w:t>
      </w:r>
      <w:r>
        <w:rPr>
          <w:rFonts w:ascii="Times New Roman" w:hAnsi="Times New Roman" w:eastAsia="仿宋" w:cs="Times New Roman"/>
          <w:b/>
          <w:sz w:val="28"/>
          <w:szCs w:val="28"/>
        </w:rPr>
        <w:t>年</w:t>
      </w:r>
      <w:r>
        <w:rPr>
          <w:rFonts w:hint="eastAsia" w:ascii="Times New Roman" w:hAnsi="Times New Roman" w:eastAsia="仿宋" w:cs="Times New Roman"/>
          <w:b/>
          <w:sz w:val="28"/>
          <w:szCs w:val="28"/>
        </w:rPr>
        <w:t>7</w:t>
      </w:r>
      <w:r>
        <w:rPr>
          <w:rFonts w:ascii="Times New Roman" w:hAnsi="Times New Roman" w:eastAsia="仿宋" w:cs="Times New Roman"/>
          <w:b/>
          <w:sz w:val="28"/>
          <w:szCs w:val="28"/>
        </w:rPr>
        <w:t>月</w:t>
      </w:r>
      <w:r>
        <w:rPr>
          <w:rFonts w:hint="eastAsia" w:ascii="Times New Roman" w:hAnsi="Times New Roman" w:eastAsia="仿宋" w:cs="Times New Roman"/>
          <w:b/>
          <w:sz w:val="28"/>
          <w:szCs w:val="28"/>
        </w:rPr>
        <w:t>16</w:t>
      </w:r>
      <w:r>
        <w:rPr>
          <w:rFonts w:ascii="Times New Roman" w:hAnsi="Times New Roman" w:eastAsia="仿宋" w:cs="Times New Roman"/>
          <w:b/>
          <w:sz w:val="28"/>
          <w:szCs w:val="28"/>
        </w:rPr>
        <w:t>日</w:t>
      </w:r>
      <w:r>
        <w:rPr>
          <w:rFonts w:ascii="Times New Roman" w:hAnsi="Times New Roman" w:eastAsia="仿宋_GB2312" w:cs="Times New Roman"/>
          <w:b/>
          <w:sz w:val="28"/>
          <w:szCs w:val="28"/>
        </w:rPr>
        <w:t>至</w:t>
      </w:r>
      <w:r>
        <w:rPr>
          <w:rFonts w:ascii="Times New Roman" w:hAnsi="Times New Roman" w:eastAsia="仿宋" w:cs="Times New Roman"/>
          <w:b/>
          <w:sz w:val="28"/>
          <w:szCs w:val="28"/>
        </w:rPr>
        <w:t>2026年</w:t>
      </w:r>
      <w:r>
        <w:rPr>
          <w:rFonts w:hint="eastAsia" w:ascii="Times New Roman" w:hAnsi="Times New Roman" w:eastAsia="仿宋" w:cs="Times New Roman"/>
          <w:b/>
          <w:sz w:val="28"/>
          <w:szCs w:val="28"/>
        </w:rPr>
        <w:t>7</w:t>
      </w:r>
      <w:r>
        <w:rPr>
          <w:rFonts w:ascii="Times New Roman" w:hAnsi="Times New Roman" w:eastAsia="仿宋" w:cs="Times New Roman"/>
          <w:b/>
          <w:sz w:val="28"/>
          <w:szCs w:val="28"/>
        </w:rPr>
        <w:t>月15日）</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根据“业会专审[202</w:t>
      </w:r>
      <w:r>
        <w:rPr>
          <w:rFonts w:hint="eastAsia" w:ascii="Times New Roman" w:hAnsi="Times New Roman" w:eastAsia="仿宋" w:cs="Times New Roman"/>
          <w:sz w:val="28"/>
          <w:szCs w:val="28"/>
        </w:rPr>
        <w:t>5</w:t>
      </w:r>
      <w:r>
        <w:rPr>
          <w:rFonts w:ascii="Times New Roman" w:hAnsi="Times New Roman" w:eastAsia="仿宋" w:cs="Times New Roman"/>
          <w:sz w:val="28"/>
          <w:szCs w:val="28"/>
        </w:rPr>
        <w:t>]</w:t>
      </w:r>
      <w:r>
        <w:rPr>
          <w:rFonts w:hint="eastAsia" w:ascii="Times New Roman" w:hAnsi="Times New Roman" w:eastAsia="仿宋" w:cs="Times New Roman"/>
          <w:sz w:val="28"/>
          <w:szCs w:val="28"/>
        </w:rPr>
        <w:t>361</w:t>
      </w:r>
      <w:r>
        <w:rPr>
          <w:rFonts w:ascii="Times New Roman" w:hAnsi="Times New Roman" w:eastAsia="仿宋" w:cs="Times New Roman"/>
          <w:sz w:val="28"/>
          <w:szCs w:val="28"/>
        </w:rPr>
        <w:t>号”财务管理情况评估报告并结合本次2025年7月16日至2026年1月15日财务管理评估情况，自</w:t>
      </w:r>
      <w:bookmarkStart w:id="18" w:name="OLE_LINK40"/>
      <w:bookmarkStart w:id="19" w:name="OLE_LINK39"/>
      <w:r>
        <w:rPr>
          <w:rFonts w:ascii="Times New Roman" w:hAnsi="Times New Roman" w:eastAsia="仿宋" w:cs="Times New Roman"/>
          <w:sz w:val="28"/>
          <w:szCs w:val="28"/>
        </w:rPr>
        <w:t>20</w:t>
      </w:r>
      <w:r>
        <w:rPr>
          <w:rFonts w:hint="eastAsia" w:ascii="Times New Roman" w:hAnsi="Times New Roman" w:eastAsia="仿宋" w:cs="Times New Roman"/>
          <w:sz w:val="28"/>
          <w:szCs w:val="28"/>
        </w:rPr>
        <w:t>16</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7</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16</w:t>
      </w:r>
      <w:r>
        <w:rPr>
          <w:rFonts w:ascii="Times New Roman" w:hAnsi="Times New Roman" w:eastAsia="仿宋" w:cs="Times New Roman"/>
          <w:sz w:val="28"/>
          <w:szCs w:val="28"/>
        </w:rPr>
        <w:t>日</w:t>
      </w:r>
      <w:bookmarkEnd w:id="18"/>
      <w:bookmarkEnd w:id="19"/>
      <w:r>
        <w:rPr>
          <w:rFonts w:ascii="Times New Roman" w:hAnsi="Times New Roman" w:eastAsia="仿宋" w:cs="Times New Roman"/>
          <w:sz w:val="28"/>
          <w:szCs w:val="28"/>
        </w:rPr>
        <w:t>至2026年1月15日止，钟村街社工站服务经费累计结余</w:t>
      </w:r>
      <w:r>
        <w:rPr>
          <w:rFonts w:hint="eastAsia" w:ascii="Times New Roman" w:hAnsi="Times New Roman" w:eastAsia="仿宋" w:cs="Times New Roman"/>
          <w:sz w:val="28"/>
          <w:szCs w:val="28"/>
        </w:rPr>
        <w:t>-207,363.40</w:t>
      </w:r>
      <w:r>
        <w:rPr>
          <w:rFonts w:ascii="Times New Roman" w:hAnsi="Times New Roman" w:eastAsia="仿宋" w:cs="Times New Roman"/>
          <w:sz w:val="28"/>
          <w:szCs w:val="28"/>
        </w:rPr>
        <w:t>元。具体每期结余情况如下：</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1 \* GB4</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㈠</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t>钟村街社工站20</w:t>
      </w:r>
      <w:r>
        <w:rPr>
          <w:rFonts w:hint="eastAsia" w:ascii="Times New Roman" w:hAnsi="Times New Roman" w:eastAsia="仿宋" w:cs="Times New Roman"/>
          <w:sz w:val="28"/>
          <w:szCs w:val="28"/>
        </w:rPr>
        <w:t>16</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7</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16</w:t>
      </w:r>
      <w:r>
        <w:rPr>
          <w:rFonts w:ascii="Times New Roman" w:hAnsi="Times New Roman" w:eastAsia="仿宋" w:cs="Times New Roman"/>
          <w:sz w:val="28"/>
          <w:szCs w:val="28"/>
        </w:rPr>
        <w:t>日至20</w:t>
      </w:r>
      <w:r>
        <w:rPr>
          <w:rFonts w:hint="eastAsia" w:ascii="Times New Roman" w:hAnsi="Times New Roman" w:eastAsia="仿宋" w:cs="Times New Roman"/>
          <w:sz w:val="28"/>
          <w:szCs w:val="28"/>
        </w:rPr>
        <w:t>19</w:t>
      </w:r>
      <w:r>
        <w:rPr>
          <w:rFonts w:ascii="Times New Roman" w:hAnsi="Times New Roman" w:eastAsia="仿宋" w:cs="Times New Roman"/>
          <w:sz w:val="28"/>
          <w:szCs w:val="28"/>
        </w:rPr>
        <w:t>年</w:t>
      </w:r>
      <w:r>
        <w:rPr>
          <w:rFonts w:hint="eastAsia" w:ascii="Times New Roman" w:hAnsi="Times New Roman" w:eastAsia="仿宋" w:cs="Times New Roman"/>
          <w:sz w:val="28"/>
          <w:szCs w:val="28"/>
        </w:rPr>
        <w:t>7</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15</w:t>
      </w:r>
      <w:r>
        <w:rPr>
          <w:rFonts w:ascii="Times New Roman" w:hAnsi="Times New Roman" w:eastAsia="仿宋" w:cs="Times New Roman"/>
          <w:sz w:val="28"/>
          <w:szCs w:val="28"/>
        </w:rPr>
        <w:t>日</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年服务周期结束，结余资金</w:t>
      </w:r>
      <w:r>
        <w:rPr>
          <w:rFonts w:hint="eastAsia" w:ascii="Times New Roman" w:hAnsi="Times New Roman" w:eastAsia="仿宋" w:cs="Times New Roman"/>
          <w:sz w:val="28"/>
          <w:szCs w:val="28"/>
        </w:rPr>
        <w:t>46,163.76</w:t>
      </w:r>
      <w:r>
        <w:rPr>
          <w:rFonts w:ascii="Times New Roman" w:hAnsi="Times New Roman" w:eastAsia="仿宋" w:cs="Times New Roman"/>
          <w:sz w:val="28"/>
          <w:szCs w:val="28"/>
        </w:rPr>
        <w:t>元。</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㈡钟村街社工站20</w:t>
      </w:r>
      <w:r>
        <w:rPr>
          <w:rFonts w:hint="eastAsia" w:ascii="Times New Roman" w:hAnsi="Times New Roman" w:eastAsia="仿宋" w:cs="Times New Roman"/>
          <w:sz w:val="28"/>
          <w:szCs w:val="28"/>
        </w:rPr>
        <w:t>19</w:t>
      </w:r>
      <w:r>
        <w:rPr>
          <w:rFonts w:ascii="Times New Roman" w:hAnsi="Times New Roman" w:eastAsia="仿宋" w:cs="Times New Roman"/>
          <w:sz w:val="28"/>
          <w:szCs w:val="28"/>
        </w:rPr>
        <w:t>年7月16日至202</w:t>
      </w:r>
      <w:r>
        <w:rPr>
          <w:rFonts w:hint="eastAsia" w:ascii="Times New Roman" w:hAnsi="Times New Roman" w:eastAsia="仿宋" w:cs="Times New Roman"/>
          <w:sz w:val="28"/>
          <w:szCs w:val="28"/>
        </w:rPr>
        <w:t>4</w:t>
      </w:r>
      <w:r>
        <w:rPr>
          <w:rFonts w:ascii="Times New Roman" w:hAnsi="Times New Roman" w:eastAsia="仿宋" w:cs="Times New Roman"/>
          <w:sz w:val="28"/>
          <w:szCs w:val="28"/>
        </w:rPr>
        <w:t>年7月15日五年服务周期结束，结余资金313</w:t>
      </w:r>
      <w:r>
        <w:rPr>
          <w:rFonts w:hint="eastAsia" w:ascii="Times New Roman" w:hAnsi="Times New Roman" w:eastAsia="仿宋" w:cs="Times New Roman"/>
          <w:sz w:val="28"/>
          <w:szCs w:val="28"/>
        </w:rPr>
        <w:t>,</w:t>
      </w:r>
      <w:r>
        <w:rPr>
          <w:rFonts w:ascii="Times New Roman" w:hAnsi="Times New Roman" w:eastAsia="仿宋" w:cs="Times New Roman"/>
          <w:sz w:val="28"/>
          <w:szCs w:val="28"/>
        </w:rPr>
        <w:t>227.64元。</w:t>
      </w:r>
    </w:p>
    <w:p>
      <w:pPr>
        <w:spacing w:line="610" w:lineRule="exact"/>
        <w:ind w:firstLine="560" w:firstLineChars="200"/>
        <w:rPr>
          <w:rFonts w:ascii="Times New Roman" w:hAnsi="Times New Roman" w:eastAsia="仿宋" w:cs="Times New Roman"/>
          <w:sz w:val="28"/>
          <w:szCs w:val="28"/>
        </w:rPr>
      </w:pPr>
      <w:bookmarkStart w:id="20" w:name="OLE_LINK44"/>
      <w:r>
        <w:rPr>
          <w:rFonts w:ascii="Times New Roman" w:hAnsi="Times New Roman" w:eastAsia="仿宋" w:cs="Times New Roman"/>
          <w:sz w:val="28"/>
          <w:szCs w:val="28"/>
        </w:rPr>
        <w:fldChar w:fldCharType="begin"/>
      </w:r>
      <w:r>
        <w:rPr>
          <w:rFonts w:ascii="Times New Roman" w:hAnsi="Times New Roman" w:eastAsia="仿宋" w:cs="Times New Roman"/>
          <w:sz w:val="28"/>
          <w:szCs w:val="28"/>
        </w:rPr>
        <w:instrText xml:space="preserve"> </w:instrText>
      </w:r>
      <w:r>
        <w:rPr>
          <w:rFonts w:hint="eastAsia" w:ascii="Times New Roman" w:hAnsi="Times New Roman" w:eastAsia="仿宋" w:cs="Times New Roman"/>
          <w:sz w:val="28"/>
          <w:szCs w:val="28"/>
        </w:rPr>
        <w:instrText xml:space="preserve">= 3 \* GB4</w:instrText>
      </w:r>
      <w:r>
        <w:rPr>
          <w:rFonts w:ascii="Times New Roman" w:hAnsi="Times New Roman" w:eastAsia="仿宋" w:cs="Times New Roman"/>
          <w:sz w:val="28"/>
          <w:szCs w:val="28"/>
        </w:rPr>
        <w:instrText xml:space="preserve"> </w:instrText>
      </w:r>
      <w:r>
        <w:rPr>
          <w:rFonts w:ascii="Times New Roman" w:hAnsi="Times New Roman" w:eastAsia="仿宋" w:cs="Times New Roman"/>
          <w:sz w:val="28"/>
          <w:szCs w:val="28"/>
        </w:rPr>
        <w:fldChar w:fldCharType="separate"/>
      </w:r>
      <w:r>
        <w:rPr>
          <w:rFonts w:hint="eastAsia" w:ascii="Times New Roman" w:hAnsi="Times New Roman" w:eastAsia="仿宋" w:cs="Times New Roman"/>
          <w:sz w:val="28"/>
          <w:szCs w:val="28"/>
        </w:rPr>
        <w:t>㈢</w:t>
      </w:r>
      <w:r>
        <w:rPr>
          <w:rFonts w:ascii="Times New Roman" w:hAnsi="Times New Roman" w:eastAsia="仿宋" w:cs="Times New Roman"/>
          <w:sz w:val="28"/>
          <w:szCs w:val="28"/>
        </w:rPr>
        <w:fldChar w:fldCharType="end"/>
      </w:r>
      <w:r>
        <w:rPr>
          <w:rFonts w:ascii="Times New Roman" w:hAnsi="Times New Roman" w:eastAsia="仿宋" w:cs="Times New Roman"/>
          <w:sz w:val="28"/>
          <w:szCs w:val="28"/>
        </w:rPr>
        <w:t>20</w:t>
      </w:r>
      <w:r>
        <w:rPr>
          <w:rFonts w:hint="eastAsia" w:ascii="Times New Roman" w:hAnsi="Times New Roman" w:eastAsia="仿宋" w:cs="Times New Roman"/>
          <w:sz w:val="28"/>
          <w:szCs w:val="28"/>
        </w:rPr>
        <w:t>24</w:t>
      </w:r>
      <w:r>
        <w:rPr>
          <w:rFonts w:ascii="Times New Roman" w:hAnsi="Times New Roman" w:eastAsia="仿宋" w:cs="Times New Roman"/>
          <w:sz w:val="28"/>
          <w:szCs w:val="28"/>
        </w:rPr>
        <w:t>年7月16日至202</w:t>
      </w:r>
      <w:r>
        <w:rPr>
          <w:rFonts w:hint="eastAsia" w:ascii="Times New Roman" w:hAnsi="Times New Roman" w:eastAsia="仿宋" w:cs="Times New Roman"/>
          <w:sz w:val="28"/>
          <w:szCs w:val="28"/>
        </w:rPr>
        <w:t>7</w:t>
      </w:r>
      <w:r>
        <w:rPr>
          <w:rFonts w:ascii="Times New Roman" w:hAnsi="Times New Roman" w:eastAsia="仿宋" w:cs="Times New Roman"/>
          <w:sz w:val="28"/>
          <w:szCs w:val="28"/>
        </w:rPr>
        <w:t>年7月15日</w:t>
      </w:r>
      <w:bookmarkEnd w:id="20"/>
      <w:r>
        <w:rPr>
          <w:rFonts w:ascii="Times New Roman" w:hAnsi="Times New Roman" w:eastAsia="仿宋" w:cs="Times New Roman"/>
          <w:sz w:val="28"/>
          <w:szCs w:val="28"/>
        </w:rPr>
        <w:t>为钟村街社工站的</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年服务周期，截</w:t>
      </w:r>
      <w:r>
        <w:rPr>
          <w:rFonts w:hint="eastAsia" w:ascii="Times New Roman" w:hAnsi="Times New Roman" w:eastAsia="仿宋" w:cs="Times New Roman"/>
          <w:sz w:val="28"/>
          <w:szCs w:val="28"/>
        </w:rPr>
        <w:t>至</w:t>
      </w:r>
      <w:r>
        <w:rPr>
          <w:rFonts w:ascii="Times New Roman" w:hAnsi="Times New Roman" w:eastAsia="仿宋" w:cs="Times New Roman"/>
          <w:sz w:val="28"/>
          <w:szCs w:val="28"/>
        </w:rPr>
        <w:t>2026年1月15日结余资金-566</w:t>
      </w:r>
      <w:r>
        <w:rPr>
          <w:rFonts w:hint="eastAsia" w:ascii="Times New Roman" w:hAnsi="Times New Roman" w:eastAsia="仿宋" w:cs="Times New Roman"/>
          <w:sz w:val="28"/>
          <w:szCs w:val="28"/>
        </w:rPr>
        <w:t>,</w:t>
      </w:r>
      <w:r>
        <w:rPr>
          <w:rFonts w:ascii="Times New Roman" w:hAnsi="Times New Roman" w:eastAsia="仿宋" w:cs="Times New Roman"/>
          <w:sz w:val="28"/>
          <w:szCs w:val="28"/>
        </w:rPr>
        <w:t>754.8</w:t>
      </w:r>
      <w:r>
        <w:rPr>
          <w:rFonts w:hint="eastAsia" w:ascii="Times New Roman" w:hAnsi="Times New Roman" w:eastAsia="仿宋" w:cs="Times New Roman"/>
          <w:sz w:val="28"/>
          <w:szCs w:val="28"/>
        </w:rPr>
        <w:t>0</w:t>
      </w:r>
      <w:r>
        <w:rPr>
          <w:rFonts w:ascii="Times New Roman" w:hAnsi="Times New Roman" w:eastAsia="仿宋" w:cs="Times New Roman"/>
          <w:sz w:val="28"/>
          <w:szCs w:val="28"/>
        </w:rPr>
        <w:t>元，其中：</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第一年协议期2024年7月16日至2025年7月15日，结余资金</w:t>
      </w:r>
      <w:bookmarkStart w:id="21" w:name="OLE_LINK3"/>
      <w:bookmarkStart w:id="22" w:name="OLE_LINK4"/>
      <w:r>
        <w:rPr>
          <w:rFonts w:hint="eastAsia" w:ascii="Times New Roman" w:hAnsi="Times New Roman" w:eastAsia="仿宋" w:cs="Times New Roman"/>
          <w:sz w:val="28"/>
          <w:szCs w:val="28"/>
        </w:rPr>
        <w:t>34,504.45</w:t>
      </w:r>
      <w:r>
        <w:rPr>
          <w:rFonts w:ascii="Times New Roman" w:hAnsi="Times New Roman" w:eastAsia="仿宋" w:cs="Times New Roman"/>
          <w:sz w:val="28"/>
          <w:szCs w:val="28"/>
        </w:rPr>
        <w:t xml:space="preserve"> </w:t>
      </w:r>
      <w:r>
        <w:rPr>
          <w:rFonts w:hint="eastAsia" w:ascii="Times New Roman" w:hAnsi="Times New Roman" w:eastAsia="仿宋" w:cs="Times New Roman"/>
          <w:sz w:val="28"/>
          <w:szCs w:val="28"/>
        </w:rPr>
        <w:t>元</w:t>
      </w:r>
      <w:bookmarkEnd w:id="21"/>
      <w:bookmarkEnd w:id="22"/>
      <w:r>
        <w:rPr>
          <w:rFonts w:hint="eastAsia" w:ascii="Times New Roman" w:hAnsi="Times New Roman" w:eastAsia="仿宋" w:cs="Times New Roman"/>
          <w:sz w:val="28"/>
          <w:szCs w:val="28"/>
        </w:rPr>
        <w:t>(含上期未拨入的98</w:t>
      </w:r>
      <w:r>
        <w:rPr>
          <w:rFonts w:ascii="Times New Roman" w:hAnsi="Times New Roman" w:eastAsia="仿宋" w:cs="Times New Roman"/>
          <w:sz w:val="28"/>
          <w:szCs w:val="28"/>
        </w:rPr>
        <w:t>,</w:t>
      </w:r>
      <w:r>
        <w:rPr>
          <w:rFonts w:hint="eastAsia" w:ascii="Times New Roman" w:hAnsi="Times New Roman" w:eastAsia="仿宋" w:cs="Times New Roman"/>
          <w:sz w:val="28"/>
          <w:szCs w:val="28"/>
        </w:rPr>
        <w:t>200.00元)。</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第二年协议期2025年7月16日至2026年1月15日，截至</w:t>
      </w:r>
      <w:r>
        <w:rPr>
          <w:rFonts w:ascii="Times New Roman" w:hAnsi="Times New Roman" w:eastAsia="仿宋" w:cs="Times New Roman"/>
          <w:sz w:val="28"/>
          <w:szCs w:val="28"/>
        </w:rPr>
        <w:t>2026年1月15日</w:t>
      </w:r>
      <w:r>
        <w:rPr>
          <w:rFonts w:hint="eastAsia" w:ascii="Times New Roman" w:hAnsi="Times New Roman" w:eastAsia="仿宋" w:cs="Times New Roman"/>
          <w:sz w:val="28"/>
          <w:szCs w:val="28"/>
        </w:rPr>
        <w:t>结余资金-601,259.25元。</w:t>
      </w:r>
    </w:p>
    <w:p>
      <w:pPr>
        <w:spacing w:line="610" w:lineRule="exact"/>
        <w:ind w:right="-6" w:rightChars="-3"/>
        <w:rPr>
          <w:rFonts w:ascii="仿宋" w:hAnsi="仿宋" w:eastAsia="仿宋" w:cs="Times New Roman"/>
          <w:b/>
          <w:sz w:val="28"/>
          <w:szCs w:val="28"/>
        </w:rPr>
      </w:pPr>
      <w:r>
        <w:rPr>
          <w:rFonts w:hint="eastAsia" w:ascii="仿宋" w:hAnsi="仿宋" w:eastAsia="仿宋" w:cs="Times New Roman"/>
          <w:b/>
          <w:sz w:val="28"/>
          <w:szCs w:val="28"/>
        </w:rPr>
        <w:t>九、前期问题整改情况</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上期评估未提及需整改问题， 本期无需跟进整改。</w:t>
      </w:r>
    </w:p>
    <w:p>
      <w:pPr>
        <w:spacing w:line="620" w:lineRule="exact"/>
        <w:ind w:right="-6" w:rightChars="-3"/>
        <w:rPr>
          <w:rFonts w:ascii="仿宋" w:hAnsi="仿宋" w:eastAsia="仿宋" w:cs="Times New Roman"/>
          <w:b/>
          <w:sz w:val="28"/>
          <w:szCs w:val="28"/>
        </w:rPr>
      </w:pPr>
      <w:r>
        <w:rPr>
          <w:rFonts w:hint="eastAsia" w:ascii="仿宋" w:hAnsi="仿宋" w:eastAsia="仿宋" w:cs="Times New Roman"/>
          <w:b/>
          <w:sz w:val="28"/>
          <w:szCs w:val="28"/>
        </w:rPr>
        <w:t>十、</w:t>
      </w:r>
      <w:r>
        <w:rPr>
          <w:rFonts w:ascii="仿宋" w:hAnsi="仿宋" w:eastAsia="仿宋" w:cs="Times New Roman"/>
          <w:b/>
          <w:sz w:val="28"/>
          <w:szCs w:val="28"/>
        </w:rPr>
        <w:t>评估结论</w:t>
      </w:r>
    </w:p>
    <w:p>
      <w:pPr>
        <w:spacing w:line="59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经上述审核</w:t>
      </w:r>
      <w:r>
        <w:rPr>
          <w:rFonts w:hint="eastAsia" w:ascii="Times New Roman" w:hAnsi="Times New Roman" w:eastAsia="仿宋" w:cs="Times New Roman"/>
          <w:sz w:val="28"/>
          <w:szCs w:val="28"/>
        </w:rPr>
        <w:t>评估</w:t>
      </w:r>
      <w:r>
        <w:rPr>
          <w:rFonts w:ascii="Times New Roman" w:hAnsi="Times New Roman" w:eastAsia="仿宋" w:cs="Times New Roman"/>
          <w:sz w:val="28"/>
          <w:szCs w:val="28"/>
        </w:rPr>
        <w:t>，我们认为</w:t>
      </w:r>
      <w:r>
        <w:rPr>
          <w:rFonts w:hint="eastAsia" w:ascii="Times New Roman" w:hAnsi="Times New Roman" w:eastAsia="仿宋" w:cs="Times New Roman"/>
          <w:sz w:val="28"/>
          <w:szCs w:val="28"/>
        </w:rPr>
        <w:t>广州市番禺区钟村街社工服务站</w:t>
      </w:r>
      <w:r>
        <w:rPr>
          <w:rFonts w:ascii="Times New Roman" w:hAnsi="Times New Roman" w:eastAsia="仿宋" w:cs="Times New Roman"/>
          <w:sz w:val="28"/>
          <w:szCs w:val="28"/>
        </w:rPr>
        <w:t>本次财务评估等级为：合格。</w:t>
      </w:r>
    </w:p>
    <w:p>
      <w:pPr>
        <w:spacing w:line="620" w:lineRule="exact"/>
        <w:ind w:right="-6" w:rightChars="-3"/>
        <w:rPr>
          <w:rFonts w:ascii="仿宋" w:hAnsi="仿宋" w:eastAsia="仿宋" w:cs="Times New Roman"/>
          <w:b/>
          <w:sz w:val="28"/>
          <w:szCs w:val="28"/>
        </w:rPr>
      </w:pPr>
      <w:r>
        <w:rPr>
          <w:rFonts w:hint="eastAsia" w:ascii="仿宋" w:hAnsi="仿宋" w:eastAsia="仿宋" w:cs="Times New Roman"/>
          <w:b/>
          <w:sz w:val="28"/>
          <w:szCs w:val="28"/>
        </w:rPr>
        <w:t>十一</w:t>
      </w:r>
      <w:r>
        <w:rPr>
          <w:rFonts w:ascii="仿宋" w:hAnsi="仿宋" w:eastAsia="仿宋" w:cs="Times New Roman"/>
          <w:b/>
          <w:sz w:val="28"/>
          <w:szCs w:val="28"/>
        </w:rPr>
        <w:t>、其他事项</w:t>
      </w:r>
    </w:p>
    <w:p>
      <w:pPr>
        <w:spacing w:line="61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本报告仅供本次委托目的，即对钟村街社工站财务评估使用，本事务所及本注册会计师不对运用本报告于其他目的造成的经济后果负责</w:t>
      </w:r>
      <w:r>
        <w:rPr>
          <w:rFonts w:ascii="Times New Roman" w:hAnsi="Times New Roman" w:eastAsia="仿宋" w:cs="Times New Roman"/>
          <w:color w:val="000000" w:themeColor="text1"/>
          <w:sz w:val="28"/>
          <w:szCs w:val="28"/>
          <w14:textFill>
            <w14:solidFill>
              <w14:schemeClr w14:val="tx1"/>
            </w14:solidFill>
          </w14:textFill>
        </w:rPr>
        <w:t>。</w:t>
      </w:r>
    </w:p>
    <w:p>
      <w:pPr>
        <w:spacing w:line="560" w:lineRule="exact"/>
        <w:ind w:right="-6"/>
        <w:rPr>
          <w:rFonts w:eastAsia="仿宋"/>
          <w:b/>
          <w:sz w:val="28"/>
          <w:szCs w:val="28"/>
        </w:rPr>
      </w:pPr>
      <w:r>
        <w:rPr>
          <w:rFonts w:hint="eastAsia" w:eastAsia="仿宋"/>
          <w:b/>
          <w:sz w:val="28"/>
          <w:szCs w:val="28"/>
        </w:rPr>
        <w:t>【此页以下无正文】</w:t>
      </w:r>
    </w:p>
    <w:p>
      <w:pPr>
        <w:spacing w:line="620" w:lineRule="exact"/>
        <w:rPr>
          <w:rFonts w:eastAsia="仿宋_GB2312"/>
          <w:b/>
          <w:sz w:val="28"/>
          <w:szCs w:val="28"/>
        </w:rPr>
      </w:pPr>
      <w:r>
        <w:rPr>
          <w:rFonts w:eastAsia="仿宋_GB2312"/>
          <w:b/>
          <w:sz w:val="28"/>
          <w:szCs w:val="28"/>
        </w:rPr>
        <w:t>附件：</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1、番禺区钟村街社工服务站项目经费收支情况表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主表</w:t>
      </w:r>
      <w:r>
        <w:rPr>
          <w:rFonts w:ascii="Times New Roman" w:hAnsi="Times New Roman" w:eastAsia="仿宋" w:cs="Times New Roman"/>
          <w:sz w:val="28"/>
          <w:szCs w:val="28"/>
        </w:rPr>
        <w:t>一至三）</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2、番禺区钟村街社工服务站项目人员工资明细表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附表</w:t>
      </w:r>
      <w:r>
        <w:rPr>
          <w:rFonts w:ascii="Times New Roman" w:hAnsi="Times New Roman" w:eastAsia="仿宋" w:cs="Times New Roman"/>
          <w:sz w:val="28"/>
          <w:szCs w:val="28"/>
        </w:rPr>
        <w:t>一）</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ascii="Times New Roman" w:hAnsi="Times New Roman" w:eastAsia="仿宋" w:cs="Times New Roman"/>
          <w:sz w:val="28"/>
          <w:szCs w:val="28"/>
        </w:rPr>
        <w:t>、</w:t>
      </w:r>
      <w:r>
        <w:rPr>
          <w:rFonts w:hint="eastAsia" w:ascii="Times New Roman" w:hAnsi="Times New Roman" w:eastAsia="仿宋" w:cs="Times New Roman"/>
          <w:sz w:val="28"/>
          <w:szCs w:val="28"/>
        </w:rPr>
        <w:t>番禺区钟村街社工服务站项目固定资产明细表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附表二</w:t>
      </w:r>
      <w:r>
        <w:rPr>
          <w:rFonts w:ascii="Times New Roman" w:hAnsi="Times New Roman" w:eastAsia="仿宋" w:cs="Times New Roman"/>
          <w:sz w:val="28"/>
          <w:szCs w:val="28"/>
        </w:rPr>
        <w:t>）</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4</w:t>
      </w:r>
      <w:r>
        <w:rPr>
          <w:rFonts w:ascii="Times New Roman" w:hAnsi="Times New Roman" w:eastAsia="仿宋" w:cs="Times New Roman"/>
          <w:sz w:val="28"/>
          <w:szCs w:val="28"/>
        </w:rPr>
        <w:t>、</w:t>
      </w:r>
      <w:r>
        <w:rPr>
          <w:rFonts w:hint="eastAsia" w:ascii="Times New Roman" w:hAnsi="Times New Roman" w:eastAsia="仿宋" w:cs="Times New Roman"/>
          <w:sz w:val="28"/>
          <w:szCs w:val="28"/>
        </w:rPr>
        <w:t>番禺区钟村街社工服务站机构费用分摊表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附表三</w:t>
      </w:r>
      <w:r>
        <w:rPr>
          <w:rFonts w:ascii="Times New Roman" w:hAnsi="Times New Roman" w:eastAsia="仿宋" w:cs="Times New Roman"/>
          <w:sz w:val="28"/>
          <w:szCs w:val="28"/>
        </w:rPr>
        <w:t>）</w:t>
      </w:r>
    </w:p>
    <w:p>
      <w:pPr>
        <w:spacing w:line="61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5</w:t>
      </w:r>
      <w:r>
        <w:rPr>
          <w:rFonts w:ascii="Times New Roman" w:hAnsi="Times New Roman" w:eastAsia="仿宋" w:cs="Times New Roman"/>
          <w:sz w:val="28"/>
          <w:szCs w:val="28"/>
        </w:rPr>
        <w:t>、</w:t>
      </w:r>
      <w:r>
        <w:rPr>
          <w:rFonts w:hint="eastAsia" w:ascii="Times New Roman" w:hAnsi="Times New Roman" w:eastAsia="仿宋" w:cs="Times New Roman"/>
          <w:sz w:val="28"/>
          <w:szCs w:val="28"/>
        </w:rPr>
        <w:t>番禺区钟村街社工服务站机构总部人员工资明细表</w:t>
      </w:r>
      <w:r>
        <w:rPr>
          <w:rFonts w:ascii="Times New Roman" w:hAnsi="Times New Roman" w:eastAsia="仿宋" w:cs="Times New Roman"/>
          <w:sz w:val="28"/>
          <w:szCs w:val="28"/>
        </w:rPr>
        <w:t>（</w:t>
      </w:r>
      <w:r>
        <w:rPr>
          <w:rFonts w:hint="eastAsia" w:ascii="Times New Roman" w:hAnsi="Times New Roman" w:eastAsia="仿宋" w:cs="Times New Roman"/>
          <w:sz w:val="28"/>
          <w:szCs w:val="28"/>
        </w:rPr>
        <w:t>附表四</w:t>
      </w:r>
      <w:r>
        <w:rPr>
          <w:rFonts w:ascii="Times New Roman" w:hAnsi="Times New Roman" w:eastAsia="仿宋" w:cs="Times New Roman"/>
          <w:sz w:val="28"/>
          <w:szCs w:val="28"/>
        </w:rPr>
        <w:t>）</w:t>
      </w:r>
    </w:p>
    <w:p>
      <w:pPr>
        <w:spacing w:line="610" w:lineRule="exact"/>
        <w:ind w:firstLine="560" w:firstLineChars="200"/>
        <w:rPr>
          <w:rFonts w:ascii="Times New Roman" w:hAnsi="Times New Roman" w:eastAsia="仿宋" w:cs="Times New Roman"/>
          <w:sz w:val="28"/>
          <w:szCs w:val="28"/>
        </w:rPr>
      </w:pPr>
    </w:p>
    <w:p>
      <w:pPr>
        <w:spacing w:line="610" w:lineRule="exact"/>
        <w:ind w:firstLine="560" w:firstLineChars="200"/>
        <w:rPr>
          <w:rFonts w:ascii="Times New Roman" w:hAnsi="Times New Roman" w:eastAsia="仿宋" w:cs="Times New Roman"/>
          <w:sz w:val="28"/>
          <w:szCs w:val="28"/>
        </w:rPr>
      </w:pPr>
    </w:p>
    <w:p>
      <w:pPr>
        <w:spacing w:line="610" w:lineRule="exact"/>
        <w:ind w:firstLine="560" w:firstLineChars="200"/>
        <w:rPr>
          <w:rFonts w:ascii="Times New Roman" w:hAnsi="Times New Roman" w:eastAsia="仿宋" w:cs="Times New Roman"/>
          <w:sz w:val="28"/>
          <w:szCs w:val="28"/>
        </w:rPr>
      </w:pPr>
    </w:p>
    <w:p>
      <w:pPr>
        <w:spacing w:line="610" w:lineRule="exact"/>
        <w:ind w:firstLine="560" w:firstLineChars="200"/>
        <w:rPr>
          <w:rFonts w:ascii="Times New Roman" w:hAnsi="Times New Roman" w:eastAsia="仿宋"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610" w:lineRule="exact"/>
              <w:rPr>
                <w:rFonts w:ascii="Times New Roman" w:hAnsi="Times New Roman" w:eastAsia="仿宋" w:cs="Times New Roman"/>
                <w:b/>
                <w:sz w:val="28"/>
                <w:szCs w:val="28"/>
              </w:rPr>
            </w:pPr>
            <w:r>
              <w:rPr>
                <w:rFonts w:hint="eastAsia" w:ascii="Times New Roman" w:hAnsi="Times New Roman" w:eastAsia="仿宋" w:cs="Times New Roman"/>
                <w:b/>
                <w:sz w:val="28"/>
                <w:szCs w:val="28"/>
              </w:rPr>
              <w:t>广东金五羊会计师事务所有限公司</w:t>
            </w:r>
          </w:p>
          <w:p>
            <w:pPr>
              <w:spacing w:line="610" w:lineRule="exact"/>
              <w:ind w:firstLine="562" w:firstLineChars="200"/>
              <w:rPr>
                <w:rFonts w:ascii="Times New Roman" w:hAnsi="Times New Roman" w:eastAsia="仿宋" w:cs="Times New Roman"/>
                <w:b/>
                <w:sz w:val="28"/>
                <w:szCs w:val="28"/>
              </w:rPr>
            </w:pPr>
          </w:p>
          <w:p>
            <w:pPr>
              <w:spacing w:line="610" w:lineRule="exact"/>
              <w:ind w:firstLine="1405" w:firstLineChars="500"/>
              <w:rPr>
                <w:rFonts w:ascii="Times New Roman" w:hAnsi="Times New Roman" w:eastAsia="仿宋" w:cs="Times New Roman"/>
                <w:b/>
                <w:bCs/>
                <w:i/>
                <w:iCs/>
                <w:sz w:val="28"/>
                <w:szCs w:val="28"/>
              </w:rPr>
            </w:pPr>
            <w:r>
              <w:rPr>
                <w:rFonts w:hint="eastAsia" w:ascii="Times New Roman" w:hAnsi="Times New Roman" w:eastAsia="仿宋" w:cs="Times New Roman"/>
                <w:b/>
                <w:sz w:val="28"/>
                <w:szCs w:val="28"/>
              </w:rPr>
              <w:t>中国  广州</w:t>
            </w:r>
          </w:p>
        </w:tc>
        <w:tc>
          <w:tcPr>
            <w:tcW w:w="246" w:type="dxa"/>
          </w:tcPr>
          <w:p>
            <w:pPr>
              <w:spacing w:line="610" w:lineRule="exact"/>
              <w:ind w:firstLine="562" w:firstLineChars="200"/>
              <w:rPr>
                <w:rFonts w:ascii="Times New Roman" w:hAnsi="Times New Roman" w:eastAsia="仿宋" w:cs="Times New Roman"/>
                <w:b/>
                <w:sz w:val="28"/>
                <w:szCs w:val="28"/>
              </w:rPr>
            </w:pPr>
          </w:p>
        </w:tc>
        <w:tc>
          <w:tcPr>
            <w:tcW w:w="4618" w:type="dxa"/>
          </w:tcPr>
          <w:p>
            <w:pPr>
              <w:spacing w:line="610" w:lineRule="exact"/>
              <w:rPr>
                <w:rFonts w:ascii="Times New Roman" w:hAnsi="Times New Roman" w:eastAsia="仿宋" w:cs="Times New Roman"/>
                <w:b/>
                <w:sz w:val="28"/>
                <w:szCs w:val="28"/>
              </w:rPr>
            </w:pPr>
            <w:r>
              <w:rPr>
                <w:rFonts w:ascii="Times New Roman" w:hAnsi="Times New Roman" w:eastAsia="仿宋" w:cs="Times New Roman"/>
                <w:b/>
                <w:sz w:val="28"/>
                <w:szCs w:val="28"/>
              </w:rPr>
              <w:t>中国注册会计师：</w:t>
            </w:r>
          </w:p>
          <w:p>
            <w:pPr>
              <w:spacing w:line="610" w:lineRule="exact"/>
              <w:ind w:firstLine="562" w:firstLineChars="200"/>
              <w:rPr>
                <w:rFonts w:ascii="Times New Roman" w:hAnsi="Times New Roman" w:eastAsia="仿宋" w:cs="Times New Roman"/>
                <w:b/>
                <w:sz w:val="28"/>
                <w:szCs w:val="28"/>
              </w:rPr>
            </w:pPr>
          </w:p>
          <w:p>
            <w:pPr>
              <w:spacing w:line="610" w:lineRule="exact"/>
              <w:rPr>
                <w:rFonts w:ascii="Times New Roman" w:hAnsi="Times New Roman" w:eastAsia="仿宋" w:cs="Times New Roman"/>
                <w:b/>
                <w:sz w:val="28"/>
                <w:szCs w:val="28"/>
              </w:rPr>
            </w:pPr>
            <w:r>
              <w:rPr>
                <w:rFonts w:ascii="Times New Roman" w:hAnsi="Times New Roman" w:eastAsia="仿宋" w:cs="Times New Roman"/>
                <w:b/>
                <w:sz w:val="28"/>
                <w:szCs w:val="28"/>
              </w:rPr>
              <w:t>中国注册会计师：</w:t>
            </w:r>
          </w:p>
        </w:tc>
      </w:tr>
    </w:tbl>
    <w:p>
      <w:pPr>
        <w:spacing w:line="610" w:lineRule="exact"/>
        <w:ind w:firstLine="562" w:firstLineChars="200"/>
        <w:rPr>
          <w:rFonts w:ascii="Times New Roman" w:hAnsi="Times New Roman" w:eastAsia="仿宋" w:cs="Times New Roman"/>
          <w:b/>
          <w:sz w:val="28"/>
          <w:szCs w:val="28"/>
        </w:rPr>
      </w:pPr>
    </w:p>
    <w:p>
      <w:pPr>
        <w:spacing w:line="610" w:lineRule="exact"/>
        <w:ind w:right="843" w:firstLine="562" w:firstLineChars="200"/>
        <w:jc w:val="right"/>
        <w:rPr>
          <w:rFonts w:ascii="Times New Roman" w:hAnsi="Times New Roman" w:eastAsia="仿宋" w:cs="Times New Roman"/>
          <w:b/>
          <w:sz w:val="28"/>
          <w:szCs w:val="28"/>
        </w:rPr>
      </w:pPr>
      <w:r>
        <w:rPr>
          <w:rFonts w:hint="eastAsia" w:ascii="Times New Roman" w:hAnsi="Times New Roman" w:eastAsia="仿宋" w:cs="Times New Roman"/>
          <w:b/>
          <w:sz w:val="28"/>
          <w:szCs w:val="28"/>
        </w:rPr>
        <w:t>报告日期：2026年03月10日</w:t>
      </w:r>
    </w:p>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宋体"/>
    <w:panose1 w:val="00000000000000000000"/>
    <w:charset w:val="86"/>
    <w:family w:val="modern"/>
    <w:pitch w:val="default"/>
    <w:sig w:usb0="00000000" w:usb1="00000000" w:usb2="00000010" w:usb3="00000000" w:csb0="00040000" w:csb1="00000000"/>
  </w:font>
  <w:font w:name="楷体">
    <w:altName w:val="宋体"/>
    <w:panose1 w:val="02010609060101010101"/>
    <w:charset w:val="86"/>
    <w:family w:val="modern"/>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8</w:t>
        </w:r>
        <w: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1414B"/>
    <w:rsid w:val="000210A1"/>
    <w:rsid w:val="000222C6"/>
    <w:rsid w:val="000222E6"/>
    <w:rsid w:val="00024603"/>
    <w:rsid w:val="0002755A"/>
    <w:rsid w:val="0003139C"/>
    <w:rsid w:val="000317CE"/>
    <w:rsid w:val="00031BE7"/>
    <w:rsid w:val="00034E28"/>
    <w:rsid w:val="00041B6A"/>
    <w:rsid w:val="000421F8"/>
    <w:rsid w:val="00043872"/>
    <w:rsid w:val="00043C9B"/>
    <w:rsid w:val="0004473F"/>
    <w:rsid w:val="000456F4"/>
    <w:rsid w:val="00051FA3"/>
    <w:rsid w:val="00052C8E"/>
    <w:rsid w:val="00055B05"/>
    <w:rsid w:val="00060203"/>
    <w:rsid w:val="00061411"/>
    <w:rsid w:val="0006463F"/>
    <w:rsid w:val="00064B63"/>
    <w:rsid w:val="00065A6C"/>
    <w:rsid w:val="00066116"/>
    <w:rsid w:val="000667F8"/>
    <w:rsid w:val="0006765E"/>
    <w:rsid w:val="00070663"/>
    <w:rsid w:val="00071FB1"/>
    <w:rsid w:val="000774E4"/>
    <w:rsid w:val="0008007A"/>
    <w:rsid w:val="00086152"/>
    <w:rsid w:val="00087AA3"/>
    <w:rsid w:val="00090625"/>
    <w:rsid w:val="00096E1D"/>
    <w:rsid w:val="00097DB9"/>
    <w:rsid w:val="000A590A"/>
    <w:rsid w:val="000B0008"/>
    <w:rsid w:val="000B294E"/>
    <w:rsid w:val="000B503E"/>
    <w:rsid w:val="000B5517"/>
    <w:rsid w:val="000B62CD"/>
    <w:rsid w:val="000C70EF"/>
    <w:rsid w:val="000C7A2A"/>
    <w:rsid w:val="000D5793"/>
    <w:rsid w:val="000E0E6A"/>
    <w:rsid w:val="000E68BE"/>
    <w:rsid w:val="000F0281"/>
    <w:rsid w:val="000F0440"/>
    <w:rsid w:val="000F17E3"/>
    <w:rsid w:val="00102433"/>
    <w:rsid w:val="00104BEE"/>
    <w:rsid w:val="00107705"/>
    <w:rsid w:val="00110769"/>
    <w:rsid w:val="001112F9"/>
    <w:rsid w:val="001165A3"/>
    <w:rsid w:val="0012230B"/>
    <w:rsid w:val="00122A41"/>
    <w:rsid w:val="00133AC1"/>
    <w:rsid w:val="00133E77"/>
    <w:rsid w:val="001370D5"/>
    <w:rsid w:val="00141B82"/>
    <w:rsid w:val="00141CCD"/>
    <w:rsid w:val="001512B9"/>
    <w:rsid w:val="001514FA"/>
    <w:rsid w:val="001524AE"/>
    <w:rsid w:val="0015779A"/>
    <w:rsid w:val="0016124C"/>
    <w:rsid w:val="00162678"/>
    <w:rsid w:val="00164A86"/>
    <w:rsid w:val="0016508D"/>
    <w:rsid w:val="00171040"/>
    <w:rsid w:val="00172280"/>
    <w:rsid w:val="00172D46"/>
    <w:rsid w:val="0017382F"/>
    <w:rsid w:val="001839F4"/>
    <w:rsid w:val="00185C33"/>
    <w:rsid w:val="00191F3C"/>
    <w:rsid w:val="00193C33"/>
    <w:rsid w:val="00195E4D"/>
    <w:rsid w:val="00197348"/>
    <w:rsid w:val="001973EB"/>
    <w:rsid w:val="001A0B31"/>
    <w:rsid w:val="001A13FC"/>
    <w:rsid w:val="001A70D8"/>
    <w:rsid w:val="001A795B"/>
    <w:rsid w:val="001B0C80"/>
    <w:rsid w:val="001B2D4E"/>
    <w:rsid w:val="001C47C1"/>
    <w:rsid w:val="001D1385"/>
    <w:rsid w:val="001D2F44"/>
    <w:rsid w:val="001D68FB"/>
    <w:rsid w:val="001E0431"/>
    <w:rsid w:val="001E2299"/>
    <w:rsid w:val="001E2B49"/>
    <w:rsid w:val="001E6903"/>
    <w:rsid w:val="001F4C77"/>
    <w:rsid w:val="001F6520"/>
    <w:rsid w:val="001F7110"/>
    <w:rsid w:val="001F77D0"/>
    <w:rsid w:val="001F7E8A"/>
    <w:rsid w:val="00200AB0"/>
    <w:rsid w:val="002045D6"/>
    <w:rsid w:val="002046F9"/>
    <w:rsid w:val="002146CD"/>
    <w:rsid w:val="00215AEC"/>
    <w:rsid w:val="002169A2"/>
    <w:rsid w:val="0021767A"/>
    <w:rsid w:val="002247F0"/>
    <w:rsid w:val="00224B1C"/>
    <w:rsid w:val="00225676"/>
    <w:rsid w:val="00230E9D"/>
    <w:rsid w:val="00234F17"/>
    <w:rsid w:val="00237B72"/>
    <w:rsid w:val="00244E2F"/>
    <w:rsid w:val="00247BD1"/>
    <w:rsid w:val="002517A7"/>
    <w:rsid w:val="00262365"/>
    <w:rsid w:val="002626C2"/>
    <w:rsid w:val="00265F2A"/>
    <w:rsid w:val="002701F9"/>
    <w:rsid w:val="00273696"/>
    <w:rsid w:val="00273BCE"/>
    <w:rsid w:val="0027627A"/>
    <w:rsid w:val="002861C6"/>
    <w:rsid w:val="002868E8"/>
    <w:rsid w:val="00290A8E"/>
    <w:rsid w:val="002972AE"/>
    <w:rsid w:val="002A000C"/>
    <w:rsid w:val="002A1692"/>
    <w:rsid w:val="002A1E0C"/>
    <w:rsid w:val="002A6A1C"/>
    <w:rsid w:val="002A7C06"/>
    <w:rsid w:val="002B6532"/>
    <w:rsid w:val="002C0242"/>
    <w:rsid w:val="002C19B9"/>
    <w:rsid w:val="002C1AFB"/>
    <w:rsid w:val="002C52D0"/>
    <w:rsid w:val="002C6261"/>
    <w:rsid w:val="002C6C00"/>
    <w:rsid w:val="002D4DF2"/>
    <w:rsid w:val="002E00A9"/>
    <w:rsid w:val="002E0308"/>
    <w:rsid w:val="002E1BD7"/>
    <w:rsid w:val="002E1F58"/>
    <w:rsid w:val="002E2B2C"/>
    <w:rsid w:val="002E4330"/>
    <w:rsid w:val="002F43BA"/>
    <w:rsid w:val="003038F4"/>
    <w:rsid w:val="0030480B"/>
    <w:rsid w:val="00304ECF"/>
    <w:rsid w:val="0030573C"/>
    <w:rsid w:val="0030717C"/>
    <w:rsid w:val="003112E3"/>
    <w:rsid w:val="003113FB"/>
    <w:rsid w:val="00311D10"/>
    <w:rsid w:val="00312000"/>
    <w:rsid w:val="00314D37"/>
    <w:rsid w:val="00323877"/>
    <w:rsid w:val="00324BED"/>
    <w:rsid w:val="003318A3"/>
    <w:rsid w:val="00331E35"/>
    <w:rsid w:val="00331E74"/>
    <w:rsid w:val="00334119"/>
    <w:rsid w:val="00335D5F"/>
    <w:rsid w:val="00344B95"/>
    <w:rsid w:val="00346756"/>
    <w:rsid w:val="00352068"/>
    <w:rsid w:val="0035269F"/>
    <w:rsid w:val="0035671A"/>
    <w:rsid w:val="003621F2"/>
    <w:rsid w:val="003627BA"/>
    <w:rsid w:val="0036444F"/>
    <w:rsid w:val="00364F01"/>
    <w:rsid w:val="003669E3"/>
    <w:rsid w:val="00367BDD"/>
    <w:rsid w:val="003709E3"/>
    <w:rsid w:val="003748E6"/>
    <w:rsid w:val="00374A71"/>
    <w:rsid w:val="003831A6"/>
    <w:rsid w:val="00387479"/>
    <w:rsid w:val="00390774"/>
    <w:rsid w:val="003908E0"/>
    <w:rsid w:val="0039097A"/>
    <w:rsid w:val="00391295"/>
    <w:rsid w:val="003938C7"/>
    <w:rsid w:val="00396510"/>
    <w:rsid w:val="003A341A"/>
    <w:rsid w:val="003B3F87"/>
    <w:rsid w:val="003C3422"/>
    <w:rsid w:val="003C5C85"/>
    <w:rsid w:val="003D2799"/>
    <w:rsid w:val="003E46BA"/>
    <w:rsid w:val="003E49EB"/>
    <w:rsid w:val="003E56B4"/>
    <w:rsid w:val="003F2D93"/>
    <w:rsid w:val="003F2EDC"/>
    <w:rsid w:val="003F51F0"/>
    <w:rsid w:val="003F5F49"/>
    <w:rsid w:val="00400344"/>
    <w:rsid w:val="00415C4F"/>
    <w:rsid w:val="00417C33"/>
    <w:rsid w:val="00425818"/>
    <w:rsid w:val="00425ACB"/>
    <w:rsid w:val="00432A62"/>
    <w:rsid w:val="00433012"/>
    <w:rsid w:val="004356BB"/>
    <w:rsid w:val="00441B0C"/>
    <w:rsid w:val="00443E2F"/>
    <w:rsid w:val="00445AB7"/>
    <w:rsid w:val="00445DED"/>
    <w:rsid w:val="00446547"/>
    <w:rsid w:val="00446BD8"/>
    <w:rsid w:val="00456A81"/>
    <w:rsid w:val="00467250"/>
    <w:rsid w:val="00467F29"/>
    <w:rsid w:val="00471DE7"/>
    <w:rsid w:val="004727E9"/>
    <w:rsid w:val="00473792"/>
    <w:rsid w:val="00473AF7"/>
    <w:rsid w:val="00474D25"/>
    <w:rsid w:val="00476629"/>
    <w:rsid w:val="00481251"/>
    <w:rsid w:val="00481825"/>
    <w:rsid w:val="00486EC6"/>
    <w:rsid w:val="0048700C"/>
    <w:rsid w:val="0049035F"/>
    <w:rsid w:val="004919B0"/>
    <w:rsid w:val="004958E5"/>
    <w:rsid w:val="004A63A3"/>
    <w:rsid w:val="004B2146"/>
    <w:rsid w:val="004B266C"/>
    <w:rsid w:val="004B2C79"/>
    <w:rsid w:val="004B378C"/>
    <w:rsid w:val="004B69E8"/>
    <w:rsid w:val="004B7044"/>
    <w:rsid w:val="004C2255"/>
    <w:rsid w:val="004C6CE1"/>
    <w:rsid w:val="004D6846"/>
    <w:rsid w:val="004E27CB"/>
    <w:rsid w:val="004E2951"/>
    <w:rsid w:val="004E721A"/>
    <w:rsid w:val="004F515B"/>
    <w:rsid w:val="004F783F"/>
    <w:rsid w:val="0050140C"/>
    <w:rsid w:val="00501A79"/>
    <w:rsid w:val="005030FC"/>
    <w:rsid w:val="0050530B"/>
    <w:rsid w:val="00505E6E"/>
    <w:rsid w:val="005077D2"/>
    <w:rsid w:val="00510E05"/>
    <w:rsid w:val="00516189"/>
    <w:rsid w:val="0051649E"/>
    <w:rsid w:val="00521B04"/>
    <w:rsid w:val="00525CAD"/>
    <w:rsid w:val="0052700D"/>
    <w:rsid w:val="005332B5"/>
    <w:rsid w:val="0053650F"/>
    <w:rsid w:val="00537E22"/>
    <w:rsid w:val="005442C3"/>
    <w:rsid w:val="00545DC9"/>
    <w:rsid w:val="0054626A"/>
    <w:rsid w:val="00546E36"/>
    <w:rsid w:val="00550A55"/>
    <w:rsid w:val="00550D9E"/>
    <w:rsid w:val="00551E7C"/>
    <w:rsid w:val="00553BCA"/>
    <w:rsid w:val="00554548"/>
    <w:rsid w:val="00556B91"/>
    <w:rsid w:val="00560F8B"/>
    <w:rsid w:val="00561C7F"/>
    <w:rsid w:val="00563632"/>
    <w:rsid w:val="005708A7"/>
    <w:rsid w:val="00572760"/>
    <w:rsid w:val="0057312B"/>
    <w:rsid w:val="00577421"/>
    <w:rsid w:val="00583524"/>
    <w:rsid w:val="005855F9"/>
    <w:rsid w:val="00587A84"/>
    <w:rsid w:val="00590D9F"/>
    <w:rsid w:val="00592D24"/>
    <w:rsid w:val="00594D45"/>
    <w:rsid w:val="005978DA"/>
    <w:rsid w:val="005A7A9C"/>
    <w:rsid w:val="005B1BE8"/>
    <w:rsid w:val="005C1D68"/>
    <w:rsid w:val="005C2D02"/>
    <w:rsid w:val="005C6036"/>
    <w:rsid w:val="005C6C0F"/>
    <w:rsid w:val="005C7CB0"/>
    <w:rsid w:val="005D1D72"/>
    <w:rsid w:val="005D35C7"/>
    <w:rsid w:val="005D71AB"/>
    <w:rsid w:val="005D7FD3"/>
    <w:rsid w:val="005E06D8"/>
    <w:rsid w:val="005E0911"/>
    <w:rsid w:val="005E48DD"/>
    <w:rsid w:val="005E4A16"/>
    <w:rsid w:val="005F0478"/>
    <w:rsid w:val="005F164C"/>
    <w:rsid w:val="005F25B7"/>
    <w:rsid w:val="005F35CE"/>
    <w:rsid w:val="005F4B47"/>
    <w:rsid w:val="005F52F8"/>
    <w:rsid w:val="005F5FE2"/>
    <w:rsid w:val="005F6D4D"/>
    <w:rsid w:val="005F74CF"/>
    <w:rsid w:val="0060011E"/>
    <w:rsid w:val="00602725"/>
    <w:rsid w:val="00604EA4"/>
    <w:rsid w:val="00605ECF"/>
    <w:rsid w:val="006105AC"/>
    <w:rsid w:val="00610693"/>
    <w:rsid w:val="00611836"/>
    <w:rsid w:val="00613CD6"/>
    <w:rsid w:val="00623A72"/>
    <w:rsid w:val="00625937"/>
    <w:rsid w:val="00632C66"/>
    <w:rsid w:val="006335C1"/>
    <w:rsid w:val="00636218"/>
    <w:rsid w:val="00641CFD"/>
    <w:rsid w:val="00642F05"/>
    <w:rsid w:val="006450A8"/>
    <w:rsid w:val="00647A9D"/>
    <w:rsid w:val="00647EF6"/>
    <w:rsid w:val="00655B2F"/>
    <w:rsid w:val="006575AB"/>
    <w:rsid w:val="00657A49"/>
    <w:rsid w:val="00664A2C"/>
    <w:rsid w:val="00672684"/>
    <w:rsid w:val="00675A60"/>
    <w:rsid w:val="00676021"/>
    <w:rsid w:val="006774D6"/>
    <w:rsid w:val="00680BB6"/>
    <w:rsid w:val="00682678"/>
    <w:rsid w:val="00683341"/>
    <w:rsid w:val="006845F1"/>
    <w:rsid w:val="00685345"/>
    <w:rsid w:val="00686AF6"/>
    <w:rsid w:val="0069024E"/>
    <w:rsid w:val="00691477"/>
    <w:rsid w:val="00692A32"/>
    <w:rsid w:val="00692F38"/>
    <w:rsid w:val="0069342F"/>
    <w:rsid w:val="00696135"/>
    <w:rsid w:val="006964B2"/>
    <w:rsid w:val="006A0EB8"/>
    <w:rsid w:val="006B0BCE"/>
    <w:rsid w:val="006B1F4D"/>
    <w:rsid w:val="006B51FD"/>
    <w:rsid w:val="006C057A"/>
    <w:rsid w:val="006C489D"/>
    <w:rsid w:val="006C5DF6"/>
    <w:rsid w:val="006D0434"/>
    <w:rsid w:val="006D07E8"/>
    <w:rsid w:val="006D137F"/>
    <w:rsid w:val="006D1629"/>
    <w:rsid w:val="006D4950"/>
    <w:rsid w:val="006E21E8"/>
    <w:rsid w:val="006E4926"/>
    <w:rsid w:val="006E705D"/>
    <w:rsid w:val="006F3914"/>
    <w:rsid w:val="007032DF"/>
    <w:rsid w:val="00703AFF"/>
    <w:rsid w:val="0070572C"/>
    <w:rsid w:val="0070772F"/>
    <w:rsid w:val="00710A61"/>
    <w:rsid w:val="0071348C"/>
    <w:rsid w:val="00714EE2"/>
    <w:rsid w:val="007173BB"/>
    <w:rsid w:val="007235FC"/>
    <w:rsid w:val="007324C3"/>
    <w:rsid w:val="007340D0"/>
    <w:rsid w:val="0073489C"/>
    <w:rsid w:val="00734CA7"/>
    <w:rsid w:val="0073697E"/>
    <w:rsid w:val="00736DAD"/>
    <w:rsid w:val="00737045"/>
    <w:rsid w:val="0074347B"/>
    <w:rsid w:val="00745A2F"/>
    <w:rsid w:val="00746338"/>
    <w:rsid w:val="00747433"/>
    <w:rsid w:val="0075737E"/>
    <w:rsid w:val="00761106"/>
    <w:rsid w:val="007656CC"/>
    <w:rsid w:val="00771D21"/>
    <w:rsid w:val="00781C8F"/>
    <w:rsid w:val="007827B3"/>
    <w:rsid w:val="007926ED"/>
    <w:rsid w:val="007927E1"/>
    <w:rsid w:val="007A047D"/>
    <w:rsid w:val="007A394C"/>
    <w:rsid w:val="007A5A98"/>
    <w:rsid w:val="007B41E9"/>
    <w:rsid w:val="007B5343"/>
    <w:rsid w:val="007B7796"/>
    <w:rsid w:val="007C3F15"/>
    <w:rsid w:val="007D363E"/>
    <w:rsid w:val="007D7166"/>
    <w:rsid w:val="007E00FC"/>
    <w:rsid w:val="007E372B"/>
    <w:rsid w:val="007F0CBA"/>
    <w:rsid w:val="007F762B"/>
    <w:rsid w:val="0080471D"/>
    <w:rsid w:val="00804C2D"/>
    <w:rsid w:val="008061C2"/>
    <w:rsid w:val="00807BA7"/>
    <w:rsid w:val="00807BE3"/>
    <w:rsid w:val="00807FB8"/>
    <w:rsid w:val="00810A07"/>
    <w:rsid w:val="008208A8"/>
    <w:rsid w:val="008212C8"/>
    <w:rsid w:val="00824AE7"/>
    <w:rsid w:val="00825D60"/>
    <w:rsid w:val="00831EFF"/>
    <w:rsid w:val="008321FE"/>
    <w:rsid w:val="008442E0"/>
    <w:rsid w:val="008443BD"/>
    <w:rsid w:val="00844A2A"/>
    <w:rsid w:val="00846A06"/>
    <w:rsid w:val="00852D37"/>
    <w:rsid w:val="008548A1"/>
    <w:rsid w:val="00855127"/>
    <w:rsid w:val="00856883"/>
    <w:rsid w:val="0086051F"/>
    <w:rsid w:val="00876674"/>
    <w:rsid w:val="00876894"/>
    <w:rsid w:val="00883C29"/>
    <w:rsid w:val="00883F3E"/>
    <w:rsid w:val="008869F4"/>
    <w:rsid w:val="00890E33"/>
    <w:rsid w:val="008942DD"/>
    <w:rsid w:val="00896102"/>
    <w:rsid w:val="0089683D"/>
    <w:rsid w:val="00897C30"/>
    <w:rsid w:val="00897D40"/>
    <w:rsid w:val="008A2A7D"/>
    <w:rsid w:val="008A3F5B"/>
    <w:rsid w:val="008A46AA"/>
    <w:rsid w:val="008A5ADF"/>
    <w:rsid w:val="008B2D5C"/>
    <w:rsid w:val="008B7EF7"/>
    <w:rsid w:val="008C3543"/>
    <w:rsid w:val="008C56DE"/>
    <w:rsid w:val="008C7615"/>
    <w:rsid w:val="008C7B77"/>
    <w:rsid w:val="008D477E"/>
    <w:rsid w:val="008D478B"/>
    <w:rsid w:val="008D4A09"/>
    <w:rsid w:val="008D549A"/>
    <w:rsid w:val="008D6EC1"/>
    <w:rsid w:val="008E6127"/>
    <w:rsid w:val="008F0960"/>
    <w:rsid w:val="008F21DD"/>
    <w:rsid w:val="008F388D"/>
    <w:rsid w:val="009005D9"/>
    <w:rsid w:val="00903490"/>
    <w:rsid w:val="00905374"/>
    <w:rsid w:val="009064EB"/>
    <w:rsid w:val="0090676E"/>
    <w:rsid w:val="0091586D"/>
    <w:rsid w:val="00926A47"/>
    <w:rsid w:val="00931623"/>
    <w:rsid w:val="00933BCB"/>
    <w:rsid w:val="00933CB6"/>
    <w:rsid w:val="00935555"/>
    <w:rsid w:val="009367AD"/>
    <w:rsid w:val="009377DB"/>
    <w:rsid w:val="00937EFB"/>
    <w:rsid w:val="009429FA"/>
    <w:rsid w:val="009439B4"/>
    <w:rsid w:val="0094449E"/>
    <w:rsid w:val="00945F9B"/>
    <w:rsid w:val="00952099"/>
    <w:rsid w:val="00953A03"/>
    <w:rsid w:val="0095423D"/>
    <w:rsid w:val="00954BA9"/>
    <w:rsid w:val="0095703D"/>
    <w:rsid w:val="009600DB"/>
    <w:rsid w:val="009613FE"/>
    <w:rsid w:val="0096190D"/>
    <w:rsid w:val="0096561E"/>
    <w:rsid w:val="00967CAA"/>
    <w:rsid w:val="00971132"/>
    <w:rsid w:val="009736F9"/>
    <w:rsid w:val="009759AE"/>
    <w:rsid w:val="009822B3"/>
    <w:rsid w:val="00987E6E"/>
    <w:rsid w:val="00991569"/>
    <w:rsid w:val="009923A1"/>
    <w:rsid w:val="00993572"/>
    <w:rsid w:val="0099451A"/>
    <w:rsid w:val="00997A15"/>
    <w:rsid w:val="00997BCF"/>
    <w:rsid w:val="009A0C80"/>
    <w:rsid w:val="009A2387"/>
    <w:rsid w:val="009A4E5C"/>
    <w:rsid w:val="009A5880"/>
    <w:rsid w:val="009A727A"/>
    <w:rsid w:val="009A7747"/>
    <w:rsid w:val="009C3790"/>
    <w:rsid w:val="009C5083"/>
    <w:rsid w:val="009C5B1A"/>
    <w:rsid w:val="009C6946"/>
    <w:rsid w:val="00A02405"/>
    <w:rsid w:val="00A02EAF"/>
    <w:rsid w:val="00A03E2B"/>
    <w:rsid w:val="00A05AB5"/>
    <w:rsid w:val="00A12CA8"/>
    <w:rsid w:val="00A15B02"/>
    <w:rsid w:val="00A15DDD"/>
    <w:rsid w:val="00A16949"/>
    <w:rsid w:val="00A21C64"/>
    <w:rsid w:val="00A22E5F"/>
    <w:rsid w:val="00A26AE8"/>
    <w:rsid w:val="00A411A4"/>
    <w:rsid w:val="00A411C8"/>
    <w:rsid w:val="00A43D5E"/>
    <w:rsid w:val="00A44649"/>
    <w:rsid w:val="00A52B4F"/>
    <w:rsid w:val="00A5538A"/>
    <w:rsid w:val="00A6062F"/>
    <w:rsid w:val="00A60A74"/>
    <w:rsid w:val="00A67D24"/>
    <w:rsid w:val="00A7614E"/>
    <w:rsid w:val="00A82A2A"/>
    <w:rsid w:val="00A8308A"/>
    <w:rsid w:val="00A906E6"/>
    <w:rsid w:val="00A9361A"/>
    <w:rsid w:val="00A94714"/>
    <w:rsid w:val="00A96497"/>
    <w:rsid w:val="00AA1551"/>
    <w:rsid w:val="00AA275E"/>
    <w:rsid w:val="00AA681D"/>
    <w:rsid w:val="00AB66C4"/>
    <w:rsid w:val="00AC43F4"/>
    <w:rsid w:val="00AC58BD"/>
    <w:rsid w:val="00AC64B7"/>
    <w:rsid w:val="00AC65FD"/>
    <w:rsid w:val="00AC6C0D"/>
    <w:rsid w:val="00AD0CA9"/>
    <w:rsid w:val="00AD1307"/>
    <w:rsid w:val="00AD25A9"/>
    <w:rsid w:val="00AD7854"/>
    <w:rsid w:val="00AE18D0"/>
    <w:rsid w:val="00AE258D"/>
    <w:rsid w:val="00AE285D"/>
    <w:rsid w:val="00AE3C3E"/>
    <w:rsid w:val="00AE3E25"/>
    <w:rsid w:val="00AE44DC"/>
    <w:rsid w:val="00AF0139"/>
    <w:rsid w:val="00AF18A1"/>
    <w:rsid w:val="00AF7E6A"/>
    <w:rsid w:val="00B132A4"/>
    <w:rsid w:val="00B14FE4"/>
    <w:rsid w:val="00B216A2"/>
    <w:rsid w:val="00B2198B"/>
    <w:rsid w:val="00B23B6F"/>
    <w:rsid w:val="00B2624F"/>
    <w:rsid w:val="00B27668"/>
    <w:rsid w:val="00B27A0F"/>
    <w:rsid w:val="00B3292D"/>
    <w:rsid w:val="00B3745A"/>
    <w:rsid w:val="00B41E70"/>
    <w:rsid w:val="00B45DD2"/>
    <w:rsid w:val="00B45FAC"/>
    <w:rsid w:val="00B47376"/>
    <w:rsid w:val="00B50537"/>
    <w:rsid w:val="00B55A3F"/>
    <w:rsid w:val="00B56180"/>
    <w:rsid w:val="00B61483"/>
    <w:rsid w:val="00B61767"/>
    <w:rsid w:val="00B63132"/>
    <w:rsid w:val="00B6324C"/>
    <w:rsid w:val="00B634BC"/>
    <w:rsid w:val="00B63E4B"/>
    <w:rsid w:val="00B66EF3"/>
    <w:rsid w:val="00B67620"/>
    <w:rsid w:val="00B73D8A"/>
    <w:rsid w:val="00B76D1E"/>
    <w:rsid w:val="00B77275"/>
    <w:rsid w:val="00B86605"/>
    <w:rsid w:val="00B9304B"/>
    <w:rsid w:val="00B94C44"/>
    <w:rsid w:val="00BA4475"/>
    <w:rsid w:val="00BA44ED"/>
    <w:rsid w:val="00BA6D3E"/>
    <w:rsid w:val="00BA7D2F"/>
    <w:rsid w:val="00BC0F07"/>
    <w:rsid w:val="00BC27F3"/>
    <w:rsid w:val="00BC46BE"/>
    <w:rsid w:val="00BC7ED9"/>
    <w:rsid w:val="00BD186D"/>
    <w:rsid w:val="00BD2F47"/>
    <w:rsid w:val="00BD4167"/>
    <w:rsid w:val="00BD6113"/>
    <w:rsid w:val="00BD68EF"/>
    <w:rsid w:val="00BE0C0E"/>
    <w:rsid w:val="00BE226B"/>
    <w:rsid w:val="00BE22A5"/>
    <w:rsid w:val="00BE37CD"/>
    <w:rsid w:val="00BE4354"/>
    <w:rsid w:val="00BE4B22"/>
    <w:rsid w:val="00BF09E9"/>
    <w:rsid w:val="00C009EB"/>
    <w:rsid w:val="00C0224E"/>
    <w:rsid w:val="00C03042"/>
    <w:rsid w:val="00C033D6"/>
    <w:rsid w:val="00C10D35"/>
    <w:rsid w:val="00C14405"/>
    <w:rsid w:val="00C2086D"/>
    <w:rsid w:val="00C218B8"/>
    <w:rsid w:val="00C21D5A"/>
    <w:rsid w:val="00C22583"/>
    <w:rsid w:val="00C23C86"/>
    <w:rsid w:val="00C30E9A"/>
    <w:rsid w:val="00C32B50"/>
    <w:rsid w:val="00C34440"/>
    <w:rsid w:val="00C36F86"/>
    <w:rsid w:val="00C41DD8"/>
    <w:rsid w:val="00C46491"/>
    <w:rsid w:val="00C50F29"/>
    <w:rsid w:val="00C52448"/>
    <w:rsid w:val="00C617D2"/>
    <w:rsid w:val="00C63236"/>
    <w:rsid w:val="00C715B1"/>
    <w:rsid w:val="00C71814"/>
    <w:rsid w:val="00C741BB"/>
    <w:rsid w:val="00C76C7D"/>
    <w:rsid w:val="00C802F7"/>
    <w:rsid w:val="00C81C71"/>
    <w:rsid w:val="00C822A3"/>
    <w:rsid w:val="00C824D5"/>
    <w:rsid w:val="00C83B74"/>
    <w:rsid w:val="00C83CAD"/>
    <w:rsid w:val="00C84EC3"/>
    <w:rsid w:val="00C859B4"/>
    <w:rsid w:val="00C97ADE"/>
    <w:rsid w:val="00CA4F02"/>
    <w:rsid w:val="00CA562B"/>
    <w:rsid w:val="00CA75CB"/>
    <w:rsid w:val="00CB74DC"/>
    <w:rsid w:val="00CC094B"/>
    <w:rsid w:val="00CC7FA2"/>
    <w:rsid w:val="00CC7FE9"/>
    <w:rsid w:val="00CD1FA3"/>
    <w:rsid w:val="00CD2143"/>
    <w:rsid w:val="00CD408C"/>
    <w:rsid w:val="00CD60B2"/>
    <w:rsid w:val="00CD62D5"/>
    <w:rsid w:val="00CE08B9"/>
    <w:rsid w:val="00CE0EDA"/>
    <w:rsid w:val="00CE48E1"/>
    <w:rsid w:val="00CE5924"/>
    <w:rsid w:val="00CF688E"/>
    <w:rsid w:val="00D02C2C"/>
    <w:rsid w:val="00D0409C"/>
    <w:rsid w:val="00D044BD"/>
    <w:rsid w:val="00D05057"/>
    <w:rsid w:val="00D10308"/>
    <w:rsid w:val="00D12947"/>
    <w:rsid w:val="00D144A2"/>
    <w:rsid w:val="00D20F7F"/>
    <w:rsid w:val="00D21D72"/>
    <w:rsid w:val="00D22C6A"/>
    <w:rsid w:val="00D24776"/>
    <w:rsid w:val="00D275F8"/>
    <w:rsid w:val="00D305B4"/>
    <w:rsid w:val="00D328E0"/>
    <w:rsid w:val="00D32C3A"/>
    <w:rsid w:val="00D348FD"/>
    <w:rsid w:val="00D3535F"/>
    <w:rsid w:val="00D37184"/>
    <w:rsid w:val="00D40ACE"/>
    <w:rsid w:val="00D41BF1"/>
    <w:rsid w:val="00D428F3"/>
    <w:rsid w:val="00D44BFD"/>
    <w:rsid w:val="00D44C73"/>
    <w:rsid w:val="00D45F80"/>
    <w:rsid w:val="00D47C2A"/>
    <w:rsid w:val="00D51A02"/>
    <w:rsid w:val="00D53B78"/>
    <w:rsid w:val="00D54DEF"/>
    <w:rsid w:val="00D7126C"/>
    <w:rsid w:val="00D71A89"/>
    <w:rsid w:val="00D752C9"/>
    <w:rsid w:val="00D75BB5"/>
    <w:rsid w:val="00D76704"/>
    <w:rsid w:val="00D82197"/>
    <w:rsid w:val="00D83226"/>
    <w:rsid w:val="00D86161"/>
    <w:rsid w:val="00D867E3"/>
    <w:rsid w:val="00D90C86"/>
    <w:rsid w:val="00D93807"/>
    <w:rsid w:val="00D945A2"/>
    <w:rsid w:val="00D97736"/>
    <w:rsid w:val="00DA6E0C"/>
    <w:rsid w:val="00DA734D"/>
    <w:rsid w:val="00DA7CF1"/>
    <w:rsid w:val="00DA7F63"/>
    <w:rsid w:val="00DB02C4"/>
    <w:rsid w:val="00DC6087"/>
    <w:rsid w:val="00DD1039"/>
    <w:rsid w:val="00DD1165"/>
    <w:rsid w:val="00DD4EA7"/>
    <w:rsid w:val="00DD5780"/>
    <w:rsid w:val="00DD6FAE"/>
    <w:rsid w:val="00DE17A4"/>
    <w:rsid w:val="00DE2776"/>
    <w:rsid w:val="00DE3571"/>
    <w:rsid w:val="00DE36EE"/>
    <w:rsid w:val="00DE38B1"/>
    <w:rsid w:val="00DE69C7"/>
    <w:rsid w:val="00E05AAB"/>
    <w:rsid w:val="00E1694E"/>
    <w:rsid w:val="00E21B1D"/>
    <w:rsid w:val="00E2471E"/>
    <w:rsid w:val="00E27762"/>
    <w:rsid w:val="00E31E66"/>
    <w:rsid w:val="00E370F4"/>
    <w:rsid w:val="00E3734E"/>
    <w:rsid w:val="00E37B98"/>
    <w:rsid w:val="00E42764"/>
    <w:rsid w:val="00E45D90"/>
    <w:rsid w:val="00E53F9C"/>
    <w:rsid w:val="00E54144"/>
    <w:rsid w:val="00E541D8"/>
    <w:rsid w:val="00E57618"/>
    <w:rsid w:val="00E57C7F"/>
    <w:rsid w:val="00E60080"/>
    <w:rsid w:val="00E63238"/>
    <w:rsid w:val="00E67889"/>
    <w:rsid w:val="00E70D75"/>
    <w:rsid w:val="00E728DD"/>
    <w:rsid w:val="00E72E37"/>
    <w:rsid w:val="00E77E7F"/>
    <w:rsid w:val="00E804DC"/>
    <w:rsid w:val="00E81054"/>
    <w:rsid w:val="00E81B1E"/>
    <w:rsid w:val="00E8607C"/>
    <w:rsid w:val="00E86E25"/>
    <w:rsid w:val="00E90588"/>
    <w:rsid w:val="00E96CFE"/>
    <w:rsid w:val="00EA072B"/>
    <w:rsid w:val="00EA1B37"/>
    <w:rsid w:val="00EA50ED"/>
    <w:rsid w:val="00EA52C0"/>
    <w:rsid w:val="00EA5C31"/>
    <w:rsid w:val="00EA6D64"/>
    <w:rsid w:val="00EA6F18"/>
    <w:rsid w:val="00EB060A"/>
    <w:rsid w:val="00EB5B64"/>
    <w:rsid w:val="00EB6813"/>
    <w:rsid w:val="00EC0150"/>
    <w:rsid w:val="00EC0A2B"/>
    <w:rsid w:val="00EC54BC"/>
    <w:rsid w:val="00EC6619"/>
    <w:rsid w:val="00EC6F93"/>
    <w:rsid w:val="00ED03C6"/>
    <w:rsid w:val="00ED03D7"/>
    <w:rsid w:val="00ED04A3"/>
    <w:rsid w:val="00ED09EE"/>
    <w:rsid w:val="00ED5017"/>
    <w:rsid w:val="00ED55AD"/>
    <w:rsid w:val="00ED7869"/>
    <w:rsid w:val="00EE1BE2"/>
    <w:rsid w:val="00EF35A0"/>
    <w:rsid w:val="00EF3CDE"/>
    <w:rsid w:val="00EF6508"/>
    <w:rsid w:val="00EF6B55"/>
    <w:rsid w:val="00EF718F"/>
    <w:rsid w:val="00EF7ACF"/>
    <w:rsid w:val="00F026CA"/>
    <w:rsid w:val="00F03E25"/>
    <w:rsid w:val="00F03F8F"/>
    <w:rsid w:val="00F055B8"/>
    <w:rsid w:val="00F062E8"/>
    <w:rsid w:val="00F07270"/>
    <w:rsid w:val="00F07276"/>
    <w:rsid w:val="00F12621"/>
    <w:rsid w:val="00F14556"/>
    <w:rsid w:val="00F1624D"/>
    <w:rsid w:val="00F1758F"/>
    <w:rsid w:val="00F20BD3"/>
    <w:rsid w:val="00F25686"/>
    <w:rsid w:val="00F267A6"/>
    <w:rsid w:val="00F279E8"/>
    <w:rsid w:val="00F31B05"/>
    <w:rsid w:val="00F34660"/>
    <w:rsid w:val="00F358B8"/>
    <w:rsid w:val="00F36B85"/>
    <w:rsid w:val="00F43BD5"/>
    <w:rsid w:val="00F4504B"/>
    <w:rsid w:val="00F502CF"/>
    <w:rsid w:val="00F53C24"/>
    <w:rsid w:val="00F549A2"/>
    <w:rsid w:val="00F64BA3"/>
    <w:rsid w:val="00F66AC5"/>
    <w:rsid w:val="00F707AD"/>
    <w:rsid w:val="00F7459C"/>
    <w:rsid w:val="00F76A72"/>
    <w:rsid w:val="00F779B6"/>
    <w:rsid w:val="00F801CF"/>
    <w:rsid w:val="00F82288"/>
    <w:rsid w:val="00F82D47"/>
    <w:rsid w:val="00F852C5"/>
    <w:rsid w:val="00F92DD8"/>
    <w:rsid w:val="00FA1C78"/>
    <w:rsid w:val="00FB177B"/>
    <w:rsid w:val="00FB3AFF"/>
    <w:rsid w:val="00FB51E0"/>
    <w:rsid w:val="00FB6DAA"/>
    <w:rsid w:val="00FB7387"/>
    <w:rsid w:val="00FC1619"/>
    <w:rsid w:val="00FC2E20"/>
    <w:rsid w:val="00FC3FE6"/>
    <w:rsid w:val="00FC687F"/>
    <w:rsid w:val="00FD0554"/>
    <w:rsid w:val="00FD3E88"/>
    <w:rsid w:val="00FD45C2"/>
    <w:rsid w:val="00FD7A30"/>
    <w:rsid w:val="00FE21FE"/>
    <w:rsid w:val="00FE3173"/>
    <w:rsid w:val="00FE6811"/>
    <w:rsid w:val="00FF0E1A"/>
    <w:rsid w:val="00FF1863"/>
    <w:rsid w:val="00FF4B99"/>
    <w:rsid w:val="00FF503B"/>
    <w:rsid w:val="00FF5841"/>
    <w:rsid w:val="04DE21B6"/>
    <w:rsid w:val="0B30303F"/>
    <w:rsid w:val="117D28DD"/>
    <w:rsid w:val="19834C82"/>
    <w:rsid w:val="1CC950A2"/>
    <w:rsid w:val="23294AEC"/>
    <w:rsid w:val="25FC2044"/>
    <w:rsid w:val="29D357B2"/>
    <w:rsid w:val="2B877B57"/>
    <w:rsid w:val="2D5B0FCC"/>
    <w:rsid w:val="31610A1C"/>
    <w:rsid w:val="31D200FD"/>
    <w:rsid w:val="33953AD8"/>
    <w:rsid w:val="35374E47"/>
    <w:rsid w:val="36E56B24"/>
    <w:rsid w:val="3C37397E"/>
    <w:rsid w:val="3DB159B2"/>
    <w:rsid w:val="441D78FE"/>
    <w:rsid w:val="44727C49"/>
    <w:rsid w:val="47AD71EA"/>
    <w:rsid w:val="53AC5AB9"/>
    <w:rsid w:val="5511700B"/>
    <w:rsid w:val="58EB1921"/>
    <w:rsid w:val="5A8B6F17"/>
    <w:rsid w:val="5AA601F5"/>
    <w:rsid w:val="5CB309A7"/>
    <w:rsid w:val="5FC353A5"/>
    <w:rsid w:val="605C2816"/>
    <w:rsid w:val="6109503A"/>
    <w:rsid w:val="61882403"/>
    <w:rsid w:val="670F7122"/>
    <w:rsid w:val="6E1A6AD8"/>
    <w:rsid w:val="727B1B10"/>
    <w:rsid w:val="7A21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uiPriority w:val="0"/>
    <w:rPr>
      <w:rFonts w:asciiTheme="minorHAnsi" w:hAnsiTheme="minorHAnsi" w:eastAsiaTheme="minorEastAsia" w:cstheme="minorBidi"/>
      <w:kern w:val="2"/>
      <w:sz w:val="18"/>
      <w:szCs w:val="18"/>
    </w:rPr>
  </w:style>
  <w:style w:type="character" w:customStyle="1" w:styleId="19">
    <w:name w:val="明显强调1"/>
    <w:basedOn w:val="9"/>
    <w:qFormat/>
    <w:uiPriority w:val="21"/>
    <w:rPr>
      <w:b/>
      <w:bCs/>
      <w:i/>
      <w:iCs/>
      <w:color w:val="5B9BD5" w:themeColor="accent1"/>
      <w14:textFill>
        <w14:solidFill>
          <w14:schemeClr w14:val="accent1"/>
        </w14:solidFill>
      </w14:textFill>
    </w:rPr>
  </w:style>
  <w:style w:type="character" w:customStyle="1" w:styleId="20">
    <w:name w:val="Body text|1_"/>
    <w:basedOn w:val="9"/>
    <w:link w:val="21"/>
    <w:qFormat/>
    <w:uiPriority w:val="0"/>
    <w:rPr>
      <w:rFonts w:ascii="宋体" w:hAnsi="宋体" w:cs="宋体"/>
      <w:sz w:val="28"/>
      <w:szCs w:val="28"/>
      <w:lang w:val="zh-TW" w:eastAsia="zh-TW" w:bidi="zh-TW"/>
    </w:rPr>
  </w:style>
  <w:style w:type="paragraph" w:customStyle="1" w:styleId="21">
    <w:name w:val="Body text|1"/>
    <w:basedOn w:val="1"/>
    <w:link w:val="20"/>
    <w:qFormat/>
    <w:uiPriority w:val="0"/>
    <w:pPr>
      <w:spacing w:after="100" w:line="389" w:lineRule="auto"/>
      <w:ind w:firstLine="400"/>
      <w:jc w:val="left"/>
    </w:pPr>
    <w:rPr>
      <w:rFonts w:ascii="宋体" w:hAnsi="宋体" w:eastAsia="宋体" w:cs="宋体"/>
      <w:kern w:val="0"/>
      <w:sz w:val="28"/>
      <w:szCs w:val="28"/>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D79733-71B6-45B9-92F8-9505868BCAE3}">
  <ds:schemaRefs/>
</ds:datastoreItem>
</file>

<file path=docProps/app.xml><?xml version="1.0" encoding="utf-8"?>
<Properties xmlns="http://schemas.openxmlformats.org/officeDocument/2006/extended-properties" xmlns:vt="http://schemas.openxmlformats.org/officeDocument/2006/docPropsVTypes">
  <Template>Normal</Template>
  <Pages>9</Pages>
  <Words>4621</Words>
  <Characters>893</Characters>
  <Lines>7</Lines>
  <Paragraphs>11</Paragraphs>
  <TotalTime>417</TotalTime>
  <ScaleCrop>false</ScaleCrop>
  <LinksUpToDate>false</LinksUpToDate>
  <CharactersWithSpaces>5503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2025-11-18T03:02:00Z</dcterms:created>
  <dc:creator>Dumpling</dc:creator>
  <cp:lastModifiedBy>Administrator</cp:lastModifiedBy>
  <cp:lastPrinted>2025-11-18T03:00:00Z</cp:lastPrinted>
  <dcterms:modified xsi:type="dcterms:W3CDTF">2026-03-11T04:01:40Z</dcterms:modified>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