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EC8A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14:paraId="0347F0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2E3A20F9">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highlight w:val="none"/>
          <w:lang w:val="en-US" w:eastAsia="zh-CN"/>
        </w:rPr>
      </w:pPr>
      <w:r>
        <w:rPr>
          <w:rFonts w:hint="eastAsia" w:ascii="方正小标宋简体" w:hAnsi="方正小标宋简体" w:eastAsia="方正小标宋简体" w:cs="方正小标宋简体"/>
          <w:color w:val="auto"/>
          <w:kern w:val="0"/>
          <w:sz w:val="44"/>
          <w:szCs w:val="44"/>
          <w:highlight w:val="none"/>
          <w:lang w:val="en-US" w:eastAsia="zh-CN"/>
        </w:rPr>
        <w:t>广州市番禺区石碁镇2025年度行政许可</w:t>
      </w:r>
    </w:p>
    <w:p w14:paraId="2AA20B39">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kern w:val="0"/>
          <w:sz w:val="44"/>
          <w:szCs w:val="44"/>
          <w:highlight w:val="none"/>
          <w:lang w:val="en-US" w:eastAsia="zh-CN"/>
        </w:rPr>
      </w:pPr>
      <w:r>
        <w:rPr>
          <w:rFonts w:hint="eastAsia" w:ascii="方正小标宋简体" w:hAnsi="方正小标宋简体" w:eastAsia="方正小标宋简体" w:cs="方正小标宋简体"/>
          <w:color w:val="auto"/>
          <w:kern w:val="0"/>
          <w:sz w:val="44"/>
          <w:szCs w:val="44"/>
          <w:highlight w:val="none"/>
          <w:lang w:val="en-US" w:eastAsia="zh-CN"/>
        </w:rPr>
        <w:t>实施和监督管理情况报告</w:t>
      </w:r>
    </w:p>
    <w:p w14:paraId="6928B4B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14:paraId="61EEF5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根据《广东省行政许可监督管理条例》的要求，现将我单位202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年行政许可实施和监督管理情况报告如下：</w:t>
      </w:r>
    </w:p>
    <w:p w14:paraId="7C99E91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一、基本情况</w:t>
      </w:r>
    </w:p>
    <w:p w14:paraId="1E1A9FD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年，本单位行政许可事项数量为</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项，分别为：</w:t>
      </w:r>
    </w:p>
    <w:p w14:paraId="27406BF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适龄儿童、少年因身体状况需要延缓入学或者休学审批</w:t>
      </w:r>
      <w:r>
        <w:rPr>
          <w:rFonts w:hint="eastAsia" w:ascii="仿宋_GB2312" w:eastAsia="仿宋_GB2312"/>
          <w:sz w:val="32"/>
          <w:szCs w:val="32"/>
          <w:lang w:eastAsia="zh-CN"/>
        </w:rPr>
        <w:t>、</w:t>
      </w:r>
      <w:r>
        <w:rPr>
          <w:rFonts w:hint="eastAsia" w:ascii="仿宋_GB2312" w:eastAsia="仿宋_GB2312"/>
          <w:sz w:val="32"/>
          <w:szCs w:val="32"/>
        </w:rPr>
        <w:t>农村村民宅基地审批、乡村建设规划许可证核发，其中乡村建设规划许可证核发事项已进驻广东省政务服务事项管理系统。因上级部门未在广东省政务服务事项管理系统中录入适龄儿童、少年因身体状况需要延缓入学或者休学审批</w:t>
      </w:r>
      <w:r>
        <w:rPr>
          <w:rFonts w:hint="eastAsia" w:ascii="仿宋_GB2312" w:eastAsia="仿宋_GB2312"/>
          <w:sz w:val="32"/>
          <w:szCs w:val="32"/>
          <w:lang w:eastAsia="zh-CN"/>
        </w:rPr>
        <w:t>、在村庄、集镇规划区内公共场所修建临时建筑等设施审批、</w:t>
      </w:r>
      <w:r>
        <w:rPr>
          <w:rFonts w:hint="eastAsia" w:ascii="仿宋_GB2312" w:eastAsia="仿宋_GB2312"/>
          <w:sz w:val="32"/>
          <w:szCs w:val="32"/>
        </w:rPr>
        <w:t>农村村民宅基地审批的相关信息，故以上</w:t>
      </w:r>
      <w:r>
        <w:rPr>
          <w:rFonts w:hint="eastAsia" w:ascii="仿宋_GB2312" w:eastAsia="仿宋_GB2312"/>
          <w:sz w:val="32"/>
          <w:szCs w:val="32"/>
          <w:lang w:val="en-US" w:eastAsia="zh-CN"/>
        </w:rPr>
        <w:t>3</w:t>
      </w:r>
      <w:r>
        <w:rPr>
          <w:rFonts w:hint="eastAsia" w:ascii="仿宋_GB2312" w:eastAsia="仿宋_GB2312"/>
          <w:sz w:val="32"/>
          <w:szCs w:val="32"/>
        </w:rPr>
        <w:t>个事项暂未进驻广东省政务服务事项管理系统。</w:t>
      </w:r>
    </w:p>
    <w:p w14:paraId="09BEF7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年度，本单位行政许可申请量为</w:t>
      </w:r>
      <w:r>
        <w:rPr>
          <w:rFonts w:hint="eastAsia" w:ascii="仿宋_GB2312" w:hAnsi="仿宋_GB2312" w:eastAsia="仿宋_GB2312" w:cs="仿宋_GB2312"/>
          <w:sz w:val="32"/>
          <w:szCs w:val="32"/>
          <w:lang w:val="en-US" w:eastAsia="zh-CN"/>
        </w:rPr>
        <w:t>299</w:t>
      </w:r>
      <w:r>
        <w:rPr>
          <w:rFonts w:hint="eastAsia" w:ascii="仿宋_GB2312" w:hAnsi="仿宋_GB2312" w:eastAsia="仿宋_GB2312" w:cs="仿宋_GB2312"/>
          <w:sz w:val="32"/>
          <w:szCs w:val="32"/>
          <w:lang w:eastAsia="zh-CN"/>
        </w:rPr>
        <w:t>宗，其中受理量为</w:t>
      </w:r>
      <w:r>
        <w:rPr>
          <w:rFonts w:hint="eastAsia" w:ascii="仿宋_GB2312" w:hAnsi="仿宋_GB2312" w:eastAsia="仿宋_GB2312" w:cs="仿宋_GB2312"/>
          <w:sz w:val="32"/>
          <w:szCs w:val="32"/>
          <w:lang w:val="en-US" w:eastAsia="zh-CN"/>
        </w:rPr>
        <w:t>288</w:t>
      </w:r>
      <w:r>
        <w:rPr>
          <w:rFonts w:hint="eastAsia" w:ascii="仿宋_GB2312" w:hAnsi="仿宋_GB2312" w:eastAsia="仿宋_GB2312" w:cs="仿宋_GB2312"/>
          <w:sz w:val="32"/>
          <w:szCs w:val="32"/>
          <w:lang w:eastAsia="zh-CN"/>
        </w:rPr>
        <w:t>宗，不受理量为</w:t>
      </w:r>
      <w:r>
        <w:rPr>
          <w:rFonts w:hint="eastAsia" w:ascii="仿宋_GB2312" w:hAnsi="仿宋_GB2312" w:eastAsia="仿宋_GB2312" w:cs="仿宋_GB2312"/>
          <w:sz w:val="32"/>
          <w:szCs w:val="32"/>
          <w:lang w:val="en-US" w:eastAsia="zh-CN"/>
        </w:rPr>
        <w:t>11</w:t>
      </w:r>
      <w:r>
        <w:rPr>
          <w:rFonts w:hint="eastAsia" w:ascii="仿宋_GB2312" w:hAnsi="仿宋_GB2312" w:eastAsia="仿宋_GB2312" w:cs="仿宋_GB2312"/>
          <w:sz w:val="32"/>
          <w:szCs w:val="32"/>
          <w:lang w:eastAsia="zh-CN"/>
        </w:rPr>
        <w:t>宗；行政许可办结量为</w:t>
      </w:r>
      <w:r>
        <w:rPr>
          <w:rFonts w:hint="eastAsia" w:ascii="仿宋_GB2312" w:hAnsi="仿宋_GB2312" w:eastAsia="仿宋_GB2312" w:cs="仿宋_GB2312"/>
          <w:sz w:val="32"/>
          <w:szCs w:val="32"/>
          <w:lang w:val="en-US" w:eastAsia="zh-CN"/>
        </w:rPr>
        <w:t>288</w:t>
      </w:r>
      <w:r>
        <w:rPr>
          <w:rFonts w:hint="eastAsia" w:ascii="仿宋_GB2312" w:hAnsi="仿宋_GB2312" w:eastAsia="仿宋_GB2312" w:cs="仿宋_GB2312"/>
          <w:sz w:val="32"/>
          <w:szCs w:val="32"/>
          <w:lang w:eastAsia="zh-CN"/>
        </w:rPr>
        <w:t>宗，其中审批同意量为</w:t>
      </w:r>
      <w:r>
        <w:rPr>
          <w:rFonts w:hint="eastAsia" w:ascii="仿宋_GB2312" w:hAnsi="仿宋_GB2312" w:eastAsia="仿宋_GB2312" w:cs="仿宋_GB2312"/>
          <w:sz w:val="32"/>
          <w:szCs w:val="32"/>
          <w:lang w:val="en-US" w:eastAsia="zh-CN"/>
        </w:rPr>
        <w:t>288</w:t>
      </w:r>
      <w:r>
        <w:rPr>
          <w:rFonts w:hint="eastAsia" w:ascii="仿宋_GB2312" w:hAnsi="仿宋_GB2312" w:eastAsia="仿宋_GB2312" w:cs="仿宋_GB2312"/>
          <w:sz w:val="32"/>
          <w:szCs w:val="32"/>
          <w:lang w:eastAsia="zh-CN"/>
        </w:rPr>
        <w:t>宗，审批不同意量为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宗；网上受理量为</w:t>
      </w:r>
      <w:r>
        <w:rPr>
          <w:rFonts w:hint="eastAsia" w:ascii="仿宋_GB2312" w:hAnsi="仿宋_GB2312" w:eastAsia="仿宋_GB2312" w:cs="仿宋_GB2312"/>
          <w:sz w:val="32"/>
          <w:szCs w:val="32"/>
          <w:lang w:val="en-US" w:eastAsia="zh-CN"/>
        </w:rPr>
        <w:t>159宗，网上全流程办结量为0宗</w:t>
      </w:r>
      <w:r>
        <w:rPr>
          <w:rFonts w:hint="eastAsia" w:ascii="仿宋_GB2312" w:hAnsi="仿宋_GB2312" w:eastAsia="仿宋_GB2312" w:cs="仿宋_GB2312"/>
          <w:sz w:val="32"/>
          <w:szCs w:val="32"/>
          <w:lang w:eastAsia="zh-CN"/>
        </w:rPr>
        <w:t>。</w:t>
      </w:r>
    </w:p>
    <w:p w14:paraId="54D48CF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（一）依法实施情况</w:t>
      </w:r>
    </w:p>
    <w:p w14:paraId="68D71B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hAnsi="仿宋_GB2312" w:eastAsia="仿宋_GB2312" w:cs="仿宋_GB2312"/>
          <w:sz w:val="32"/>
          <w:szCs w:val="32"/>
          <w:lang w:eastAsia="zh-CN"/>
        </w:rPr>
        <w:t>本单位严格遵守法律法规规定的审批权限、范围、程序、条件</w:t>
      </w:r>
      <w:r>
        <w:rPr>
          <w:rFonts w:hint="eastAsia" w:ascii="仿宋_GB2312" w:eastAsia="仿宋_GB2312"/>
          <w:sz w:val="32"/>
          <w:szCs w:val="32"/>
        </w:rPr>
        <w:t>的要求，落实行政许可事项办理，认真执行一次性告知、限时办结等服务承诺制度。</w:t>
      </w:r>
      <w:r>
        <w:rPr>
          <w:rFonts w:hint="eastAsia" w:eastAsia="仿宋_GB2312"/>
          <w:sz w:val="32"/>
          <w:szCs w:val="32"/>
        </w:rPr>
        <w:t>结合</w:t>
      </w:r>
      <w:r>
        <w:rPr>
          <w:rFonts w:eastAsia="仿宋_GB2312"/>
          <w:sz w:val="32"/>
          <w:szCs w:val="32"/>
        </w:rPr>
        <w:t>实际工作，</w:t>
      </w:r>
      <w:r>
        <w:rPr>
          <w:rFonts w:hint="eastAsia" w:eastAsia="仿宋_GB2312"/>
          <w:sz w:val="32"/>
          <w:szCs w:val="32"/>
        </w:rPr>
        <w:t>不断</w:t>
      </w:r>
      <w:r>
        <w:rPr>
          <w:rFonts w:eastAsia="仿宋_GB2312"/>
          <w:sz w:val="32"/>
          <w:szCs w:val="32"/>
        </w:rPr>
        <w:t>优化审批办理流程，精简办事材料，缩短办事时限</w:t>
      </w:r>
      <w:r>
        <w:rPr>
          <w:rFonts w:hint="eastAsia" w:eastAsia="仿宋_GB2312"/>
          <w:sz w:val="32"/>
          <w:szCs w:val="32"/>
          <w:lang w:eastAsia="zh-CN"/>
        </w:rPr>
        <w:t>，</w:t>
      </w:r>
      <w:r>
        <w:rPr>
          <w:rFonts w:hint="eastAsia" w:ascii="仿宋_GB2312" w:eastAsia="仿宋_GB2312"/>
          <w:sz w:val="32"/>
          <w:szCs w:val="32"/>
        </w:rPr>
        <w:t>实际平均办结时间比承诺办结期限有所减少，无发现违法违规行为、变相设定和实施行政许可等情况</w:t>
      </w:r>
      <w:r>
        <w:rPr>
          <w:rFonts w:ascii="仿宋_GB2312" w:eastAsia="仿宋_GB2312"/>
          <w:sz w:val="32"/>
          <w:szCs w:val="32"/>
        </w:rPr>
        <w:t>。</w:t>
      </w:r>
    </w:p>
    <w:p w14:paraId="719910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（二）公开公示情况</w:t>
      </w:r>
    </w:p>
    <w:p w14:paraId="5E0E322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通过广东政务服务网或办事指南小册子等方式，向社会公开行政许可事项的实施主体、依据、程序、条件、期限、裁量标准、申请材料及办法、收费标准、申请书格式文本、咨询投诉方式等信息。公开公示信息明确、细化，便于群众查询和办理。同时，及时向社会公开行政许可实施和结果情况，保障了群众的知情权和监督权。</w:t>
      </w:r>
    </w:p>
    <w:p w14:paraId="1D6D818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（三）监督管理情况</w:t>
      </w:r>
    </w:p>
    <w:p w14:paraId="680C49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本单位制定并实施了行政审批有关监管制度、措施和标准，强化对行政审批相对人活动的监督检查。202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年度，共开展监督检查</w:t>
      </w:r>
      <w:r>
        <w:rPr>
          <w:rFonts w:hint="eastAsia" w:ascii="仿宋_GB2312" w:hAnsi="仿宋_GB2312" w:eastAsia="仿宋_GB2312" w:cs="仿宋_GB2312"/>
          <w:sz w:val="32"/>
          <w:szCs w:val="32"/>
          <w:lang w:val="en-US" w:eastAsia="zh-CN"/>
        </w:rPr>
        <w:t>18人</w:t>
      </w:r>
      <w:r>
        <w:rPr>
          <w:rFonts w:hint="eastAsia" w:ascii="仿宋_GB2312" w:hAnsi="仿宋_GB2312" w:eastAsia="仿宋_GB2312" w:cs="仿宋_GB2312"/>
          <w:sz w:val="32"/>
          <w:szCs w:val="32"/>
          <w:lang w:eastAsia="zh-CN"/>
        </w:rPr>
        <w:t>次，无发现并查处违法违规行为。单位内部对行政审批实施行为进行了严格监督，确保审批工作规范有序。全年未收到行政许可事项办理过程中的投诉举报。</w:t>
      </w:r>
    </w:p>
    <w:p w14:paraId="331A6DF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（四）实施效果情况</w:t>
      </w:r>
    </w:p>
    <w:p w14:paraId="612180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单位行政许可事项的实施达到了预期目的和效果，在规范市场和社会秩序、推动经济社会健康快速发展、提高经济和社会效益等方面取得了显著成效。通过优化审批流程、提高审批效率，行政相对人的认可度和满意度显著提升。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年度，行政许可事项无出现超期办结的情况，未收到群众关于行政许可实施行为的相关投诉。</w:t>
      </w:r>
    </w:p>
    <w:p w14:paraId="6B335F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（五）创新方式情况</w:t>
      </w:r>
    </w:p>
    <w:p w14:paraId="1CA21B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Cs/>
          <w:kern w:val="0"/>
          <w:sz w:val="32"/>
          <w:szCs w:val="32"/>
        </w:rPr>
      </w:pPr>
      <w:r>
        <w:rPr>
          <w:rFonts w:hint="eastAsia" w:ascii="仿宋_GB2312" w:hAnsi="仿宋_GB2312" w:eastAsia="仿宋_GB2312" w:cs="仿宋_GB2312"/>
          <w:sz w:val="32"/>
          <w:szCs w:val="32"/>
          <w:lang w:eastAsia="zh-CN"/>
        </w:rPr>
        <w:t>为提升审批效率和服务质量，</w:t>
      </w:r>
      <w:r>
        <w:rPr>
          <w:rFonts w:hint="eastAsia" w:ascii="仿宋_GB2312" w:hAnsi="仿宋_GB2312" w:eastAsia="仿宋_GB2312" w:cs="仿宋_GB2312"/>
          <w:bCs/>
          <w:kern w:val="0"/>
          <w:sz w:val="32"/>
          <w:szCs w:val="32"/>
          <w:lang w:val="en-US" w:eastAsia="zh-CN"/>
        </w:rPr>
        <w:t>方便</w:t>
      </w:r>
      <w:r>
        <w:rPr>
          <w:rFonts w:hint="eastAsia" w:ascii="仿宋_GB2312" w:hAnsi="仿宋_GB2312" w:eastAsia="仿宋_GB2312" w:cs="仿宋_GB2312"/>
          <w:bCs/>
          <w:kern w:val="0"/>
          <w:sz w:val="32"/>
          <w:szCs w:val="32"/>
        </w:rPr>
        <w:t>村民办事，避免有建房需求的群众办手续时在村、镇之间来回跑，我镇推行农村</w:t>
      </w:r>
      <w:r>
        <w:rPr>
          <w:rFonts w:hint="eastAsia" w:ascii="仿宋_GB2312" w:hAnsi="仿宋_GB2312" w:eastAsia="仿宋_GB2312" w:cs="仿宋_GB2312"/>
          <w:bCs/>
          <w:kern w:val="0"/>
          <w:sz w:val="32"/>
          <w:szCs w:val="32"/>
          <w:lang w:val="en-US" w:eastAsia="zh-CN"/>
        </w:rPr>
        <w:t>宅基地</w:t>
      </w:r>
      <w:r>
        <w:rPr>
          <w:rFonts w:hint="eastAsia" w:ascii="仿宋_GB2312" w:hAnsi="仿宋_GB2312" w:eastAsia="仿宋_GB2312" w:cs="仿宋_GB2312"/>
          <w:bCs/>
          <w:kern w:val="0"/>
          <w:sz w:val="32"/>
          <w:szCs w:val="32"/>
        </w:rPr>
        <w:t>手续村级全程代办制度，由村专职人员指导和核查村民提交资料，并进行公示后，将资料交到镇规划建设办</w:t>
      </w:r>
      <w:r>
        <w:rPr>
          <w:rFonts w:hint="eastAsia" w:ascii="仿宋_GB2312" w:hAnsi="仿宋_GB2312" w:eastAsia="仿宋_GB2312" w:cs="仿宋_GB2312"/>
          <w:bCs/>
          <w:kern w:val="0"/>
          <w:sz w:val="32"/>
          <w:szCs w:val="32"/>
          <w:lang w:eastAsia="zh-CN"/>
        </w:rPr>
        <w:t>、</w:t>
      </w:r>
      <w:r>
        <w:rPr>
          <w:rFonts w:hint="eastAsia" w:ascii="仿宋_GB2312" w:hAnsi="仿宋_GB2312" w:eastAsia="仿宋_GB2312" w:cs="仿宋_GB2312"/>
          <w:bCs/>
          <w:kern w:val="0"/>
          <w:sz w:val="32"/>
          <w:szCs w:val="32"/>
          <w:lang w:val="en-US" w:eastAsia="zh-CN"/>
        </w:rPr>
        <w:t>农业农村办</w:t>
      </w:r>
      <w:r>
        <w:rPr>
          <w:rFonts w:hint="eastAsia" w:ascii="仿宋_GB2312" w:hAnsi="仿宋_GB2312" w:eastAsia="仿宋_GB2312" w:cs="仿宋_GB2312"/>
          <w:bCs/>
          <w:kern w:val="0"/>
          <w:sz w:val="32"/>
          <w:szCs w:val="32"/>
        </w:rPr>
        <w:t>进行复审，</w:t>
      </w:r>
      <w:r>
        <w:rPr>
          <w:rFonts w:ascii="仿宋_GB2312" w:hAnsi="仿宋_GB2312" w:eastAsia="仿宋_GB2312" w:cs="仿宋_GB2312"/>
          <w:bCs/>
          <w:kern w:val="0"/>
          <w:sz w:val="32"/>
          <w:szCs w:val="32"/>
        </w:rPr>
        <w:t>进一步提高办事效率</w:t>
      </w:r>
      <w:r>
        <w:rPr>
          <w:rFonts w:hint="eastAsia" w:ascii="仿宋_GB2312" w:hAnsi="仿宋_GB2312" w:eastAsia="仿宋_GB2312" w:cs="仿宋_GB2312"/>
          <w:bCs/>
          <w:kern w:val="0"/>
          <w:sz w:val="32"/>
          <w:szCs w:val="32"/>
        </w:rPr>
        <w:t>。</w:t>
      </w:r>
    </w:p>
    <w:p w14:paraId="54515A6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（六）推行标准化情况</w:t>
      </w:r>
    </w:p>
    <w:p w14:paraId="13735F35">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Arial" w:eastAsia="仿宋_GB2312" w:cs="Arial"/>
          <w:color w:val="191919"/>
          <w:sz w:val="32"/>
          <w:szCs w:val="32"/>
          <w:shd w:val="clear" w:color="auto" w:fill="FFFFFF"/>
        </w:rPr>
      </w:pPr>
      <w:r>
        <w:rPr>
          <w:rFonts w:hint="eastAsia" w:ascii="仿宋_GB2312" w:hAnsi="仿宋_GB2312" w:eastAsia="仿宋_GB2312" w:cs="仿宋_GB2312"/>
          <w:sz w:val="32"/>
          <w:szCs w:val="32"/>
          <w:lang w:eastAsia="zh-CN"/>
        </w:rPr>
        <w:t>本单位按照《广东省行政许可监督管理条例》和《广东省行政审批业务手册编写规范》的</w:t>
      </w:r>
      <w:r>
        <w:rPr>
          <w:rFonts w:eastAsia="仿宋_GB2312"/>
          <w:sz w:val="32"/>
          <w:szCs w:val="32"/>
        </w:rPr>
        <w:t>等</w:t>
      </w:r>
      <w:r>
        <w:rPr>
          <w:rFonts w:hint="eastAsia" w:eastAsia="仿宋_GB2312"/>
          <w:sz w:val="32"/>
          <w:szCs w:val="32"/>
        </w:rPr>
        <w:t>文件</w:t>
      </w:r>
      <w:r>
        <w:rPr>
          <w:rFonts w:hint="eastAsia" w:eastAsia="仿宋_GB2312"/>
          <w:sz w:val="32"/>
          <w:szCs w:val="32"/>
          <w:lang w:eastAsia="zh-CN"/>
        </w:rPr>
        <w:t>要求</w:t>
      </w:r>
      <w:r>
        <w:rPr>
          <w:rFonts w:hint="eastAsia" w:eastAsia="仿宋_GB2312"/>
          <w:sz w:val="32"/>
          <w:szCs w:val="32"/>
        </w:rPr>
        <w:t>，进一步规范办事指南编制标准，强化办事指南动态更新，</w:t>
      </w:r>
      <w:r>
        <w:rPr>
          <w:rFonts w:eastAsia="仿宋_GB2312"/>
          <w:sz w:val="32"/>
          <w:szCs w:val="32"/>
        </w:rPr>
        <w:t>规范行政许可事项名称、实施依据、申请条件、申请材料、办理时限、受理范围等要素</w:t>
      </w:r>
      <w:r>
        <w:rPr>
          <w:rFonts w:hint="eastAsia" w:eastAsia="仿宋_GB2312"/>
          <w:sz w:val="32"/>
          <w:szCs w:val="32"/>
        </w:rPr>
        <w:t>，</w:t>
      </w:r>
      <w:r>
        <w:rPr>
          <w:rFonts w:eastAsia="仿宋_GB2312"/>
          <w:sz w:val="32"/>
          <w:szCs w:val="32"/>
        </w:rPr>
        <w:t>减少自由裁量权</w:t>
      </w:r>
      <w:r>
        <w:rPr>
          <w:rFonts w:hint="eastAsia" w:eastAsia="仿宋_GB2312"/>
          <w:sz w:val="32"/>
          <w:szCs w:val="32"/>
        </w:rPr>
        <w:t>，</w:t>
      </w:r>
      <w:r>
        <w:rPr>
          <w:rFonts w:hint="eastAsia" w:ascii="仿宋_GB2312" w:hAnsi="Arial" w:eastAsia="仿宋_GB2312" w:cs="Arial"/>
          <w:color w:val="191919"/>
          <w:sz w:val="32"/>
          <w:szCs w:val="32"/>
          <w:shd w:val="clear" w:color="auto" w:fill="FFFFFF"/>
        </w:rPr>
        <w:t>为企业群众提供准确、清晰、全面的办事指引。</w:t>
      </w:r>
    </w:p>
    <w:p w14:paraId="7C0EAE0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191919"/>
          <w:sz w:val="32"/>
          <w:szCs w:val="32"/>
          <w:shd w:val="clear" w:color="auto" w:fill="FFFFFF"/>
        </w:rPr>
      </w:pPr>
      <w:r>
        <w:rPr>
          <w:rFonts w:hint="eastAsia" w:ascii="黑体" w:hAnsi="黑体" w:eastAsia="黑体" w:cs="黑体"/>
          <w:sz w:val="32"/>
          <w:szCs w:val="32"/>
          <w:lang w:eastAsia="zh-CN"/>
        </w:rPr>
        <w:t>存在问题和困难</w:t>
      </w:r>
    </w:p>
    <w:p w14:paraId="0B59545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Arial" w:eastAsia="仿宋_GB2312" w:cs="Arial"/>
          <w:color w:val="191919"/>
          <w:sz w:val="32"/>
          <w:szCs w:val="32"/>
          <w:shd w:val="clear" w:color="auto" w:fill="FFFFFF"/>
        </w:rPr>
      </w:pPr>
      <w:r>
        <w:rPr>
          <w:rFonts w:hint="eastAsia" w:ascii="仿宋_GB2312" w:hAnsi="Arial" w:eastAsia="仿宋_GB2312" w:cs="Arial"/>
          <w:color w:val="191919"/>
          <w:sz w:val="32"/>
          <w:szCs w:val="32"/>
          <w:shd w:val="clear" w:color="auto" w:fill="FFFFFF"/>
          <w:lang w:val="en-US" w:eastAsia="zh-CN"/>
        </w:rPr>
        <w:t>当前我镇农村宅基地审批管理主要面临规划管控、资格核查、政策落地三大难题，导致群众合理住房需求难以得到有效保障，审批监管环节也存在短板。具体如下：</w:t>
      </w:r>
    </w:p>
    <w:p w14:paraId="2586D343">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楷体" w:hAnsi="楷体" w:eastAsia="楷体" w:cs="楷体"/>
          <w:color w:val="191919"/>
          <w:sz w:val="32"/>
          <w:szCs w:val="32"/>
          <w:shd w:val="clear" w:color="auto" w:fill="FFFFFF"/>
        </w:rPr>
      </w:pPr>
      <w:r>
        <w:rPr>
          <w:rFonts w:hint="eastAsia" w:ascii="楷体" w:hAnsi="楷体" w:eastAsia="楷体" w:cs="楷体"/>
          <w:color w:val="191919"/>
          <w:sz w:val="32"/>
          <w:szCs w:val="32"/>
          <w:shd w:val="clear" w:color="auto" w:fill="FFFFFF"/>
        </w:rPr>
        <w:t>（一）规划管控严格，合规建房用地资源严重紧缺</w:t>
      </w:r>
    </w:p>
    <w:p w14:paraId="46B8CE95">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Arial" w:eastAsia="仿宋_GB2312" w:cs="Arial"/>
          <w:color w:val="191919"/>
          <w:kern w:val="2"/>
          <w:sz w:val="32"/>
          <w:szCs w:val="32"/>
          <w:shd w:val="clear" w:color="auto" w:fill="FFFFFF"/>
          <w:lang w:val="en-US" w:eastAsia="zh-CN" w:bidi="ar-SA"/>
        </w:rPr>
      </w:pPr>
      <w:r>
        <w:rPr>
          <w:rFonts w:hint="eastAsia" w:ascii="仿宋_GB2312" w:hAnsi="Arial" w:eastAsia="仿宋_GB2312" w:cs="Arial"/>
          <w:color w:val="191919"/>
          <w:sz w:val="32"/>
          <w:szCs w:val="32"/>
          <w:shd w:val="clear" w:color="auto" w:fill="FFFFFF"/>
          <w:lang w:val="en-US" w:eastAsia="zh-CN"/>
        </w:rPr>
        <w:t>宅基地建房需符合规划、不触碰各类红线，合规用地本就紧缺。</w:t>
      </w:r>
      <w:r>
        <w:rPr>
          <w:rFonts w:hint="eastAsia" w:ascii="仿宋_GB2312" w:hAnsi="Arial" w:eastAsia="仿宋_GB2312" w:cs="Arial"/>
          <w:color w:val="191919"/>
          <w:kern w:val="2"/>
          <w:sz w:val="32"/>
          <w:szCs w:val="32"/>
          <w:shd w:val="clear" w:color="auto" w:fill="FFFFFF"/>
          <w:lang w:val="en-US" w:eastAsia="zh-CN" w:bidi="ar-SA"/>
        </w:rPr>
        <w:t>一是部分辖区村的旧村庄规划存在偏移，致使存在与国土空间规划衔接存在差异；新一轮的村庄规划与上级的国土空间规划衔接不上，导致新的村庄规划迟迟未落地，村民无法办理建房规划许可。二是市桥河涌管控严格，位于我镇大刀沙村村民住宅均位于市桥河道管控范围内，村民旧房无法按规拆建。</w:t>
      </w:r>
    </w:p>
    <w:p w14:paraId="21AF27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Arial" w:eastAsia="仿宋_GB2312" w:cs="Arial"/>
          <w:color w:val="191919"/>
          <w:sz w:val="32"/>
          <w:szCs w:val="32"/>
          <w:shd w:val="clear" w:color="auto" w:fill="FFFFFF"/>
          <w:lang w:val="en-US" w:eastAsia="zh-CN"/>
        </w:rPr>
      </w:pPr>
      <w:r>
        <w:rPr>
          <w:rFonts w:hint="eastAsia" w:ascii="仿宋_GB2312" w:hAnsi="Arial" w:eastAsia="仿宋_GB2312" w:cs="Arial"/>
          <w:color w:val="191919"/>
          <w:sz w:val="32"/>
          <w:szCs w:val="32"/>
          <w:shd w:val="clear" w:color="auto" w:fill="FFFFFF"/>
          <w:lang w:val="en-US" w:eastAsia="zh-CN"/>
        </w:rPr>
        <w:t>（二）宅基地审批执法存在难点</w:t>
      </w:r>
    </w:p>
    <w:p w14:paraId="6DB2EC66">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Arial" w:eastAsia="仿宋_GB2312" w:cs="Arial"/>
          <w:color w:val="191919"/>
          <w:sz w:val="32"/>
          <w:szCs w:val="32"/>
          <w:shd w:val="clear" w:color="auto" w:fill="FFFFFF"/>
          <w:lang w:eastAsia="zh-CN"/>
        </w:rPr>
      </w:pPr>
      <w:r>
        <w:rPr>
          <w:rFonts w:hint="eastAsia" w:ascii="仿宋_GB2312" w:hAnsi="Arial" w:eastAsia="仿宋_GB2312" w:cs="Arial"/>
          <w:color w:val="191919"/>
          <w:sz w:val="32"/>
          <w:szCs w:val="32"/>
          <w:shd w:val="clear" w:color="auto" w:fill="FFFFFF"/>
          <w:lang w:eastAsia="zh-CN"/>
        </w:rPr>
        <w:t>一是农村宅基地用地</w:t>
      </w:r>
      <w:r>
        <w:rPr>
          <w:rFonts w:hint="eastAsia" w:ascii="仿宋_GB2312" w:hAnsi="Arial" w:eastAsia="仿宋_GB2312" w:cs="Arial"/>
          <w:color w:val="191919"/>
          <w:sz w:val="32"/>
          <w:szCs w:val="32"/>
          <w:shd w:val="clear" w:color="auto" w:fill="FFFFFF"/>
          <w:lang w:val="en-US" w:eastAsia="zh-CN"/>
        </w:rPr>
        <w:t>条件制约较多</w:t>
      </w:r>
      <w:r>
        <w:rPr>
          <w:rFonts w:hint="eastAsia" w:ascii="仿宋_GB2312" w:hAnsi="Arial" w:eastAsia="仿宋_GB2312" w:cs="Arial"/>
          <w:color w:val="191919"/>
          <w:sz w:val="32"/>
          <w:szCs w:val="32"/>
          <w:shd w:val="clear" w:color="auto" w:fill="FFFFFF"/>
          <w:lang w:eastAsia="zh-CN"/>
        </w:rPr>
        <w:t>。农村宅基地拟</w:t>
      </w:r>
      <w:r>
        <w:rPr>
          <w:rFonts w:hint="eastAsia" w:ascii="仿宋_GB2312" w:hAnsi="Arial" w:eastAsia="仿宋_GB2312" w:cs="Arial"/>
          <w:color w:val="191919"/>
          <w:sz w:val="32"/>
          <w:szCs w:val="32"/>
          <w:shd w:val="clear" w:color="auto" w:fill="FFFFFF"/>
          <w:lang w:val="en-US" w:eastAsia="zh-CN"/>
        </w:rPr>
        <w:t>选址地块须为建设用地</w:t>
      </w:r>
      <w:r>
        <w:rPr>
          <w:rFonts w:hint="eastAsia" w:ascii="仿宋_GB2312" w:hAnsi="Arial" w:eastAsia="仿宋_GB2312" w:cs="Arial"/>
          <w:color w:val="191919"/>
          <w:sz w:val="32"/>
          <w:szCs w:val="32"/>
          <w:shd w:val="clear" w:color="auto" w:fill="FFFFFF"/>
          <w:lang w:eastAsia="zh-CN"/>
        </w:rPr>
        <w:t>，符合土</w:t>
      </w:r>
      <w:r>
        <w:rPr>
          <w:rFonts w:hint="eastAsia" w:ascii="仿宋_GB2312" w:hAnsi="Arial" w:eastAsia="仿宋_GB2312" w:cs="Arial"/>
          <w:color w:val="191919"/>
          <w:sz w:val="32"/>
          <w:szCs w:val="32"/>
          <w:shd w:val="clear" w:color="auto" w:fill="FFFFFF"/>
          <w:lang w:val="en-US" w:eastAsia="zh-CN"/>
        </w:rPr>
        <w:t>地利用规划、城乡规划及乡镇规划，且不得位于河涌控制线等各类红线管控范围内</w:t>
      </w:r>
      <w:r>
        <w:rPr>
          <w:rFonts w:hint="eastAsia" w:ascii="仿宋_GB2312" w:hAnsi="Arial" w:eastAsia="仿宋_GB2312" w:cs="Arial"/>
          <w:color w:val="191919"/>
          <w:sz w:val="32"/>
          <w:szCs w:val="32"/>
          <w:shd w:val="clear" w:color="auto" w:fill="FFFFFF"/>
          <w:lang w:eastAsia="zh-CN"/>
        </w:rPr>
        <w:t>。沙田片</w:t>
      </w:r>
      <w:r>
        <w:rPr>
          <w:rFonts w:hint="eastAsia" w:ascii="仿宋_GB2312" w:hAnsi="Arial" w:eastAsia="仿宋_GB2312" w:cs="Arial"/>
          <w:color w:val="191919"/>
          <w:sz w:val="32"/>
          <w:szCs w:val="32"/>
          <w:shd w:val="clear" w:color="auto" w:fill="FFFFFF"/>
          <w:lang w:val="en-US" w:eastAsia="zh-CN"/>
        </w:rPr>
        <w:t>区</w:t>
      </w:r>
      <w:r>
        <w:rPr>
          <w:rFonts w:hint="eastAsia" w:ascii="仿宋_GB2312" w:hAnsi="Arial" w:eastAsia="仿宋_GB2312" w:cs="Arial"/>
          <w:color w:val="191919"/>
          <w:sz w:val="32"/>
          <w:szCs w:val="32"/>
          <w:shd w:val="clear" w:color="auto" w:fill="FFFFFF"/>
          <w:lang w:eastAsia="zh-CN"/>
        </w:rPr>
        <w:t>河网密布，</w:t>
      </w:r>
      <w:r>
        <w:rPr>
          <w:rFonts w:hint="eastAsia" w:ascii="仿宋_GB2312" w:hAnsi="Arial" w:eastAsia="仿宋_GB2312" w:cs="Arial"/>
          <w:color w:val="191919"/>
          <w:sz w:val="32"/>
          <w:szCs w:val="32"/>
          <w:shd w:val="clear" w:color="auto" w:fill="FFFFFF"/>
          <w:lang w:val="en-US" w:eastAsia="zh-CN"/>
        </w:rPr>
        <w:t>大部分区域均处于河涌控制线内，不具备建房条件，对群众解决居住需求形成较大制约</w:t>
      </w:r>
      <w:r>
        <w:rPr>
          <w:rFonts w:hint="eastAsia" w:ascii="仿宋_GB2312" w:hAnsi="Arial" w:eastAsia="仿宋_GB2312" w:cs="Arial"/>
          <w:color w:val="191919"/>
          <w:sz w:val="32"/>
          <w:szCs w:val="32"/>
          <w:shd w:val="clear" w:color="auto" w:fill="FFFFFF"/>
          <w:lang w:eastAsia="zh-CN"/>
        </w:rPr>
        <w:t>。</w:t>
      </w:r>
    </w:p>
    <w:p w14:paraId="4687B7B2">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Arial" w:eastAsia="仿宋_GB2312" w:cs="Arial"/>
          <w:color w:val="191919"/>
          <w:sz w:val="32"/>
          <w:szCs w:val="32"/>
          <w:shd w:val="clear" w:color="auto" w:fill="FFFFFF"/>
          <w:lang w:val="en-US" w:eastAsia="zh-CN"/>
        </w:rPr>
      </w:pPr>
      <w:r>
        <w:rPr>
          <w:rFonts w:hint="eastAsia" w:ascii="仿宋_GB2312" w:hAnsi="Arial" w:eastAsia="仿宋_GB2312" w:cs="Arial"/>
          <w:color w:val="191919"/>
          <w:sz w:val="32"/>
          <w:szCs w:val="32"/>
          <w:shd w:val="clear" w:color="auto" w:fill="FFFFFF"/>
          <w:lang w:eastAsia="zh-CN"/>
        </w:rPr>
        <w:t>二是缺乏查询“一户一宅”情况可靠依据。目前查询“一户一宅”情况主要依靠村委会提供的申请人上下两代关系信息，我办根据此信息核对“房地一体”等资料核实，除此之外没有其他依据。由于历年来大部门分房屋未办理房产证，而村委会可能存在瞒报情况，致使我办审批过程中有错批、多批的风险。</w:t>
      </w:r>
    </w:p>
    <w:p w14:paraId="7B24DCD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下一步工作措施及有关建议</w:t>
      </w:r>
    </w:p>
    <w:p w14:paraId="0A9BF107">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sz w:val="32"/>
          <w:szCs w:val="32"/>
          <w:lang w:eastAsia="zh-CN"/>
        </w:rPr>
      </w:pPr>
      <w:r>
        <w:rPr>
          <w:rFonts w:hint="eastAsia" w:eastAsia="仿宋_GB2312"/>
          <w:sz w:val="32"/>
          <w:szCs w:val="32"/>
          <w:lang w:eastAsia="zh-CN"/>
        </w:rPr>
        <w:t>在国</w:t>
      </w:r>
      <w:r>
        <w:rPr>
          <w:rFonts w:hint="eastAsia" w:eastAsia="仿宋_GB2312"/>
          <w:sz w:val="32"/>
          <w:szCs w:val="32"/>
        </w:rPr>
        <w:t>土空间规划和村庄规划时，要充分考虑宅基地的合理需求，为农村村民住宅建设用地预留空间</w:t>
      </w:r>
      <w:r>
        <w:rPr>
          <w:rFonts w:hint="eastAsia" w:eastAsia="仿宋_GB2312"/>
          <w:sz w:val="32"/>
          <w:szCs w:val="32"/>
          <w:lang w:eastAsia="zh-CN"/>
        </w:rPr>
        <w:t>，保障农民的合法权利。一是对于村民住宅涉及河涌管理线范围的，制定建筑物逐步退出机制，在退出机制出台前，符合“一户一宅”，应允许其按规办理《乡村建设规划许可证》。二是</w:t>
      </w:r>
      <w:r>
        <w:rPr>
          <w:rFonts w:hint="eastAsia" w:eastAsia="仿宋_GB2312"/>
          <w:sz w:val="32"/>
          <w:szCs w:val="32"/>
          <w:lang w:val="en-US" w:eastAsia="zh-CN"/>
        </w:rPr>
        <w:t>加快协调村庄规划与用地永海的衔接</w:t>
      </w:r>
      <w:r>
        <w:rPr>
          <w:rFonts w:hint="eastAsia" w:eastAsia="仿宋_GB2312"/>
          <w:sz w:val="32"/>
          <w:szCs w:val="32"/>
          <w:lang w:eastAsia="zh-CN"/>
        </w:rPr>
        <w:t>。</w:t>
      </w:r>
    </w:p>
    <w:p w14:paraId="1B8AFA00">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sz w:val="32"/>
          <w:szCs w:val="32"/>
          <w:lang w:eastAsia="zh-CN"/>
        </w:rPr>
      </w:pPr>
      <w:r>
        <w:rPr>
          <w:rFonts w:hint="eastAsia" w:eastAsia="仿宋_GB2312"/>
          <w:sz w:val="32"/>
          <w:szCs w:val="32"/>
          <w:lang w:eastAsia="zh-CN"/>
        </w:rPr>
        <w:t>一是严格审批标准，规范操作程序。按照流程不少，标准不降，资料不缺的基本要求，镇内各部门互相协调配合，精心组织联审，符合条件的及时审批，不符合条件的跟踪管控到位。</w:t>
      </w:r>
    </w:p>
    <w:p w14:paraId="1118A502">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sz w:val="32"/>
          <w:szCs w:val="32"/>
          <w:lang w:eastAsia="zh-CN"/>
        </w:rPr>
      </w:pPr>
      <w:r>
        <w:rPr>
          <w:rFonts w:hint="eastAsia" w:eastAsia="仿宋_GB2312"/>
          <w:sz w:val="32"/>
          <w:szCs w:val="32"/>
          <w:lang w:eastAsia="zh-CN"/>
        </w:rPr>
        <w:t>二是进一步开展宣传。持续开展农村宅基地管理审批方案宣讲，真正做到政策家喻户晓。</w:t>
      </w:r>
    </w:p>
    <w:p w14:paraId="1B013E4F">
      <w:pPr>
        <w:pStyle w:val="7"/>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sz w:val="32"/>
          <w:szCs w:val="32"/>
          <w:lang w:eastAsia="zh-CN"/>
        </w:rPr>
      </w:pPr>
      <w:r>
        <w:rPr>
          <w:rFonts w:hint="eastAsia" w:eastAsia="仿宋_GB2312"/>
          <w:sz w:val="32"/>
          <w:szCs w:val="32"/>
          <w:lang w:eastAsia="zh-CN"/>
        </w:rPr>
        <w:t>三是强化政策学习和培训。安排相关工作人员参加上级业务培训，同时扩大培训面，增加各村培训人数。</w:t>
      </w:r>
    </w:p>
    <w:p w14:paraId="65480B7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14:paraId="5BADF23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bookmarkStart w:id="0" w:name="_GoBack"/>
      <w:bookmarkEnd w:id="0"/>
    </w:p>
    <w:p w14:paraId="0899310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sectPr>
      <w:footerReference r:id="rId3" w:type="default"/>
      <w:pgSz w:w="11906" w:h="16838"/>
      <w:pgMar w:top="1587" w:right="1474" w:bottom="147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5F1390E-3346-46D0-8A4D-2A8D57E72762}"/>
  </w:font>
  <w:font w:name="黑体">
    <w:panose1 w:val="02010609060101010101"/>
    <w:charset w:val="86"/>
    <w:family w:val="auto"/>
    <w:pitch w:val="default"/>
    <w:sig w:usb0="800002BF" w:usb1="38CF7CFA" w:usb2="00000016" w:usb3="00000000" w:csb0="00040001" w:csb1="00000000"/>
    <w:embedRegular r:id="rId2" w:fontKey="{4E53EAF7-B090-4F6F-B31E-ADA00A2A69B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3" w:fontKey="{D13339FA-6D08-4BB3-BF39-0D6D1F6442FD}"/>
  </w:font>
  <w:font w:name="方正小标宋简体">
    <w:panose1 w:val="02000000000000000000"/>
    <w:charset w:val="86"/>
    <w:family w:val="auto"/>
    <w:pitch w:val="default"/>
    <w:sig w:usb0="00000001" w:usb1="08000000" w:usb2="00000000" w:usb3="00000000" w:csb0="00040000" w:csb1="00000000"/>
    <w:embedRegular r:id="rId4" w:fontKey="{64049010-22E5-4CB1-B1A2-5F3E68BA5793}"/>
  </w:font>
  <w:font w:name="楷体_GB2312">
    <w:panose1 w:val="02010609030101010101"/>
    <w:charset w:val="86"/>
    <w:family w:val="auto"/>
    <w:pitch w:val="default"/>
    <w:sig w:usb0="00000001" w:usb1="080E0000" w:usb2="00000000" w:usb3="00000000" w:csb0="00040000" w:csb1="00000000"/>
    <w:embedRegular r:id="rId5" w:fontKey="{98716347-03B8-4BD3-906E-BAF4154FB5B1}"/>
  </w:font>
  <w:font w:name="楷体">
    <w:panose1 w:val="02010609060101010101"/>
    <w:charset w:val="86"/>
    <w:family w:val="auto"/>
    <w:pitch w:val="default"/>
    <w:sig w:usb0="800002BF" w:usb1="38CF7CFA" w:usb2="00000016" w:usb3="00000000" w:csb0="00040001" w:csb1="00000000"/>
    <w:embedRegular r:id="rId6" w:fontKey="{6F36E1B8-4925-43E4-9657-59CD5766CDE4}"/>
  </w:font>
  <w:font w:name="WPSEMBED1">
    <w:panose1 w:val="02010609030101010101"/>
    <w:charset w:val="86"/>
    <w:family w:val="auto"/>
    <w:pitch w:val="default"/>
    <w:sig w:usb0="00000001" w:usb1="080E0000" w:usb2="00000000" w:usb3="00000000" w:csb0="00040000" w:csb1="00000000"/>
  </w:font>
  <w:font w:name="WPSEMBED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C4FFF">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89EA25">
                          <w:pPr>
                            <w:pStyle w:val="5"/>
                          </w:pPr>
                          <w: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489EA25">
                    <w:pPr>
                      <w:pStyle w:val="5"/>
                    </w:pPr>
                    <w:r>
                      <w:t xml:space="preserve">— </w:t>
                    </w:r>
                    <w:r>
                      <w:rPr>
                        <w:rFonts w:hint="default" w:ascii="Times New Roman" w:hAnsi="Times New Roman" w:cs="Times New Roman"/>
                        <w:sz w:val="32"/>
                        <w:szCs w:val="32"/>
                      </w:rPr>
                      <w:fldChar w:fldCharType="begin"/>
                    </w:r>
                    <w:r>
                      <w:rPr>
                        <w:rFonts w:hint="default" w:ascii="Times New Roman" w:hAnsi="Times New Roman" w:cs="Times New Roman"/>
                        <w:sz w:val="32"/>
                        <w:szCs w:val="32"/>
                      </w:rPr>
                      <w:instrText xml:space="preserve"> PAGE  \* MERGEFORMAT </w:instrText>
                    </w:r>
                    <w:r>
                      <w:rPr>
                        <w:rFonts w:hint="default" w:ascii="Times New Roman" w:hAnsi="Times New Roman" w:cs="Times New Roman"/>
                        <w:sz w:val="32"/>
                        <w:szCs w:val="32"/>
                      </w:rPr>
                      <w:fldChar w:fldCharType="separate"/>
                    </w:r>
                    <w:r>
                      <w:rPr>
                        <w:rFonts w:hint="default" w:ascii="Times New Roman" w:hAnsi="Times New Roman" w:cs="Times New Roman"/>
                        <w:sz w:val="32"/>
                        <w:szCs w:val="32"/>
                      </w:rPr>
                      <w:t>1</w:t>
                    </w:r>
                    <w:r>
                      <w:rPr>
                        <w:rFonts w:hint="default" w:ascii="Times New Roman" w:hAnsi="Times New Roman" w:cs="Times New Roman"/>
                        <w:sz w:val="32"/>
                        <w:szCs w:val="32"/>
                      </w:rPr>
                      <w:fldChar w:fldCharType="end"/>
                    </w:r>
                    <w:r>
                      <w:rPr>
                        <w:rFonts w:hint="default" w:ascii="Times New Roman" w:hAnsi="Times New Roman" w:cs="Times New Roman"/>
                        <w:sz w:val="32"/>
                        <w:szCs w:val="32"/>
                      </w:rPr>
                      <w:t xml:space="preserve"> </w:t>
                    </w:r>
                    <w: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5F5E30"/>
    <w:multiLevelType w:val="singleLevel"/>
    <w:tmpl w:val="765F5E3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D1E2A"/>
    <w:rsid w:val="01485AA7"/>
    <w:rsid w:val="017442FA"/>
    <w:rsid w:val="01D42620"/>
    <w:rsid w:val="01DA23AF"/>
    <w:rsid w:val="027F4D04"/>
    <w:rsid w:val="04223B99"/>
    <w:rsid w:val="04C9670A"/>
    <w:rsid w:val="05C84ACD"/>
    <w:rsid w:val="05DE4E38"/>
    <w:rsid w:val="063E0A32"/>
    <w:rsid w:val="063F6C84"/>
    <w:rsid w:val="07943F08"/>
    <w:rsid w:val="07B13BB2"/>
    <w:rsid w:val="0C3F3B18"/>
    <w:rsid w:val="0CA737D5"/>
    <w:rsid w:val="0D5154EF"/>
    <w:rsid w:val="0E9953A0"/>
    <w:rsid w:val="0F764568"/>
    <w:rsid w:val="10437371"/>
    <w:rsid w:val="12695089"/>
    <w:rsid w:val="12A40585"/>
    <w:rsid w:val="13D413A1"/>
    <w:rsid w:val="1418728E"/>
    <w:rsid w:val="171F21BA"/>
    <w:rsid w:val="18E84B34"/>
    <w:rsid w:val="1A3348FA"/>
    <w:rsid w:val="1A911621"/>
    <w:rsid w:val="1C7A05BE"/>
    <w:rsid w:val="1CF245F9"/>
    <w:rsid w:val="1D344C11"/>
    <w:rsid w:val="1EA52335"/>
    <w:rsid w:val="1F2D2822"/>
    <w:rsid w:val="1FEF36FF"/>
    <w:rsid w:val="20060DBD"/>
    <w:rsid w:val="20A7394C"/>
    <w:rsid w:val="21570ECE"/>
    <w:rsid w:val="21611D4D"/>
    <w:rsid w:val="219B5502"/>
    <w:rsid w:val="21E12E8E"/>
    <w:rsid w:val="24EA02AB"/>
    <w:rsid w:val="265005E2"/>
    <w:rsid w:val="287E31E4"/>
    <w:rsid w:val="292A511A"/>
    <w:rsid w:val="29DF2AC4"/>
    <w:rsid w:val="2A2F1CCD"/>
    <w:rsid w:val="2A583C11"/>
    <w:rsid w:val="2AE121F5"/>
    <w:rsid w:val="2B5B15BB"/>
    <w:rsid w:val="2C21629A"/>
    <w:rsid w:val="2CED0939"/>
    <w:rsid w:val="2D1E0AF2"/>
    <w:rsid w:val="2DE27D71"/>
    <w:rsid w:val="32DA54BB"/>
    <w:rsid w:val="33D53ED4"/>
    <w:rsid w:val="3466148E"/>
    <w:rsid w:val="34BD6E42"/>
    <w:rsid w:val="36AC716F"/>
    <w:rsid w:val="36B64491"/>
    <w:rsid w:val="37C52BDE"/>
    <w:rsid w:val="38D429AD"/>
    <w:rsid w:val="39074B30"/>
    <w:rsid w:val="3A4A561C"/>
    <w:rsid w:val="3BCB0097"/>
    <w:rsid w:val="3D687B67"/>
    <w:rsid w:val="42165724"/>
    <w:rsid w:val="454157AD"/>
    <w:rsid w:val="460E6D84"/>
    <w:rsid w:val="4D502AF2"/>
    <w:rsid w:val="4E772300"/>
    <w:rsid w:val="50081462"/>
    <w:rsid w:val="50A56CB1"/>
    <w:rsid w:val="524D5852"/>
    <w:rsid w:val="53370803"/>
    <w:rsid w:val="53A92F5C"/>
    <w:rsid w:val="55180399"/>
    <w:rsid w:val="555E7D76"/>
    <w:rsid w:val="556F1F83"/>
    <w:rsid w:val="55986DE4"/>
    <w:rsid w:val="58AE2DC2"/>
    <w:rsid w:val="59926240"/>
    <w:rsid w:val="5A4411D4"/>
    <w:rsid w:val="5B323837"/>
    <w:rsid w:val="5C526A6B"/>
    <w:rsid w:val="5CA50038"/>
    <w:rsid w:val="5D063A90"/>
    <w:rsid w:val="5DD9443E"/>
    <w:rsid w:val="5FBA204D"/>
    <w:rsid w:val="601B6F8F"/>
    <w:rsid w:val="607D5554"/>
    <w:rsid w:val="66067D9A"/>
    <w:rsid w:val="69D361E5"/>
    <w:rsid w:val="6A1A2066"/>
    <w:rsid w:val="6B657311"/>
    <w:rsid w:val="6CBF6EF4"/>
    <w:rsid w:val="6D632B13"/>
    <w:rsid w:val="6FEF315A"/>
    <w:rsid w:val="71A32941"/>
    <w:rsid w:val="71F11B9F"/>
    <w:rsid w:val="72693B8A"/>
    <w:rsid w:val="73367D4D"/>
    <w:rsid w:val="75882579"/>
    <w:rsid w:val="77823305"/>
    <w:rsid w:val="79F521A7"/>
    <w:rsid w:val="7C1A4147"/>
    <w:rsid w:val="7C7E0232"/>
    <w:rsid w:val="7ED06D3F"/>
    <w:rsid w:val="7F2A2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2103</Words>
  <Characters>2133</Characters>
  <Lines>0</Lines>
  <Paragraphs>0</Paragraphs>
  <TotalTime>52</TotalTime>
  <ScaleCrop>false</ScaleCrop>
  <LinksUpToDate>false</LinksUpToDate>
  <CharactersWithSpaces>2133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2025-03-11T13:52:00Z</dcterms:created>
  <dc:creator>Administrator</dc:creator>
  <cp:lastModifiedBy>995</cp:lastModifiedBy>
  <dcterms:modified xsi:type="dcterms:W3CDTF">2026-03-26T03:07:58Z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eyJoZGlkIjoiNzcyYzZhYjVkYjQwMTkwZmM5MzAwMzYzNWZmMTZiMWMiLCJ1c2VySWQiOiIyNDc2MTcxNzUifQ==</vt:lpwstr>
  </property>
  <property fmtid="{D5CDD505-2E9C-101B-9397-08002B2CF9AE}" pid="4" name="ICV">
    <vt:lpwstr>564E44A25D07AEF7CB88C369A247B8A4_43</vt:lpwstr>
  </property>
</Properties>
</file>