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E1C12">
      <w:pPr>
        <w:pStyle w:val="13"/>
        <w:keepNext/>
        <w:keepLines/>
        <w:spacing w:before="0" w:after="0" w:line="560" w:lineRule="exact"/>
        <w:rPr>
          <w:rFonts w:ascii="方正小标宋简体" w:eastAsia="方正小标宋简体"/>
          <w:color w:val="auto"/>
          <w:lang w:val="en-US"/>
        </w:rPr>
      </w:pPr>
      <w:bookmarkStart w:id="0" w:name="bookmark1"/>
      <w:bookmarkStart w:id="1" w:name="bookmark2"/>
      <w:bookmarkStart w:id="2" w:name="bookmark0"/>
    </w:p>
    <w:p w14:paraId="35731EF1">
      <w:pPr>
        <w:pStyle w:val="13"/>
        <w:keepNext/>
        <w:keepLines/>
        <w:spacing w:before="0" w:after="0" w:line="560" w:lineRule="exact"/>
        <w:rPr>
          <w:rFonts w:ascii="方正小标宋简体" w:eastAsia="PMingLiU"/>
          <w:color w:val="auto"/>
          <w:lang w:val="en-US"/>
        </w:rPr>
      </w:pPr>
    </w:p>
    <w:p w14:paraId="77C3B71F">
      <w:pPr>
        <w:pStyle w:val="13"/>
        <w:keepNext/>
        <w:keepLines/>
        <w:spacing w:before="0" w:after="0" w:line="560" w:lineRule="exact"/>
        <w:rPr>
          <w:rFonts w:ascii="方正小标宋简体" w:eastAsia="PMingLiU"/>
          <w:color w:val="auto"/>
          <w:lang w:val="en-US"/>
        </w:rPr>
      </w:pPr>
    </w:p>
    <w:p w14:paraId="0674B5D0">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石楼镇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14:paraId="588F0794">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13</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12</w:t>
      </w:r>
      <w:r>
        <w:rPr>
          <w:rFonts w:hint="eastAsia" w:ascii="方正小标宋简体" w:eastAsia="方正小标宋简体"/>
          <w:b/>
          <w:bCs/>
          <w:color w:val="auto"/>
          <w:sz w:val="44"/>
          <w:szCs w:val="44"/>
          <w:lang w:eastAsia="zh-CN"/>
        </w:rPr>
        <w:t>日）</w:t>
      </w:r>
    </w:p>
    <w:p w14:paraId="7EB098E7">
      <w:pPr>
        <w:pStyle w:val="15"/>
        <w:spacing w:after="0" w:line="560" w:lineRule="exact"/>
        <w:ind w:firstLine="2522" w:firstLineChars="900"/>
        <w:jc w:val="both"/>
        <w:rPr>
          <w:rFonts w:ascii="仿宋_GB2312" w:eastAsia="PMingLiU"/>
          <w:b/>
          <w:color w:val="auto"/>
        </w:rPr>
      </w:pPr>
      <w:bookmarkStart w:id="3" w:name="bookmark4"/>
      <w:bookmarkStart w:id="4" w:name="bookmark3"/>
      <w:bookmarkStart w:id="5" w:name="bookmark5"/>
    </w:p>
    <w:p w14:paraId="5CCB1551">
      <w:pPr>
        <w:pStyle w:val="15"/>
        <w:spacing w:after="0" w:line="560" w:lineRule="exact"/>
        <w:ind w:firstLine="2522" w:firstLineChars="900"/>
        <w:jc w:val="both"/>
        <w:rPr>
          <w:rFonts w:ascii="仿宋_GB2312" w:eastAsia="PMingLiU"/>
          <w:b/>
          <w:color w:val="auto"/>
        </w:rPr>
      </w:pPr>
    </w:p>
    <w:p w14:paraId="58969B2F">
      <w:pPr>
        <w:pStyle w:val="15"/>
        <w:spacing w:after="0" w:line="560" w:lineRule="exact"/>
        <w:ind w:firstLine="2522" w:firstLineChars="900"/>
        <w:jc w:val="both"/>
        <w:rPr>
          <w:rFonts w:ascii="仿宋_GB2312" w:eastAsia="PMingLiU"/>
          <w:b/>
          <w:color w:val="auto"/>
        </w:rPr>
      </w:pPr>
    </w:p>
    <w:p w14:paraId="4906D1CB">
      <w:pPr>
        <w:pStyle w:val="15"/>
        <w:spacing w:after="0" w:line="560" w:lineRule="exact"/>
        <w:ind w:firstLine="2522" w:firstLineChars="900"/>
        <w:jc w:val="both"/>
        <w:rPr>
          <w:rFonts w:ascii="仿宋_GB2312" w:eastAsia="PMingLiU"/>
          <w:b/>
          <w:color w:val="auto"/>
        </w:rPr>
      </w:pPr>
    </w:p>
    <w:p w14:paraId="191C107F">
      <w:pPr>
        <w:pStyle w:val="15"/>
        <w:spacing w:after="0" w:line="560" w:lineRule="exact"/>
        <w:ind w:firstLine="2522" w:firstLineChars="900"/>
        <w:jc w:val="both"/>
        <w:rPr>
          <w:rFonts w:ascii="仿宋_GB2312" w:eastAsia="PMingLiU"/>
          <w:b/>
          <w:color w:val="auto"/>
        </w:rPr>
      </w:pPr>
    </w:p>
    <w:p w14:paraId="76D4483C">
      <w:pPr>
        <w:pStyle w:val="15"/>
        <w:spacing w:after="0" w:line="560" w:lineRule="exact"/>
        <w:ind w:firstLine="2522" w:firstLineChars="900"/>
        <w:jc w:val="both"/>
        <w:rPr>
          <w:rFonts w:ascii="仿宋_GB2312" w:eastAsia="PMingLiU"/>
          <w:b/>
          <w:color w:val="auto"/>
        </w:rPr>
      </w:pPr>
    </w:p>
    <w:p w14:paraId="6810D44F">
      <w:pPr>
        <w:pStyle w:val="15"/>
        <w:spacing w:after="0" w:line="560" w:lineRule="exact"/>
        <w:ind w:firstLine="2522" w:firstLineChars="900"/>
        <w:jc w:val="both"/>
        <w:rPr>
          <w:rFonts w:ascii="仿宋_GB2312" w:eastAsia="PMingLiU"/>
          <w:b/>
          <w:color w:val="auto"/>
        </w:rPr>
      </w:pPr>
    </w:p>
    <w:p w14:paraId="7EFDC461">
      <w:pPr>
        <w:pStyle w:val="15"/>
        <w:spacing w:after="0" w:line="560" w:lineRule="exact"/>
        <w:ind w:firstLine="2522" w:firstLineChars="900"/>
        <w:jc w:val="both"/>
        <w:rPr>
          <w:rFonts w:ascii="仿宋_GB2312" w:eastAsia="PMingLiU"/>
          <w:b/>
          <w:color w:val="auto"/>
        </w:rPr>
      </w:pPr>
    </w:p>
    <w:p w14:paraId="29FBE598">
      <w:pPr>
        <w:pStyle w:val="15"/>
        <w:spacing w:after="0" w:line="560" w:lineRule="exact"/>
        <w:ind w:firstLine="2522" w:firstLineChars="900"/>
        <w:jc w:val="both"/>
        <w:rPr>
          <w:rFonts w:ascii="仿宋_GB2312" w:eastAsia="PMingLiU"/>
          <w:b/>
          <w:color w:val="auto"/>
        </w:rPr>
      </w:pPr>
    </w:p>
    <w:p w14:paraId="5AA6BFE8">
      <w:pPr>
        <w:pStyle w:val="15"/>
        <w:spacing w:after="0" w:line="560" w:lineRule="exact"/>
        <w:ind w:firstLine="2522" w:firstLineChars="900"/>
        <w:jc w:val="both"/>
        <w:rPr>
          <w:rFonts w:ascii="仿宋_GB2312" w:eastAsia="PMingLiU"/>
          <w:b/>
          <w:color w:val="auto"/>
        </w:rPr>
      </w:pPr>
    </w:p>
    <w:p w14:paraId="68B94327">
      <w:pPr>
        <w:pStyle w:val="15"/>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0F33D5BF">
      <w:pPr>
        <w:pStyle w:val="15"/>
        <w:spacing w:after="0" w:line="560" w:lineRule="exact"/>
        <w:ind w:firstLine="2086" w:firstLineChars="742"/>
        <w:jc w:val="both"/>
        <w:rPr>
          <w:rFonts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石楼镇人民政府</w:t>
      </w:r>
    </w:p>
    <w:p w14:paraId="665ECE45">
      <w:pPr>
        <w:pStyle w:val="15"/>
        <w:spacing w:after="0" w:line="560" w:lineRule="exact"/>
        <w:ind w:firstLine="2086"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阳光天使社会工作服务中心</w:t>
      </w:r>
    </w:p>
    <w:p w14:paraId="0C783572">
      <w:pPr>
        <w:pStyle w:val="15"/>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2B8C5D6D">
      <w:pPr>
        <w:pStyle w:val="15"/>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2026年2</w:t>
      </w:r>
      <w:r>
        <w:rPr>
          <w:rFonts w:hint="eastAsia" w:ascii="仿宋_GB2312" w:eastAsia="仿宋_GB2312"/>
          <w:b/>
          <w:color w:val="auto"/>
          <w:lang w:val="en-US"/>
        </w:rPr>
        <w:t>月</w:t>
      </w:r>
      <w:r>
        <w:rPr>
          <w:rFonts w:hint="eastAsia" w:ascii="仿宋_GB2312" w:eastAsia="仿宋_GB2312"/>
          <w:b/>
          <w:color w:val="auto"/>
          <w:lang w:val="en-US" w:eastAsia="zh-CN"/>
        </w:rPr>
        <w:t>4</w:t>
      </w:r>
      <w:r>
        <w:rPr>
          <w:rFonts w:hint="eastAsia" w:ascii="仿宋_GB2312" w:eastAsia="仿宋_GB2312"/>
          <w:b/>
          <w:color w:val="auto"/>
          <w:lang w:val="en-US"/>
        </w:rPr>
        <w:t>日</w:t>
      </w:r>
    </w:p>
    <w:p w14:paraId="1ED6034E">
      <w:pPr>
        <w:pStyle w:val="15"/>
        <w:spacing w:after="0" w:line="240" w:lineRule="auto"/>
        <w:ind w:firstLine="0"/>
        <w:rPr>
          <w:color w:val="auto"/>
        </w:rPr>
      </w:pPr>
    </w:p>
    <w:p w14:paraId="490BAE21">
      <w:pPr>
        <w:pStyle w:val="15"/>
        <w:spacing w:after="0" w:line="240" w:lineRule="auto"/>
        <w:ind w:firstLine="0"/>
        <w:rPr>
          <w:color w:val="auto"/>
        </w:rPr>
      </w:pPr>
    </w:p>
    <w:p w14:paraId="671DDD12">
      <w:pPr>
        <w:pStyle w:val="15"/>
        <w:spacing w:after="0" w:line="240" w:lineRule="auto"/>
        <w:ind w:firstLine="0"/>
        <w:rPr>
          <w:color w:val="auto"/>
        </w:rPr>
      </w:pPr>
    </w:p>
    <w:p w14:paraId="33C30FBE">
      <w:pPr>
        <w:pStyle w:val="15"/>
        <w:spacing w:after="0" w:line="240" w:lineRule="auto"/>
        <w:ind w:firstLine="0"/>
        <w:rPr>
          <w:color w:val="auto"/>
        </w:rPr>
      </w:pPr>
    </w:p>
    <w:p w14:paraId="2F9DE758">
      <w:pPr>
        <w:pStyle w:val="15"/>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7201A44E">
      <w:pPr>
        <w:pStyle w:val="15"/>
        <w:spacing w:after="0" w:line="240" w:lineRule="auto"/>
        <w:ind w:firstLine="0"/>
        <w:rPr>
          <w:color w:val="auto"/>
        </w:rPr>
      </w:pPr>
    </w:p>
    <w:bookmarkEnd w:id="3"/>
    <w:bookmarkEnd w:id="4"/>
    <w:bookmarkEnd w:id="5"/>
    <w:p w14:paraId="58399014">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石楼镇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p>
    <w:p w14:paraId="041A6453">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13</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12</w:t>
      </w:r>
      <w:r>
        <w:rPr>
          <w:rFonts w:hint="eastAsia" w:ascii="方正小标宋简体" w:eastAsia="方正小标宋简体"/>
          <w:b/>
          <w:bCs/>
          <w:color w:val="auto"/>
          <w:sz w:val="44"/>
          <w:szCs w:val="44"/>
          <w:lang w:eastAsia="zh-CN"/>
        </w:rPr>
        <w:t>日）</w:t>
      </w:r>
    </w:p>
    <w:p w14:paraId="004E3F1D">
      <w:pPr>
        <w:pStyle w:val="15"/>
        <w:spacing w:after="0" w:line="560" w:lineRule="exact"/>
        <w:ind w:firstLine="0"/>
        <w:rPr>
          <w:rFonts w:ascii="方正小标宋简体" w:eastAsia="方正小标宋简体"/>
          <w:b/>
          <w:bCs/>
          <w:color w:val="auto"/>
          <w:sz w:val="44"/>
          <w:szCs w:val="44"/>
          <w:lang w:val="en-US" w:eastAsia="zh-CN"/>
        </w:rPr>
      </w:pPr>
    </w:p>
    <w:p w14:paraId="7E5C9B65">
      <w:pPr>
        <w:pStyle w:val="15"/>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石楼镇社工服务站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1CC7C247">
      <w:pPr>
        <w:pStyle w:val="13"/>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14:paraId="2EB261F7">
      <w:pPr>
        <w:pStyle w:val="15"/>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2月4日，番禺区社会组织联合会5位评委及2名工作人员对石楼镇社工站展开了中期评估工作。评估为期1天，主要通过听取社工站介绍、实地考察、查阅资料、面谈（访谈）、填写问卷、电访困难群众询问等形式，对石楼镇社工站的项目管理、服务开展情况以及项目成效等方面进行评估。评估团队主要完成了以下几方面的工作：</w:t>
      </w:r>
    </w:p>
    <w:p w14:paraId="7A9B3B8B">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14:paraId="61C7E4B5">
      <w:pPr>
        <w:pStyle w:val="15"/>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主要针对社工站硬件建设情况方面进行观察，以评估其设施开展专业服务的适宜性。</w:t>
      </w:r>
    </w:p>
    <w:p w14:paraId="2473748C">
      <w:pPr>
        <w:pStyle w:val="15"/>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14:paraId="26FB6C91">
      <w:pPr>
        <w:pStyle w:val="15"/>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14:paraId="2D2CC165">
      <w:pPr>
        <w:pStyle w:val="15"/>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由评委团队对评估进行总结，与社工站社工进行反馈，听取购买方对社工站工作开展的意见和建议，了解社工站同事对本次活动的反馈。</w:t>
      </w:r>
    </w:p>
    <w:p w14:paraId="14D25604">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14:paraId="176D1DC7">
      <w:pPr>
        <w:pStyle w:val="15"/>
        <w:pageBreakBefore w:val="0"/>
        <w:widowControl w:val="0"/>
        <w:numPr>
          <w:ilvl w:val="-1"/>
          <w:numId w:val="0"/>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政策依据：</w:t>
      </w:r>
      <w:r>
        <w:rPr>
          <w:rFonts w:hint="eastAsia" w:ascii="仿宋_GB2312" w:hAnsi="仿宋_GB2312" w:eastAsia="仿宋_GB2312" w:cs="仿宋_GB2312"/>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6D91E0E7">
      <w:pPr>
        <w:pStyle w:val="15"/>
        <w:pageBreakBefore w:val="0"/>
        <w:widowControl w:val="0"/>
        <w:numPr>
          <w:ilvl w:val="-1"/>
          <w:numId w:val="0"/>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w:t>
      </w:r>
    </w:p>
    <w:p w14:paraId="6DEE0B4B">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14:paraId="1B206C55">
      <w:pPr>
        <w:pStyle w:val="15"/>
        <w:pageBreakBefore w:val="0"/>
        <w:widowControl w:val="0"/>
        <w:numPr>
          <w:ilvl w:val="-1"/>
          <w:numId w:val="0"/>
        </w:numPr>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14:paraId="4AB78459">
      <w:pPr>
        <w:pStyle w:val="15"/>
        <w:pageBreakBefore w:val="0"/>
        <w:widowControl w:val="0"/>
        <w:numPr>
          <w:ilvl w:val="-1"/>
          <w:numId w:val="0"/>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14:paraId="17C258F2">
      <w:pPr>
        <w:pStyle w:val="15"/>
        <w:pageBreakBefore w:val="0"/>
        <w:widowControl w:val="0"/>
        <w:numPr>
          <w:ilvl w:val="-1"/>
          <w:numId w:val="0"/>
        </w:numPr>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24405D6B">
      <w:pPr>
        <w:pStyle w:val="15"/>
        <w:pageBreakBefore w:val="0"/>
        <w:widowControl w:val="0"/>
        <w:numPr>
          <w:ilvl w:val="-1"/>
          <w:numId w:val="0"/>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lang w:val="en-US" w:eastAsia="zh-CN"/>
        </w:rPr>
        <w:t>4.</w:t>
      </w:r>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5BFF9C37">
      <w:pPr>
        <w:pStyle w:val="15"/>
        <w:pageBreakBefore w:val="0"/>
        <w:widowControl w:val="0"/>
        <w:numPr>
          <w:ilvl w:val="-1"/>
          <w:numId w:val="0"/>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6126CE75">
      <w:pPr>
        <w:pStyle w:val="15"/>
        <w:pageBreakBefore w:val="0"/>
        <w:widowControl w:val="0"/>
        <w:numPr>
          <w:ilvl w:val="-1"/>
          <w:numId w:val="0"/>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14:paraId="782B2CCA">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14:paraId="6158FEB8">
      <w:pPr>
        <w:pStyle w:val="15"/>
        <w:pageBreakBefore w:val="0"/>
        <w:widowControl w:val="0"/>
        <w:numPr>
          <w:ilvl w:val="-1"/>
          <w:numId w:val="0"/>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lang w:eastAsia="zh-CN"/>
        </w:rPr>
        <w:t>制定评估计划</w:t>
      </w:r>
    </w:p>
    <w:p w14:paraId="51ABE67C">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根据最新管理办法要求及石楼镇社工站项目合同期限确定评估时间，制定好评估计划和评估通知。</w:t>
      </w:r>
    </w:p>
    <w:p w14:paraId="53022230">
      <w:pPr>
        <w:pStyle w:val="15"/>
        <w:pageBreakBefore w:val="0"/>
        <w:widowControl w:val="0"/>
        <w:numPr>
          <w:ilvl w:val="-1"/>
          <w:numId w:val="0"/>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自我评审阶段</w:t>
      </w:r>
    </w:p>
    <w:p w14:paraId="39AE4307">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14:paraId="4D3D7338">
      <w:pPr>
        <w:pStyle w:val="15"/>
        <w:pageBreakBefore w:val="0"/>
        <w:widowControl w:val="0"/>
        <w:numPr>
          <w:ilvl w:val="-1"/>
          <w:numId w:val="0"/>
        </w:numPr>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实地评估阶段</w:t>
      </w:r>
    </w:p>
    <w:p w14:paraId="38049F21">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社工站进行评估工作。</w:t>
      </w:r>
    </w:p>
    <w:p w14:paraId="603FDC33">
      <w:pPr>
        <w:pStyle w:val="15"/>
        <w:pageBreakBefore w:val="0"/>
        <w:widowControl w:val="0"/>
        <w:numPr>
          <w:ilvl w:val="-1"/>
          <w:numId w:val="0"/>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lang w:val="en-US" w:eastAsia="zh-CN"/>
        </w:rPr>
        <w:t>4.</w:t>
      </w:r>
      <w:r>
        <w:rPr>
          <w:rFonts w:hint="eastAsia" w:ascii="仿宋_GB2312" w:hAnsi="仿宋_GB2312" w:eastAsia="仿宋_GB2312" w:cs="仿宋_GB2312"/>
          <w:b/>
          <w:sz w:val="32"/>
          <w:szCs w:val="32"/>
        </w:rPr>
        <w:t>反馈初评意见</w:t>
      </w:r>
    </w:p>
    <w:p w14:paraId="308A5431">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val="en-US" w:eastAsia="zh-CN"/>
        </w:rPr>
        <w:t>石楼镇政府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14:paraId="19CEC57B">
      <w:pPr>
        <w:pStyle w:val="15"/>
        <w:pageBreakBefore w:val="0"/>
        <w:widowControl w:val="0"/>
        <w:numPr>
          <w:ilvl w:val="-1"/>
          <w:numId w:val="0"/>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14:paraId="18249454">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val="en-US" w:eastAsia="zh-CN"/>
        </w:rPr>
        <w:t>石楼镇政府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社工站各出具一份评估报告，提出项目存在的问题及改进建议。</w:t>
      </w:r>
    </w:p>
    <w:p w14:paraId="5A1917C1">
      <w:pPr>
        <w:pStyle w:val="15"/>
        <w:pageBreakBefore w:val="0"/>
        <w:widowControl w:val="0"/>
        <w:numPr>
          <w:ilvl w:val="-1"/>
          <w:numId w:val="0"/>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lang w:eastAsia="zh-CN"/>
        </w:rPr>
        <w:t>公示评估报告及受理评估投诉</w:t>
      </w:r>
    </w:p>
    <w:p w14:paraId="30299A48">
      <w:pPr>
        <w:pStyle w:val="15"/>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14:paraId="200D6C10">
      <w:pPr>
        <w:pStyle w:val="15"/>
        <w:pageBreakBefore w:val="0"/>
        <w:widowControl w:val="0"/>
        <w:tabs>
          <w:tab w:val="left" w:pos="1006"/>
        </w:tabs>
        <w:kinsoku/>
        <w:wordWrap/>
        <w:overflowPunct/>
        <w:topLinePunct w:val="0"/>
        <w:autoSpaceDE/>
        <w:autoSpaceDN/>
        <w:bidi w:val="0"/>
        <w:adjustRightInd/>
        <w:snapToGrid/>
        <w:spacing w:after="0" w:line="56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14:paraId="3EF511BE">
      <w:pPr>
        <w:pStyle w:val="15"/>
        <w:pageBreakBefore w:val="0"/>
        <w:widowControl w:val="0"/>
        <w:kinsoku/>
        <w:wordWrap/>
        <w:overflowPunct/>
        <w:topLinePunct w:val="0"/>
        <w:autoSpaceDE/>
        <w:autoSpaceDN/>
        <w:bidi w:val="0"/>
        <w:adjustRightInd/>
        <w:snapToGrid/>
        <w:spacing w:after="0" w:line="560" w:lineRule="exact"/>
        <w:ind w:firstLine="641"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14:paraId="017A4CA3">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14:paraId="7E9D3AC5">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14:paraId="67D8AA6F">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w:t>
      </w:r>
      <w:r>
        <w:rPr>
          <w:rFonts w:hint="eastAsia" w:ascii="仿宋_GB2312" w:hAnsi="仿宋_GB2312" w:eastAsia="仿宋_GB2312" w:cs="仿宋_GB2312"/>
          <w:sz w:val="32"/>
          <w:szCs w:val="32"/>
          <w:lang w:val="en-US" w:eastAsia="zh-CN"/>
        </w:rPr>
        <w:t>镇政府</w:t>
      </w:r>
      <w:r>
        <w:rPr>
          <w:rFonts w:ascii="仿宋_GB2312" w:hAnsi="仿宋_GB2312" w:eastAsia="仿宋_GB2312" w:cs="仿宋_GB2312"/>
          <w:sz w:val="32"/>
          <w:szCs w:val="32"/>
          <w:lang w:eastAsia="zh-CN"/>
        </w:rPr>
        <w:t>签订的</w:t>
      </w:r>
      <w:r>
        <w:rPr>
          <w:rFonts w:hint="eastAsia" w:ascii="仿宋_GB2312" w:hAnsi="仿宋_GB2312" w:eastAsia="仿宋_GB2312" w:cs="仿宋_GB2312"/>
          <w:sz w:val="32"/>
          <w:szCs w:val="32"/>
          <w:lang w:eastAsia="zh-CN"/>
        </w:rPr>
        <w:t>双</w:t>
      </w:r>
      <w:r>
        <w:rPr>
          <w:rFonts w:ascii="仿宋_GB2312" w:hAnsi="仿宋_GB2312" w:eastAsia="仿宋_GB2312" w:cs="仿宋_GB2312"/>
          <w:sz w:val="32"/>
          <w:szCs w:val="32"/>
          <w:lang w:eastAsia="zh-CN"/>
        </w:rPr>
        <w:t>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14:paraId="11F23BF0">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14:paraId="042D020C">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14:paraId="444BCE11">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14:paraId="1A90C582">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14:paraId="02BABEE8">
      <w:pPr>
        <w:pStyle w:val="15"/>
        <w:pageBreakBefore w:val="0"/>
        <w:widowControl w:val="0"/>
        <w:tabs>
          <w:tab w:val="left" w:pos="1480"/>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14:paraId="3F04DA51">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60分至80分（不含80分）为合格，60分以下（不含60分）为不合格。评估中若发现有下列情形之一的，评估结果</w:t>
      </w:r>
      <w:r>
        <w:rPr>
          <w:rFonts w:hint="eastAsia" w:ascii="仿宋_GB2312" w:hAnsi="仿宋_GB2312" w:eastAsia="仿宋_GB2312" w:cs="仿宋_GB2312"/>
          <w:sz w:val="32"/>
          <w:szCs w:val="32"/>
          <w:lang w:eastAsia="zh-CN"/>
        </w:rPr>
        <w:t>也确</w:t>
      </w:r>
      <w:r>
        <w:rPr>
          <w:rFonts w:hint="eastAsia" w:ascii="仿宋_GB2312" w:hAnsi="仿宋_GB2312" w:eastAsia="仿宋_GB2312" w:cs="仿宋_GB2312"/>
          <w:sz w:val="32"/>
          <w:szCs w:val="32"/>
        </w:rPr>
        <w:t>定为不合格：</w:t>
      </w:r>
    </w:p>
    <w:p w14:paraId="354EDF4A">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5A757D12">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14:paraId="2E1FD581">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14:paraId="25D744EC">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14:paraId="3C05EBB2">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14:paraId="6CF96C3F">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14:paraId="4C7531E7">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14:paraId="4252717F">
      <w:pPr>
        <w:pStyle w:val="15"/>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14:paraId="60D44EEA">
      <w:pPr>
        <w:pStyle w:val="13"/>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7D213F66">
      <w:pPr>
        <w:pStyle w:val="15"/>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393B4D60">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highlight w:val="yellow"/>
          <w:lang w:eastAsia="zh-CN"/>
        </w:rPr>
      </w:pPr>
      <w:r>
        <w:rPr>
          <w:rFonts w:hint="eastAsia" w:ascii="仿宋_GB2312" w:eastAsia="仿宋_GB2312"/>
          <w:color w:val="auto"/>
          <w:sz w:val="32"/>
          <w:szCs w:val="32"/>
          <w:lang w:eastAsia="zh-CN"/>
        </w:rPr>
        <w:t>石楼镇</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石楼镇人民路67号。</w:t>
      </w:r>
      <w:r>
        <w:rPr>
          <w:rFonts w:hint="eastAsia" w:ascii="仿宋_GB2312" w:eastAsia="仿宋_GB2312"/>
          <w:color w:val="auto"/>
          <w:sz w:val="32"/>
          <w:szCs w:val="32"/>
          <w:lang w:eastAsia="zh-CN"/>
        </w:rPr>
        <w:t>石楼镇社工服务站挂牌成立于2012年6月，从2016年9月起至今</w:t>
      </w:r>
      <w:r>
        <w:rPr>
          <w:rFonts w:hint="eastAsia" w:ascii="仿宋_GB2312" w:eastAsia="仿宋_GB2312"/>
          <w:color w:val="auto"/>
          <w:sz w:val="32"/>
          <w:szCs w:val="32"/>
        </w:rPr>
        <w:t>，一直由</w:t>
      </w:r>
      <w:r>
        <w:rPr>
          <w:rFonts w:hint="eastAsia" w:ascii="仿宋_GB2312" w:eastAsia="仿宋_GB2312"/>
          <w:color w:val="auto"/>
          <w:sz w:val="32"/>
          <w:szCs w:val="32"/>
          <w:lang w:eastAsia="zh-CN"/>
        </w:rPr>
        <w:t>广州市阳光天使社会工作服务中心</w:t>
      </w:r>
      <w:r>
        <w:rPr>
          <w:rFonts w:hint="eastAsia" w:ascii="仿宋_GB2312" w:eastAsia="仿宋_GB2312"/>
          <w:color w:val="auto"/>
          <w:sz w:val="32"/>
          <w:szCs w:val="32"/>
        </w:rPr>
        <w:t>承接运营。</w:t>
      </w:r>
      <w:r>
        <w:rPr>
          <w:rFonts w:hint="eastAsia" w:ascii="仿宋_GB2312" w:eastAsia="仿宋_GB2312"/>
          <w:color w:val="auto"/>
          <w:sz w:val="32"/>
          <w:szCs w:val="32"/>
          <w:lang w:eastAsia="zh-CN"/>
        </w:rPr>
        <w:t>石楼镇</w:t>
      </w:r>
      <w:r>
        <w:rPr>
          <w:rFonts w:hint="eastAsia" w:ascii="仿宋_GB2312" w:eastAsia="仿宋_GB2312"/>
          <w:color w:val="auto"/>
          <w:sz w:val="32"/>
          <w:szCs w:val="32"/>
        </w:rPr>
        <w:t>社工站主要服务包括：党建引领服务、兜底性民生服务、基础性民生服务、普惠性民生服务四大板块。</w:t>
      </w:r>
    </w:p>
    <w:p w14:paraId="52699808">
      <w:pPr>
        <w:pStyle w:val="15"/>
        <w:pageBreakBefore w:val="0"/>
        <w:widowControl w:val="0"/>
        <w:kinsoku/>
        <w:wordWrap/>
        <w:overflowPunct/>
        <w:topLinePunct w:val="0"/>
        <w:autoSpaceDE/>
        <w:autoSpaceDN/>
        <w:bidi w:val="0"/>
        <w:adjustRightInd/>
        <w:snapToGrid/>
        <w:spacing w:after="0" w:line="560" w:lineRule="exact"/>
        <w:ind w:firstLine="601"/>
        <w:jc w:val="both"/>
        <w:textAlignment w:val="auto"/>
        <w:rPr>
          <w:rFonts w:hint="eastAsia" w:ascii="仿宋_GB2312" w:hAnsi="宋体" w:eastAsia="仿宋_GB2312" w:cs="宋体"/>
          <w:sz w:val="32"/>
          <w:szCs w:val="32"/>
          <w:highlight w:val="none"/>
          <w:lang w:eastAsia="zh-CN"/>
        </w:rPr>
      </w:pPr>
      <w:r>
        <w:rPr>
          <w:rFonts w:hint="eastAsia" w:ascii="仿宋_GB2312" w:hAnsi="宋体" w:eastAsia="仿宋_GB2312" w:cs="宋体"/>
          <w:sz w:val="32"/>
          <w:szCs w:val="32"/>
          <w:highlight w:val="none"/>
          <w:lang w:eastAsia="zh-CN"/>
        </w:rPr>
        <w:t>截至2025年1</w:t>
      </w:r>
      <w:r>
        <w:rPr>
          <w:rFonts w:hint="eastAsia" w:ascii="仿宋_GB2312" w:hAnsi="宋体" w:eastAsia="仿宋_GB2312" w:cs="宋体"/>
          <w:sz w:val="32"/>
          <w:szCs w:val="32"/>
          <w:highlight w:val="none"/>
          <w:lang w:val="en-US" w:eastAsia="zh-CN"/>
        </w:rPr>
        <w:t>2</w:t>
      </w:r>
      <w:r>
        <w:rPr>
          <w:rFonts w:hint="eastAsia" w:ascii="仿宋_GB2312" w:hAnsi="宋体" w:eastAsia="仿宋_GB2312" w:cs="宋体"/>
          <w:sz w:val="32"/>
          <w:szCs w:val="32"/>
          <w:highlight w:val="none"/>
          <w:lang w:eastAsia="zh-CN"/>
        </w:rPr>
        <w:t>月3</w:t>
      </w:r>
      <w:r>
        <w:rPr>
          <w:rFonts w:hint="eastAsia" w:ascii="仿宋_GB2312" w:hAnsi="宋体" w:eastAsia="仿宋_GB2312" w:cs="宋体"/>
          <w:sz w:val="32"/>
          <w:szCs w:val="32"/>
          <w:highlight w:val="none"/>
          <w:lang w:val="en-US" w:eastAsia="zh-CN"/>
        </w:rPr>
        <w:t>1</w:t>
      </w:r>
      <w:r>
        <w:rPr>
          <w:rFonts w:hint="eastAsia" w:ascii="仿宋_GB2312" w:hAnsi="宋体" w:eastAsia="仿宋_GB2312" w:cs="宋体"/>
          <w:sz w:val="32"/>
          <w:szCs w:val="32"/>
          <w:highlight w:val="none"/>
          <w:lang w:eastAsia="zh-CN"/>
        </w:rPr>
        <w:t>日，社工站配备工作人员</w:t>
      </w:r>
      <w:r>
        <w:rPr>
          <w:rFonts w:hint="eastAsia" w:ascii="仿宋_GB2312" w:eastAsia="仿宋_GB2312" w:cs="宋体"/>
          <w:sz w:val="32"/>
          <w:szCs w:val="32"/>
          <w:highlight w:val="none"/>
          <w:lang w:val="en-US" w:eastAsia="zh-CN"/>
        </w:rPr>
        <w:t>21</w:t>
      </w:r>
      <w:r>
        <w:rPr>
          <w:rFonts w:hint="eastAsia" w:ascii="仿宋_GB2312" w:hAnsi="宋体" w:eastAsia="仿宋_GB2312" w:cs="宋体"/>
          <w:sz w:val="32"/>
          <w:szCs w:val="32"/>
          <w:highlight w:val="none"/>
          <w:lang w:eastAsia="zh-CN"/>
        </w:rPr>
        <w:t>名，其中社工专业人员</w:t>
      </w:r>
      <w:r>
        <w:rPr>
          <w:rFonts w:hint="eastAsia" w:ascii="仿宋_GB2312" w:eastAsia="仿宋_GB2312" w:cs="宋体"/>
          <w:sz w:val="32"/>
          <w:szCs w:val="32"/>
          <w:highlight w:val="none"/>
          <w:lang w:val="en-US" w:eastAsia="zh-CN"/>
        </w:rPr>
        <w:t>20</w:t>
      </w:r>
      <w:r>
        <w:rPr>
          <w:rFonts w:hint="eastAsia" w:ascii="仿宋_GB2312" w:hAnsi="宋体" w:eastAsia="仿宋_GB2312" w:cs="宋体"/>
          <w:sz w:val="32"/>
          <w:szCs w:val="32"/>
          <w:highlight w:val="none"/>
          <w:lang w:eastAsia="zh-CN"/>
        </w:rPr>
        <w:t>名（社会工作师</w:t>
      </w:r>
      <w:r>
        <w:rPr>
          <w:rFonts w:hint="eastAsia" w:ascii="仿宋_GB2312" w:eastAsia="仿宋_GB2312" w:cs="宋体"/>
          <w:sz w:val="32"/>
          <w:szCs w:val="32"/>
          <w:highlight w:val="none"/>
          <w:lang w:val="en-US" w:eastAsia="zh-CN"/>
        </w:rPr>
        <w:t>7</w:t>
      </w:r>
      <w:r>
        <w:rPr>
          <w:rFonts w:hint="eastAsia" w:ascii="仿宋_GB2312" w:hAnsi="宋体" w:eastAsia="仿宋_GB2312" w:cs="宋体"/>
          <w:sz w:val="32"/>
          <w:szCs w:val="32"/>
          <w:highlight w:val="none"/>
          <w:lang w:eastAsia="zh-CN"/>
        </w:rPr>
        <w:t>人，助理社会工作师</w:t>
      </w:r>
      <w:r>
        <w:rPr>
          <w:rFonts w:hint="eastAsia" w:ascii="仿宋_GB2312" w:hAnsi="宋体" w:eastAsia="仿宋_GB2312" w:cs="宋体"/>
          <w:sz w:val="32"/>
          <w:szCs w:val="32"/>
          <w:highlight w:val="none"/>
          <w:lang w:val="en-US" w:eastAsia="zh-CN"/>
        </w:rPr>
        <w:t>1</w:t>
      </w:r>
      <w:r>
        <w:rPr>
          <w:rFonts w:hint="eastAsia" w:ascii="仿宋_GB2312" w:eastAsia="仿宋_GB2312" w:cs="宋体"/>
          <w:sz w:val="32"/>
          <w:szCs w:val="32"/>
          <w:highlight w:val="none"/>
          <w:lang w:val="en-US" w:eastAsia="zh-CN"/>
        </w:rPr>
        <w:t>3</w:t>
      </w:r>
      <w:r>
        <w:rPr>
          <w:rFonts w:hint="eastAsia" w:ascii="仿宋_GB2312" w:hAnsi="宋体" w:eastAsia="仿宋_GB2312" w:cs="宋体"/>
          <w:sz w:val="32"/>
          <w:szCs w:val="32"/>
          <w:highlight w:val="none"/>
          <w:lang w:eastAsia="zh-CN"/>
        </w:rPr>
        <w:t>人）</w:t>
      </w:r>
      <w:r>
        <w:rPr>
          <w:rFonts w:hint="eastAsia" w:ascii="仿宋_GB2312" w:hAnsi="宋体" w:eastAsia="仿宋_GB2312" w:cs="宋体"/>
          <w:sz w:val="32"/>
          <w:szCs w:val="32"/>
          <w:highlight w:val="none"/>
          <w:lang w:val="en-US" w:eastAsia="zh-CN"/>
        </w:rPr>
        <w:t>，</w:t>
      </w:r>
      <w:r>
        <w:rPr>
          <w:rFonts w:hint="eastAsia" w:ascii="仿宋_GB2312" w:eastAsia="仿宋_GB2312" w:cs="宋体"/>
          <w:sz w:val="32"/>
          <w:szCs w:val="32"/>
          <w:highlight w:val="none"/>
          <w:lang w:val="en-US" w:eastAsia="zh-CN"/>
        </w:rPr>
        <w:t>其他人员</w:t>
      </w:r>
      <w:r>
        <w:rPr>
          <w:rFonts w:hint="eastAsia" w:ascii="仿宋_GB2312" w:hAnsi="宋体" w:eastAsia="仿宋_GB2312" w:cs="宋体"/>
          <w:sz w:val="32"/>
          <w:szCs w:val="32"/>
          <w:highlight w:val="none"/>
          <w:lang w:val="en-US" w:eastAsia="zh-CN"/>
        </w:rPr>
        <w:t>1人</w:t>
      </w:r>
      <w:r>
        <w:rPr>
          <w:rFonts w:hint="eastAsia" w:ascii="仿宋_GB2312" w:hAnsi="宋体" w:eastAsia="仿宋_GB2312" w:cs="宋体"/>
          <w:sz w:val="32"/>
          <w:szCs w:val="32"/>
          <w:highlight w:val="none"/>
          <w:lang w:eastAsia="zh-CN"/>
        </w:rPr>
        <w:t>。上次评估统计截止时间至本次评估统计开始时间期间（202</w:t>
      </w:r>
      <w:r>
        <w:rPr>
          <w:rFonts w:hint="eastAsia" w:ascii="仿宋_GB2312" w:hAnsi="宋体" w:eastAsia="仿宋_GB2312" w:cs="宋体"/>
          <w:sz w:val="32"/>
          <w:szCs w:val="32"/>
          <w:highlight w:val="none"/>
          <w:lang w:val="en-US" w:eastAsia="zh-CN"/>
        </w:rPr>
        <w:t>5</w:t>
      </w:r>
      <w:r>
        <w:rPr>
          <w:rFonts w:hint="eastAsia" w:ascii="仿宋_GB2312" w:hAnsi="宋体" w:eastAsia="仿宋_GB2312" w:cs="宋体"/>
          <w:sz w:val="32"/>
          <w:szCs w:val="32"/>
          <w:highlight w:val="none"/>
          <w:lang w:eastAsia="zh-CN"/>
        </w:rPr>
        <w:t>年</w:t>
      </w:r>
      <w:r>
        <w:rPr>
          <w:rFonts w:hint="eastAsia" w:ascii="仿宋_GB2312" w:hAnsi="宋体" w:eastAsia="仿宋_GB2312" w:cs="宋体"/>
          <w:sz w:val="32"/>
          <w:szCs w:val="32"/>
          <w:highlight w:val="none"/>
          <w:lang w:val="en-US" w:eastAsia="zh-CN"/>
        </w:rPr>
        <w:t>7</w:t>
      </w:r>
      <w:r>
        <w:rPr>
          <w:rFonts w:hint="eastAsia" w:ascii="仿宋_GB2312" w:hAnsi="宋体" w:eastAsia="仿宋_GB2312" w:cs="宋体"/>
          <w:sz w:val="32"/>
          <w:szCs w:val="32"/>
          <w:highlight w:val="none"/>
          <w:lang w:eastAsia="zh-CN"/>
        </w:rPr>
        <w:t>月</w:t>
      </w:r>
      <w:r>
        <w:rPr>
          <w:rFonts w:hint="eastAsia" w:ascii="仿宋_GB2312" w:hAnsi="宋体" w:eastAsia="仿宋_GB2312" w:cs="宋体"/>
          <w:sz w:val="32"/>
          <w:szCs w:val="32"/>
          <w:highlight w:val="none"/>
          <w:lang w:val="en-US" w:eastAsia="zh-CN"/>
        </w:rPr>
        <w:t>31</w:t>
      </w:r>
      <w:r>
        <w:rPr>
          <w:rFonts w:hint="eastAsia" w:ascii="仿宋_GB2312" w:hAnsi="宋体" w:eastAsia="仿宋_GB2312" w:cs="宋体"/>
          <w:sz w:val="32"/>
          <w:szCs w:val="32"/>
          <w:highlight w:val="none"/>
          <w:lang w:eastAsia="zh-CN"/>
        </w:rPr>
        <w:t>日—2025年</w:t>
      </w:r>
      <w:r>
        <w:rPr>
          <w:rFonts w:hint="eastAsia" w:ascii="仿宋_GB2312" w:hAnsi="宋体" w:eastAsia="仿宋_GB2312" w:cs="宋体"/>
          <w:sz w:val="32"/>
          <w:szCs w:val="32"/>
          <w:highlight w:val="none"/>
          <w:lang w:val="en-US" w:eastAsia="zh-CN"/>
        </w:rPr>
        <w:t>8</w:t>
      </w:r>
      <w:r>
        <w:rPr>
          <w:rFonts w:hint="eastAsia" w:ascii="仿宋_GB2312" w:hAnsi="宋体" w:eastAsia="仿宋_GB2312" w:cs="宋体"/>
          <w:sz w:val="32"/>
          <w:szCs w:val="32"/>
          <w:highlight w:val="none"/>
          <w:lang w:eastAsia="zh-CN"/>
        </w:rPr>
        <w:t>月</w:t>
      </w:r>
      <w:r>
        <w:rPr>
          <w:rFonts w:hint="eastAsia" w:ascii="仿宋_GB2312" w:hAnsi="宋体" w:eastAsia="仿宋_GB2312" w:cs="宋体"/>
          <w:sz w:val="32"/>
          <w:szCs w:val="32"/>
          <w:highlight w:val="none"/>
          <w:lang w:val="en-US" w:eastAsia="zh-CN"/>
        </w:rPr>
        <w:t>12</w:t>
      </w:r>
      <w:r>
        <w:rPr>
          <w:rFonts w:hint="eastAsia" w:ascii="仿宋_GB2312" w:hAnsi="宋体" w:eastAsia="仿宋_GB2312" w:cs="宋体"/>
          <w:sz w:val="32"/>
          <w:szCs w:val="32"/>
          <w:highlight w:val="none"/>
          <w:lang w:eastAsia="zh-CN"/>
        </w:rPr>
        <w:t>日）社工站配备工作人员</w:t>
      </w:r>
      <w:r>
        <w:rPr>
          <w:rFonts w:hint="eastAsia" w:ascii="仿宋_GB2312" w:eastAsia="仿宋_GB2312" w:cs="宋体"/>
          <w:sz w:val="32"/>
          <w:szCs w:val="32"/>
          <w:highlight w:val="none"/>
          <w:lang w:val="en-US" w:eastAsia="zh-CN"/>
        </w:rPr>
        <w:t>21</w:t>
      </w:r>
      <w:r>
        <w:rPr>
          <w:rFonts w:hint="eastAsia" w:ascii="仿宋_GB2312" w:hAnsi="宋体" w:eastAsia="仿宋_GB2312" w:cs="宋体"/>
          <w:sz w:val="32"/>
          <w:szCs w:val="32"/>
          <w:highlight w:val="none"/>
          <w:lang w:eastAsia="zh-CN"/>
        </w:rPr>
        <w:t>名，其中社工专业人员</w:t>
      </w:r>
      <w:r>
        <w:rPr>
          <w:rFonts w:hint="eastAsia" w:ascii="仿宋_GB2312" w:eastAsia="仿宋_GB2312" w:cs="宋体"/>
          <w:sz w:val="32"/>
          <w:szCs w:val="32"/>
          <w:highlight w:val="none"/>
          <w:lang w:val="en-US" w:eastAsia="zh-CN"/>
        </w:rPr>
        <w:t>20</w:t>
      </w:r>
      <w:r>
        <w:rPr>
          <w:rFonts w:hint="eastAsia" w:ascii="仿宋_GB2312" w:hAnsi="宋体" w:eastAsia="仿宋_GB2312" w:cs="宋体"/>
          <w:sz w:val="32"/>
          <w:szCs w:val="32"/>
          <w:highlight w:val="none"/>
          <w:lang w:eastAsia="zh-CN"/>
        </w:rPr>
        <w:t>名（社会工作师</w:t>
      </w:r>
      <w:r>
        <w:rPr>
          <w:rFonts w:hint="eastAsia" w:ascii="仿宋_GB2312" w:eastAsia="仿宋_GB2312" w:cs="宋体"/>
          <w:sz w:val="32"/>
          <w:szCs w:val="32"/>
          <w:highlight w:val="none"/>
          <w:lang w:val="en-US" w:eastAsia="zh-CN"/>
        </w:rPr>
        <w:t>7</w:t>
      </w:r>
      <w:r>
        <w:rPr>
          <w:rFonts w:hint="eastAsia" w:ascii="仿宋_GB2312" w:hAnsi="宋体" w:eastAsia="仿宋_GB2312" w:cs="宋体"/>
          <w:sz w:val="32"/>
          <w:szCs w:val="32"/>
          <w:highlight w:val="none"/>
          <w:lang w:eastAsia="zh-CN"/>
        </w:rPr>
        <w:t>人，助理社会工作师</w:t>
      </w:r>
      <w:r>
        <w:rPr>
          <w:rFonts w:hint="eastAsia" w:ascii="仿宋_GB2312" w:hAnsi="宋体" w:eastAsia="仿宋_GB2312" w:cs="宋体"/>
          <w:sz w:val="32"/>
          <w:szCs w:val="32"/>
          <w:highlight w:val="none"/>
          <w:lang w:val="en-US" w:eastAsia="zh-CN"/>
        </w:rPr>
        <w:t>1</w:t>
      </w:r>
      <w:r>
        <w:rPr>
          <w:rFonts w:hint="eastAsia" w:ascii="仿宋_GB2312" w:eastAsia="仿宋_GB2312" w:cs="宋体"/>
          <w:sz w:val="32"/>
          <w:szCs w:val="32"/>
          <w:highlight w:val="none"/>
          <w:lang w:val="en-US" w:eastAsia="zh-CN"/>
        </w:rPr>
        <w:t>3</w:t>
      </w:r>
      <w:r>
        <w:rPr>
          <w:rFonts w:hint="eastAsia" w:ascii="仿宋_GB2312" w:hAnsi="宋体" w:eastAsia="仿宋_GB2312" w:cs="宋体"/>
          <w:sz w:val="32"/>
          <w:szCs w:val="32"/>
          <w:highlight w:val="none"/>
          <w:lang w:eastAsia="zh-CN"/>
        </w:rPr>
        <w:t>人），</w:t>
      </w:r>
      <w:r>
        <w:rPr>
          <w:rFonts w:hint="eastAsia" w:ascii="仿宋_GB2312" w:eastAsia="仿宋_GB2312" w:cs="宋体"/>
          <w:sz w:val="32"/>
          <w:szCs w:val="32"/>
          <w:highlight w:val="none"/>
          <w:lang w:val="en-US" w:eastAsia="zh-CN"/>
        </w:rPr>
        <w:t>其他人员</w:t>
      </w:r>
      <w:r>
        <w:rPr>
          <w:rFonts w:hint="eastAsia" w:ascii="仿宋_GB2312" w:hAnsi="宋体" w:eastAsia="仿宋_GB2312" w:cs="宋体"/>
          <w:sz w:val="32"/>
          <w:szCs w:val="32"/>
          <w:highlight w:val="none"/>
          <w:lang w:val="en-US" w:eastAsia="zh-CN"/>
        </w:rPr>
        <w:t>1人</w:t>
      </w:r>
      <w:r>
        <w:rPr>
          <w:rFonts w:hint="eastAsia" w:ascii="仿宋_GB2312" w:hAnsi="宋体" w:eastAsia="仿宋_GB2312" w:cs="宋体"/>
          <w:sz w:val="32"/>
          <w:szCs w:val="32"/>
          <w:highlight w:val="none"/>
          <w:lang w:eastAsia="zh-CN"/>
        </w:rPr>
        <w:t>。此外，社工站配备督导</w:t>
      </w:r>
      <w:r>
        <w:rPr>
          <w:rFonts w:hint="eastAsia" w:ascii="仿宋_GB2312" w:eastAsia="仿宋_GB2312" w:cs="宋体"/>
          <w:sz w:val="32"/>
          <w:szCs w:val="32"/>
          <w:highlight w:val="none"/>
          <w:lang w:val="en-US" w:eastAsia="zh-CN"/>
        </w:rPr>
        <w:t>4</w:t>
      </w:r>
      <w:r>
        <w:rPr>
          <w:rFonts w:hint="eastAsia" w:ascii="仿宋_GB2312" w:hAnsi="宋体" w:eastAsia="仿宋_GB2312" w:cs="宋体"/>
          <w:sz w:val="32"/>
          <w:szCs w:val="32"/>
          <w:highlight w:val="none"/>
          <w:lang w:eastAsia="zh-CN"/>
        </w:rPr>
        <w:t>名，从事社会服务</w:t>
      </w:r>
      <w:r>
        <w:rPr>
          <w:rFonts w:hint="eastAsia" w:ascii="仿宋_GB2312" w:eastAsia="仿宋_GB2312" w:cs="宋体"/>
          <w:sz w:val="32"/>
          <w:szCs w:val="32"/>
          <w:highlight w:val="none"/>
          <w:lang w:val="en-US" w:eastAsia="zh-CN"/>
        </w:rPr>
        <w:t>7</w:t>
      </w:r>
      <w:r>
        <w:rPr>
          <w:rFonts w:hint="eastAsia" w:ascii="仿宋_GB2312" w:hAnsi="宋体" w:eastAsia="仿宋_GB2312" w:cs="宋体"/>
          <w:sz w:val="32"/>
          <w:szCs w:val="32"/>
          <w:highlight w:val="none"/>
          <w:lang w:eastAsia="zh-CN"/>
        </w:rPr>
        <w:t>年以上。</w:t>
      </w:r>
    </w:p>
    <w:p w14:paraId="69DF2632">
      <w:pPr>
        <w:pStyle w:val="15"/>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240</w:t>
      </w:r>
      <w:r>
        <w:rPr>
          <w:rFonts w:hint="eastAsia" w:ascii="仿宋_GB2312" w:eastAsia="仿宋_GB2312"/>
          <w:sz w:val="32"/>
          <w:szCs w:val="32"/>
        </w:rPr>
        <w:t>万元，</w:t>
      </w: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13</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日——2025年1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月31日，考核</w:t>
      </w:r>
      <w:r>
        <w:rPr>
          <w:rFonts w:hint="eastAsia" w:ascii="仿宋_GB2312" w:eastAsia="仿宋_GB2312"/>
          <w:color w:val="auto"/>
          <w:sz w:val="32"/>
          <w:szCs w:val="32"/>
          <w:lang w:eastAsia="zh-CN"/>
        </w:rPr>
        <w:t>约</w:t>
      </w:r>
      <w:r>
        <w:rPr>
          <w:rFonts w:hint="eastAsia" w:ascii="仿宋_GB2312" w:eastAsia="仿宋_GB2312"/>
          <w:color w:val="auto"/>
          <w:sz w:val="32"/>
          <w:szCs w:val="32"/>
        </w:rPr>
        <w:t>5个月。</w:t>
      </w:r>
    </w:p>
    <w:p w14:paraId="5750B1FC">
      <w:pPr>
        <w:pStyle w:val="15"/>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7A332494">
      <w:pPr>
        <w:pStyle w:val="15"/>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每月一问候”5984人次，专业个案接案12个，完成小组4个，完成社区活动28次，培育老年志愿者队伍2支，分别完成协议指标量的50.00%、100.00%、50.00%、100.00%。（以上数据由社工站提供，各项目指标完成情况见附件1。）</w:t>
      </w:r>
    </w:p>
    <w:p w14:paraId="3979142D">
      <w:pPr>
        <w:pStyle w:val="15"/>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从以上数据可知，石楼镇社工站服务指标完成情况良好，在服务进度方面整体把握到位。</w:t>
      </w:r>
    </w:p>
    <w:p w14:paraId="0782D124">
      <w:pPr>
        <w:pStyle w:val="15"/>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48F77908">
      <w:pPr>
        <w:pStyle w:val="15"/>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14:paraId="1F000197">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5F09C5FE">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bookmarkStart w:id="30" w:name="bookmark31"/>
      <w:bookmarkEnd w:id="30"/>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7F9839FE">
      <w:pPr>
        <w:pStyle w:val="15"/>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（1）人员配置和管理方面，经查看社工档案和核实人员情况，社工站协议要求人数 20 人，社工站实配备21人，其中持证社工20人（中级社工师资格 7人，助理社工师资格13人），持证社工比例达100%。社工到岗情况方面，社工应到总人数100人次，实到105人次；持证社工应到50人次，实到100人次；持续在岗21人，稳岗率100%。继续教育方面，社工培训要求时数600小时，实际完成时数867.5小时，达标率144.58%。</w:t>
      </w:r>
    </w:p>
    <w:p w14:paraId="5FB7F3FD">
      <w:pPr>
        <w:pStyle w:val="15"/>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规范和服务持续改进方面，社工站有制定服务质量内控相关制度，并有备注制定和修订时间；定期组织召开站点及片区服务质量提升会议，开展专业伦理价值规范和服务对象合法权益保障的培训与考核。</w:t>
      </w:r>
    </w:p>
    <w:p w14:paraId="44CCB587">
      <w:pPr>
        <w:pStyle w:val="15"/>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（3）宣传渠道多样性方面，社工站可依托社区宣传栏、网络公众号、微信等平台阵地，多形式、多渠道宣传各项服务信息，部分服务已获得媒体关注报道。</w:t>
      </w:r>
    </w:p>
    <w:p w14:paraId="65360B8A">
      <w:pPr>
        <w:pStyle w:val="15"/>
        <w:pageBreakBefore w:val="0"/>
        <w:widowControl w:val="0"/>
        <w:tabs>
          <w:tab w:val="left" w:pos="1355"/>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8"/>
      <w:bookmarkEnd w:id="31"/>
      <w:bookmarkStart w:id="32" w:name="bookmark36"/>
      <w:bookmarkEnd w:id="32"/>
      <w:bookmarkStart w:id="33" w:name="bookmark37"/>
      <w:bookmarkEnd w:id="33"/>
      <w:bookmarkStart w:id="34" w:name="bookmark39"/>
      <w:bookmarkEnd w:id="34"/>
    </w:p>
    <w:p w14:paraId="186F9924">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p>
    <w:p w14:paraId="17FA021A">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服务规范方面，部分社工站现有的服务质量内控机制较为简单，对日常工作的指导作用有限。例如，《广州市石楼镇社工服务站服务整改机制》仅有一页内容，只列出“整改要求”和“整改流程”，未明确整改的目标对象及适用情形；“整改要求”仅表述为“项目整改必须明确整改目标、整改措施、主要负责人和完成时限”，内容过于宽泛，缺乏具体指引。又如，《广州市石楼镇社工服务站档案管理制度》第一条将“档案管理”依据表述为“按照镇（街）或村（居）委会现行财务制度及有关要求制定”，实际应依据档案管理制度而非财务制度；同时，该制度内容较为简略，未明确档案归档的基本类型等要求。建议参照《档案管理法》并结合社工站实际服务材料，进一步细化档案管理的分类、保管期限等内容。</w:t>
      </w:r>
    </w:p>
    <w:p w14:paraId="7F2EE7CB">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color w:val="auto"/>
          <w:sz w:val="32"/>
          <w:szCs w:val="32"/>
          <w:lang w:eastAsia="zh-CN"/>
        </w:rPr>
        <w:t>（2）服务持续改进方面，应着力构建“落实—反思—总结—整改—成效”的闭环机制。具体建议如下：一是在意见收集方面，建议加强与合作伙伴的沟通，主动征求关于社工站专业服务水平与服务质量的反馈，并做好相关记录留存，为持续改进提供依据。二是在社工能力提升方面，建议在督导与共学环节中，围绕本年度实际服务案例或难点，开展半年度或全年度的专题研讨与总结。例如，在年中和年末阶段，可针对当年开展的个案、小组及活动进行深入研讨或专题督导，引导社工反思其在服务中的角色定位、理论运用、目标设定与服务设计等方面的合理性与专业性，从而形成“通过具体服务推动反思、总结、整改与优化”的良性循环，切实促进服务质量的持续提升。</w:t>
      </w:r>
    </w:p>
    <w:p w14:paraId="494B8322">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（四）</w:t>
      </w:r>
      <w:r>
        <w:rPr>
          <w:rFonts w:hint="eastAsia" w:ascii="仿宋_GB2312" w:eastAsia="仿宋_GB2312"/>
          <w:b/>
          <w:bCs/>
          <w:color w:val="auto"/>
          <w:sz w:val="32"/>
          <w:szCs w:val="32"/>
          <w:highlight w:val="none"/>
        </w:rPr>
        <w:t>服务成效和服务监测情况</w:t>
      </w:r>
    </w:p>
    <w:p w14:paraId="4C61544C">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33BDC4EF">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14:paraId="743E73AA">
      <w:pPr>
        <w:pStyle w:val="15"/>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社工站有四名党员社工。对党员社工实行“一人一档”，依托“光行者”党员先锋志愿队搭建服务平台，上半年度党员社工参与公益服务共计6场次，开展6场次“第一议题”；结合石楼镇重阳文化节、宪法宣传日等，参与镇的党组织活动共计6场次；宣传党的政策活动12场次；协助开展“两热”防控等党建工作4场次；建立三张清单，实施“红心传递爱”微心愿点亮计划，开展微心愿主题的党建服务6场次，链接番禺创新科技园联合党支部等单位的微心愿物资92个，折合价值约计3.3万元。不同程度缓解辖区困难群众和特殊群体的困境，有效提升党的影响力和号召力。</w:t>
      </w:r>
    </w:p>
    <w:p w14:paraId="5CF62541">
      <w:pPr>
        <w:pStyle w:val="15"/>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在需求调研与服务设计方面，社工站能根据社工站项目目标提出三个全覆盖，即2139位困难群众和特殊群体建档100%全覆盖、服务100%全覆盖、全镇26个村居地域100%全覆盖。上半年，社工探访电访17类困难群众和特殊群体5984人次。应对策略较为创新，提出“数字化”探索，数字化运用实现“兜得住”。上半年社工站培育了2支老年志愿者队伍，联动了5个社区社会组织和3个志愿者队伍，持续为困难群众和特殊群体开展服务21次，覆盖125人次。完成17类困难群众和特殊群体92个微心愿的点亮，解决服务对象问题13个，协助25人成功申请相关政策，帮助2位服务对象实现就业。通过问卷调查、电访等方式对105名服务对象开展满意度调研，其中91人满意度达95%以上，服务成效较为良好。</w:t>
      </w:r>
    </w:p>
    <w:p w14:paraId="067B7386">
      <w:pPr>
        <w:pStyle w:val="15"/>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有效发挥五社联动机制，撬动社会资源，解决困难群众和特殊群体急难愁盼问题。社工站联动2个党组织、4个社会组织、8家企业单位、26个村居委、3个职能部门、4位爱心人士，共计47个单位及个人参与到17类困难群众和特殊群体的帮扶中，联动资源总额达69.6万元。</w:t>
      </w:r>
    </w:p>
    <w:p w14:paraId="0152B6BE">
      <w:pPr>
        <w:pStyle w:val="15"/>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服务宣传覆盖面广，社会美誉度较高。能通过公众号、视频号、微信群、宣传栏、社区宣传活动等多形式多渠道宣传项目服务及信息；上半年，社工站在各级媒体上发布宣传推文122次，累计获得1万人次的浏览量。其中，国家级媒体7次，省级媒体8次，市级媒体4次。项目积极撰写4篇服务案例，一篇获市社协、市双百工程公众号推送。</w:t>
      </w:r>
    </w:p>
    <w:p w14:paraId="15BE4236">
      <w:pPr>
        <w:pStyle w:val="15"/>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6D8FA221">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4"/>
      <w:bookmarkEnd w:id="36"/>
      <w:bookmarkStart w:id="37" w:name="bookmark43"/>
      <w:bookmarkEnd w:id="37"/>
      <w:bookmarkStart w:id="38" w:name="bookmark45"/>
      <w:bookmarkEnd w:id="38"/>
    </w:p>
    <w:p w14:paraId="5E5E7736">
      <w:pPr>
        <w:pStyle w:val="15"/>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服务需求设计欠缺辖区均衡性考量。例如，主要集中在沙田片（以老养残群体117户）开展以老养残家庭残疾人自理能力提升项目；主要分布在古村片（独居孤寡老人161人）开展困境长者健康管理项目；在主要分布在中心片（自身困境儿童154人）开展自身困境儿童家庭互助成长项目服务。尽管服务对象显示比较集中，但项目服务的投放要求是整体的，服务准备肯定要顾及全镇性服务对象的分布，如此设置服务就无法兼顾镇的其他地域的服务对象需求。</w:t>
      </w:r>
    </w:p>
    <w:p w14:paraId="08FDB29A">
      <w:pPr>
        <w:pStyle w:val="15"/>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在宣传党的政策、开展党建工作及组织学习时，党员社工需准确区分各类党政政策的核心目的。例如，关于民政部的“慈善文化”宣传是关于政府政策落实的，香港灾情的处理与经验借鉴属于国家政府治理层面的议题。在借助此类政府政策与治理经验作为党的政策宣传、学习和党建工作指引时，要从党的领导及其制度体系在国家制度和国家治理体系中的重大意义和重要地位的高度来进行展开。要加入并强调，通过坚持和完善党的领导制度体系，把党的领导转化为推进国家治理体系和治理能力现代化的最大最优治理效能和目的，以此作为议题学习的目的并在材料中凸显呈现出来。</w:t>
      </w:r>
    </w:p>
    <w:p w14:paraId="18A7276A">
      <w:pPr>
        <w:pStyle w:val="15"/>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在社区服务的均衡性和全覆盖性考量以及各类个案服务的专业性需要提升的同时，服务的专业性也有比较大的提升空间。比如服务设计欠缺对前期服务的借鉴考量，欠缺对前期服务专业性及其效果的总结，难以保障服务质量。如果要在社区做个性化服务，就要说明不在某些社区开展相关服务时，前期是否已经在该社区完成了某些类型服务，又或者准备使用其他的服务方式来替代，或者不开展此类服务时是否存在自身专业性的不足。</w:t>
      </w:r>
    </w:p>
    <w:p w14:paraId="4ACADC93">
      <w:pPr>
        <w:pStyle w:val="15"/>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）服务监测方面，持续完善广州社工“红棉热线”后台服务记录机制。</w:t>
      </w:r>
    </w:p>
    <w:p w14:paraId="356D8008">
      <w:pPr>
        <w:pStyle w:val="15"/>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14:paraId="09ABAC45">
      <w:pPr>
        <w:pStyle w:val="15"/>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中心片区：石一村、石二村、赤山东村、赤岗村、裕丰村、石楼社区、亚运城社区</w:t>
      </w:r>
    </w:p>
    <w:p w14:paraId="499DD2E9">
      <w:pPr>
        <w:pStyle w:val="15"/>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6D1ACD59">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39A6916E">
      <w:pPr>
        <w:pStyle w:val="15"/>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39" w:name="bookmark46"/>
      <w:bookmarkEnd w:id="39"/>
      <w:bookmarkStart w:id="40" w:name="bookmark48"/>
      <w:bookmarkEnd w:id="40"/>
      <w:bookmarkStart w:id="41" w:name="bookmark47"/>
      <w:bookmarkEnd w:id="4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）针对上期的评估意见进行了整改，完善了兜底对象的基本资料。</w:t>
      </w:r>
    </w:p>
    <w:p w14:paraId="69996245">
      <w:pPr>
        <w:pStyle w:val="15"/>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服务进度合理（以综合管理平台数据为准）。中心片区已对17类困难和特殊群体实现100%全覆盖建档，共覆盖448户484人；累计开展探访764人次、电访617人次；提供个案服务3人（其中1人已在系统结案），开展小组活动1个；组织社区服务11场次，其中包含兜底民生政策推广活动3场次，服务84人次。推广的政策内容涵盖：针对一般困特群体的就业和创业类、教育类、安全保险类、生活护理类；针对困境老人的生活保障类、安全保险类、健康服务类，政策内容契合地区人群需求。此外，为13位17类困难群众和特殊群体提供了居家安全环境优化、居家用电安全指导、外出安全提醒及房屋安全转移等服务，成功协助18位困难群众和特殊群体完成政策申请流程，其中16人成功享受政策救助；帮助25名困难群众和特殊群体实现微心愿，类型包括防寒物资支持、学习用具、康复辅具等。</w:t>
      </w:r>
    </w:p>
    <w:p w14:paraId="76787523">
      <w:pPr>
        <w:pStyle w:val="15"/>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0C461E5E">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7A0A0565">
      <w:pPr>
        <w:pStyle w:val="15"/>
        <w:pageBreakBefore w:val="0"/>
        <w:widowControl w:val="0"/>
        <w:tabs>
          <w:tab w:val="left" w:pos="972"/>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2" w:name="bookmark57"/>
      <w:bookmarkEnd w:id="42"/>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应加强具体探访服务的专业性。经查，存在二级对象的服务内容针对性不足的问题，该服务对象家属想了解办理长护险的要求，社工未完整登记当次（2025年12月8日）的服务情况，且在后续的服务记录中未体现对此需求的跟进。服务对象在10月份出院后，社工的跟进记录多为线上与家属联系，多停留在了解情况层面，未直接接触服务对象提供服务，服务落实未符合《广州市社工站购买服务项目服务清单（民政领域社会工作）》中关于兜底性服务需直接接触服务对象开展定期巡访、上门服务等相关标准要求。建议严格结合《广州市社工站购买服务项目服务清单（民政领域社会工作）》中针对不同人群的服务内容清单、服务要求落实探电访服务，比如对服务对象开展定期的上门探访和电话问候，直接掌握其近况并提供对应服务。</w:t>
      </w:r>
    </w:p>
    <w:p w14:paraId="5461E22F">
      <w:pPr>
        <w:pStyle w:val="15"/>
        <w:pageBreakBefore w:val="0"/>
        <w:widowControl w:val="0"/>
        <w:tabs>
          <w:tab w:val="left" w:pos="972"/>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分级评估的准确性有待加强，内部审核机制有缺陷。存在多位残联评定为残疾一级服务对象的分级评估表“生理状况”结论为“残疾较轻”，并将其定为五级对象、按五级对象频次提供服务，考虑分级评估结果不准确，建议对服务对象的真实情况加以说明，以确保服务对象评级结果合理。</w:t>
      </w:r>
    </w:p>
    <w:p w14:paraId="49AD2B5E">
      <w:pPr>
        <w:pStyle w:val="15"/>
        <w:pageBreakBefore w:val="0"/>
        <w:widowControl w:val="0"/>
        <w:tabs>
          <w:tab w:val="left" w:pos="972"/>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莲花山片区：莲花山社区、联围村、东星村、群星村、卫星村、明星村</w:t>
      </w:r>
    </w:p>
    <w:p w14:paraId="0DB47BF6">
      <w:pPr>
        <w:pStyle w:val="15"/>
        <w:pageBreakBefore w:val="0"/>
        <w:widowControl w:val="0"/>
        <w:numPr>
          <w:ilvl w:val="-1"/>
          <w:numId w:val="0"/>
        </w:numPr>
        <w:tabs>
          <w:tab w:val="left" w:pos="972"/>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值得肯定的地方</w:t>
      </w:r>
    </w:p>
    <w:p w14:paraId="1D0574EE">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经评委评估分析访谈情况和查阅项目调研、</w:t>
      </w:r>
      <w:r>
        <w:rPr>
          <w:rFonts w:hint="eastAsia" w:ascii="仿宋_GB2312" w:eastAsia="仿宋_GB2312"/>
          <w:sz w:val="32"/>
          <w:szCs w:val="32"/>
        </w:rPr>
        <w:t>服务</w:t>
      </w:r>
      <w:r>
        <w:rPr>
          <w:rFonts w:hint="eastAsia" w:ascii="仿宋_GB2312" w:eastAsia="仿宋_GB2312"/>
          <w:sz w:val="32"/>
          <w:szCs w:val="32"/>
          <w:lang w:eastAsia="zh-CN"/>
        </w:rPr>
        <w:t>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3" w:name="bookmark59"/>
      <w:bookmarkEnd w:id="43"/>
      <w:bookmarkStart w:id="44" w:name="bookmark60"/>
      <w:bookmarkEnd w:id="44"/>
      <w:bookmarkStart w:id="45" w:name="bookmark58"/>
      <w:bookmarkEnd w:id="45"/>
    </w:p>
    <w:p w14:paraId="4221DACE">
      <w:pPr>
        <w:pStyle w:val="15"/>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社工工作基础扎实，各项指标能按照要求超额完成。其中应建档350户387人，实际建档350户387人。建档探访587人次，电访354人次，个案3个，小组1个，政策宣传3场，覆盖113人次，其他慈善创新等社区活动7场。社工基本能按照三大手法指引和回访机制等落实专业服务流程，对于一些小组或社区工作还有针对目标的前后测问卷和统计分析，工作痕迹详细。</w:t>
      </w:r>
    </w:p>
    <w:p w14:paraId="17E60F98">
      <w:pPr>
        <w:pStyle w:val="15"/>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对17类困难群众和特殊群体的服务情况较为熟悉，基本能按照等级要求定期跟进探电访服务、形成半年服务总结，并根据服务对象的真实情况更新服务名册、调整服务等级，每位社工对各自负责的服务对象情况均十分熟悉。</w:t>
      </w:r>
    </w:p>
    <w:p w14:paraId="59499631">
      <w:pPr>
        <w:pStyle w:val="15"/>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（3）片区以“渔乐圈 益启慈善”项目为核心工作，延续地区服务经验，开展公益集市、文化研学、工坊学堂和创新手工小组等，通过各项服务开展，为社区23名困难群体实现微心愿，折合人民币13530.99元。</w:t>
      </w:r>
    </w:p>
    <w:p w14:paraId="7A2ADED5">
      <w:pPr>
        <w:pStyle w:val="15"/>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095AC24F">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sz w:val="32"/>
          <w:szCs w:val="32"/>
        </w:rPr>
        <w:t>服务</w:t>
      </w:r>
      <w:r>
        <w:rPr>
          <w:rFonts w:hint="eastAsia" w:ascii="仿宋_GB2312" w:eastAsia="仿宋_GB2312"/>
          <w:sz w:val="32"/>
          <w:szCs w:val="32"/>
          <w:lang w:eastAsia="zh-CN"/>
        </w:rPr>
        <w:t>方案</w:t>
      </w:r>
      <w:r>
        <w:rPr>
          <w:rFonts w:hint="eastAsia" w:ascii="仿宋_GB2312" w:eastAsia="仿宋_GB2312"/>
          <w:color w:val="auto"/>
          <w:sz w:val="32"/>
          <w:szCs w:val="32"/>
        </w:rPr>
        <w:t>等各类服务工作痕迹记录资料，该项目以下方面需关注：</w:t>
      </w:r>
    </w:p>
    <w:p w14:paraId="33AD72D5">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bookmarkStart w:id="46" w:name="bookmark61"/>
      <w:bookmarkEnd w:id="46"/>
      <w:bookmarkStart w:id="47" w:name="bookmark62"/>
      <w:bookmarkEnd w:id="47"/>
      <w:r>
        <w:rPr>
          <w:rFonts w:hint="eastAsia" w:ascii="仿宋_GB2312" w:eastAsia="仿宋_GB2312"/>
          <w:color w:val="auto"/>
          <w:sz w:val="32"/>
          <w:szCs w:val="32"/>
          <w:lang w:val="en-US" w:eastAsia="zh-CN"/>
        </w:rPr>
        <w:t>（1）片区调研与服务计划呈现质量需进一步提升。当前以站点为统筹主体制定片区服务重点，未突出片区主体地位，未按困难群体、普惠群体分类梳理需求与服务计划。下一阶段应立足片区实际，梳理残疾人、困难长者等困难群体共性服务需求，重点聚焦情感支持、能力提升等内容，通过探访、电访、个案、小组及社区工作精准回应需求，并在服务末期统计需求达成情况。</w:t>
      </w:r>
    </w:p>
    <w:p w14:paraId="2E95C177">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在专业服务的需求界定和服务目标的制定仍有提升空间。具体表现在个案和小组的目标设定上，呈现的目标较为简单、易于实现，但是在呈现社工专业水平方面，尤其是与疑难案例或行业典型案例的水平来看，仍有一定的差距。</w:t>
      </w:r>
    </w:p>
    <w:p w14:paraId="1B04F720">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由于系统尚处于新调试阶段，莲花山片区系统查询数据为317人，存在该系统数据与社工飞书系统数据不一致的情况，后续需进一步核实厘清。建议社工在登录系统、存储电子资料环节，进一步强化信息核实与检查工作，避免出现信息疏漏，确保系统呈现的资料更为精准完善。</w:t>
      </w:r>
    </w:p>
    <w:p w14:paraId="00FBEF30">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古村</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大岭村、茭东村、茭西村、胜洲村、岳溪村、官桥村、江畔社区</w:t>
      </w:r>
    </w:p>
    <w:p w14:paraId="03C688AC">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4C47F444">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sz w:val="32"/>
          <w:szCs w:val="32"/>
        </w:rPr>
        <w:t>服务</w:t>
      </w:r>
      <w:r>
        <w:rPr>
          <w:rFonts w:hint="eastAsia" w:ascii="仿宋_GB2312" w:eastAsia="仿宋_GB2312"/>
          <w:sz w:val="32"/>
          <w:szCs w:val="32"/>
          <w:lang w:eastAsia="zh-CN"/>
        </w:rPr>
        <w:t>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14:paraId="459EF004">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48" w:name="bookmark65"/>
      <w:bookmarkEnd w:id="48"/>
      <w:bookmarkStart w:id="49" w:name="bookmark63"/>
      <w:bookmarkEnd w:id="49"/>
      <w:bookmarkStart w:id="50" w:name="bookmark64"/>
      <w:bookmarkEnd w:id="50"/>
      <w:bookmarkStart w:id="51" w:name="bookmark66"/>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各类指标完成进度（以综合管理平台数据为准）合理。石楼镇古村片区累计建档286户318人，建档完成率为100%，为17类困难群众和特殊群众提供探访687人次、电访328人次；开展个案服务3例（系统未结案），实现22个微心愿；开展小组1个、中小型活动12次含3场民生政策宣传，服务80人次，总体服务进度合理。</w:t>
      </w:r>
    </w:p>
    <w:p w14:paraId="49DAC832">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）个案服务质量较好。古村片区共开展个案服务3人，3人的服务过程记录详实，对服务对象的问题界定准确、计划清晰、进度合理、阶段性成效明确。</w:t>
      </w:r>
    </w:p>
    <w:p w14:paraId="3345E6F4">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）片区服务美誉度高。本年度获得外部单位宣传共11次，其中在全国性平台《社会与公益杂志》公众号有3次报道，在南方+等权威平台宣传3次、镇级平台宣传5次，具有一定的服务引领、示范作用。</w:t>
      </w:r>
    </w:p>
    <w:p w14:paraId="1665902C">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29BFBA0B">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sz w:val="32"/>
          <w:szCs w:val="32"/>
        </w:rPr>
        <w:t>服务</w:t>
      </w:r>
      <w:r>
        <w:rPr>
          <w:rFonts w:hint="eastAsia" w:ascii="仿宋_GB2312" w:eastAsia="仿宋_GB2312"/>
          <w:sz w:val="32"/>
          <w:szCs w:val="32"/>
          <w:lang w:eastAsia="zh-CN"/>
        </w:rPr>
        <w:t>方案</w:t>
      </w:r>
      <w:r>
        <w:rPr>
          <w:rFonts w:hint="eastAsia" w:ascii="仿宋_GB2312" w:eastAsia="仿宋_GB2312"/>
          <w:color w:val="auto"/>
          <w:sz w:val="32"/>
          <w:szCs w:val="32"/>
        </w:rPr>
        <w:t>等各类服务工作痕迹记录资料，该项目以下几方面需关注：</w:t>
      </w:r>
    </w:p>
    <w:p w14:paraId="54CA9FAB">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52" w:name="bookmark68"/>
      <w:bookmarkEnd w:id="52"/>
      <w:bookmarkStart w:id="53" w:name="bookmark67"/>
      <w:bookmarkEnd w:id="53"/>
      <w:bookmarkStart w:id="54" w:name="bookmark69"/>
      <w:bookmarkEnd w:id="5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应加强具体探访服务的专业性。经查，存在二级对象的服务内容针对性不足的问题，分级评估记录提示存在的问题（如家居安全问题、饮食问题等）未在具体工作中有充分的回应，建议结合《广州市社工站购买服务项目服务清单（民政领域社会工作）》中针对不同人群的服务内容清单，落实探电访服务。</w:t>
      </w:r>
    </w:p>
    <w:p w14:paraId="6ECAA6B9">
      <w:pPr>
        <w:pStyle w:val="15"/>
        <w:pageBreakBefore w:val="0"/>
        <w:widowControl w:val="0"/>
        <w:tabs>
          <w:tab w:val="left" w:pos="972"/>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）加强分级评估的准确性核查。经查，SL857-1077-YX032-1-1 残联评定肢体残疾一级，社工站分级评估表中生理状况评估结论为“残疾较轻”，并将其定为五级对象、按五级对象频次提供服务，社工站的评估结论依据不足，建议对该服务对象的真实情况加以说明，以确保服务对象评级结果合理准确。</w:t>
      </w:r>
    </w:p>
    <w:p w14:paraId="71F2974A">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专业服务质量有待提升，主要体现在小组服务纵深不足。经查阅综合管理平台信息并结合纸质小组签到表，“要知道·药安全”小组的受惠对象实际仅关联到2名困难及特殊群众，重点对象受益面过窄且两人的出席率偏低；另外，该小组的目标不明确，如目标是志愿队伍培育，其成效评估的重点应为能力提升方面，如目标是用药安全视频的制作和应用，则应增加培育成果的转化，积极构建二级、三级及以上服务成效梯队，将后续的志愿服务或安全用药宣教视频受益人数纳入小组成果中。</w:t>
      </w:r>
    </w:p>
    <w:p w14:paraId="2BFACEB8">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lang w:eastAsia="zh-CN"/>
        </w:rPr>
      </w:pPr>
      <w:r>
        <w:rPr>
          <w:rFonts w:hint="eastAsia" w:ascii="仿宋_GB2312" w:eastAsia="仿宋_GB2312"/>
          <w:b/>
          <w:bCs/>
          <w:color w:val="auto"/>
          <w:sz w:val="32"/>
          <w:szCs w:val="32"/>
          <w:lang w:eastAsia="zh-CN"/>
        </w:rPr>
        <w:t>沙田片区：沙南村、沙北村、江鸥村、海心村、清流村、南派村</w:t>
      </w:r>
    </w:p>
    <w:p w14:paraId="5CC18180">
      <w:pPr>
        <w:pStyle w:val="15"/>
        <w:pageBreakBefore w:val="0"/>
        <w:widowControl w:val="0"/>
        <w:tabs>
          <w:tab w:val="left" w:pos="972"/>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值得肯定的地方</w:t>
      </w:r>
    </w:p>
    <w:p w14:paraId="397F9D8C">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sz w:val="32"/>
          <w:szCs w:val="32"/>
        </w:rPr>
        <w:t>服务</w:t>
      </w:r>
      <w:r>
        <w:rPr>
          <w:rFonts w:hint="eastAsia" w:ascii="仿宋_GB2312" w:eastAsia="仿宋_GB2312"/>
          <w:sz w:val="32"/>
          <w:szCs w:val="32"/>
          <w:lang w:eastAsia="zh-CN"/>
        </w:rPr>
        <w:t>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14:paraId="4BFD125D">
      <w:pPr>
        <w:pStyle w:val="15"/>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沙田片区实现17类困难群众和特殊群体建档全覆盖，目前结合飞书和系统数据统计累计建档797户952人，已完成分级探访、电访服务。聚焦群体需求提供多元服务：政策宣传、节日关怀、资源整合等普惠性服务覆盖167人；为3名特困、低保及困境儿童提供个案帮扶；针对以老养残家庭，组织6户开展出游活动、为9户提供户外放松服务；面向15名残疾人开展生活技能提升活动，为10名残疾人开设烹饪能力提升小组，服务形式多样。</w:t>
      </w:r>
    </w:p>
    <w:p w14:paraId="16EE96AA">
      <w:pPr>
        <w:pStyle w:val="15"/>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沙田片区社工团队秉持严谨务实的工作态度，对服务对象情况了然于心，且能够强化自身专业能力建设，通过专题共学提升政策应用水平，累计开展3场入户政策宣传活动，覆盖困难群众和特殊群体90人，成功协助3名服务对象完成政策救助申请，政策落地实效显著。</w:t>
      </w:r>
    </w:p>
    <w:p w14:paraId="276C994D">
      <w:pPr>
        <w:pStyle w:val="15"/>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（3）社工创新“学用结合” 赋能路径，聚焦残疾人独立生活核心技能培育，推动服务对象从“家庭负担”向“生活参与者”转变。采用“模拟教学+社区实战”模式，成效良好：生活采购领域，100% 参与者掌握人民币辨识与购物流程，14人已能独立参与家庭采购；烹饪技能领域，100% 参与者掌握厨具安全使用方法，70%可独立完成家常菜制作，5人主动承担家庭餐食烹饪；安全出行领域，100%服务对象家庭掌握路线确认、急救包使用等应急技能，实现从“依赖照顾”到逐步开展“自主生活”的转变，服务成效获得服务对象肯定。</w:t>
      </w:r>
    </w:p>
    <w:p w14:paraId="26EAA5BE">
      <w:pPr>
        <w:pStyle w:val="15"/>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081CB6EF">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sz w:val="32"/>
          <w:szCs w:val="32"/>
        </w:rPr>
        <w:t>服务</w:t>
      </w:r>
      <w:r>
        <w:rPr>
          <w:rFonts w:hint="eastAsia" w:ascii="仿宋_GB2312" w:eastAsia="仿宋_GB2312"/>
          <w:sz w:val="32"/>
          <w:szCs w:val="32"/>
          <w:lang w:eastAsia="zh-CN"/>
        </w:rPr>
        <w:t>方案</w:t>
      </w:r>
      <w:r>
        <w:rPr>
          <w:rFonts w:hint="eastAsia" w:ascii="仿宋_GB2312" w:eastAsia="仿宋_GB2312"/>
          <w:color w:val="auto"/>
          <w:sz w:val="32"/>
          <w:szCs w:val="32"/>
        </w:rPr>
        <w:t>等各类服务工作痕迹记录资料，该项目以下方面需关注：</w:t>
      </w:r>
    </w:p>
    <w:p w14:paraId="70E354B1">
      <w:pPr>
        <w:pStyle w:val="15"/>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建议进一步深化困难群众和特殊群体建档“一人一案”个性化服务。目前发现档案中部分服务对象的服务目标描述基本上聚焦于分级探访、社区关怀、物资帮扶等共性服务，个性化适配有待进一步提升。建议结合群体特质进一步细化服务需求和目标：如针对困境儿童不同成长阶段的发展性需求，强化成长陪伴与能力培育；针对残疾人提供辅具使用指导；针对慢性病患者服药提醒、健康监测等服务，逐步完善具体可操作的个性化服务计划，以推动服务向深层次延伸。</w:t>
      </w:r>
    </w:p>
    <w:p w14:paraId="7CB57BCD">
      <w:pPr>
        <w:pStyle w:val="15"/>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进一步细化“助残增能，为家减负”项目服务适配性。该项目聚焦残疾人独立生活能力提升与家庭照顾者喘息支持两大核心需求，通过多元服务介入取得一定成效。建议后期进一步分析不同残疾类型（如肢体、智力、精神等）及残疾级别的服务对象及其家庭需求差异，据此来优化服务设计，匹配更具针对性的服务形式与内容，提升服务精准度与成效转化率。</w:t>
      </w:r>
    </w:p>
    <w:p w14:paraId="176D7DC3">
      <w:pPr>
        <w:pStyle w:val="15"/>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建议继续强化社区资产地图实用价值转化。在现有社区资产地图分析的基础上，进一步筛选与甄别重点社区资产，适当增加重点资产使用与年度工作计划的适配性分析，明确重点社区资产在回应社区问题、支撑服务开展中的具体应用场景或实施路径，最大化发挥资产的服务价值与社会效益。</w:t>
      </w:r>
    </w:p>
    <w:p w14:paraId="7C208036">
      <w:pPr>
        <w:pStyle w:val="15"/>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（六）</w:t>
      </w:r>
      <w:r>
        <w:rPr>
          <w:rFonts w:hint="eastAsia" w:ascii="仿宋_GB2312" w:eastAsia="仿宋_GB2312"/>
          <w:b/>
          <w:bCs/>
          <w:color w:val="auto"/>
          <w:sz w:val="32"/>
          <w:szCs w:val="32"/>
          <w:highlight w:val="none"/>
        </w:rPr>
        <w:t>购买方反馈情况</w:t>
      </w:r>
    </w:p>
    <w:p w14:paraId="0FD52752">
      <w:pPr>
        <w:pStyle w:val="15"/>
        <w:pageBreakBefore w:val="0"/>
        <w:widowControl w:val="0"/>
        <w:kinsoku/>
        <w:wordWrap/>
        <w:overflowPunct/>
        <w:topLinePunct w:val="0"/>
        <w:autoSpaceDE/>
        <w:autoSpaceDN/>
        <w:bidi w:val="0"/>
        <w:adjustRightInd/>
        <w:snapToGrid/>
        <w:spacing w:after="80" w:line="560" w:lineRule="exact"/>
        <w:ind w:left="0" w:leftChars="0"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2EADF410">
      <w:pPr>
        <w:pStyle w:val="15"/>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石楼镇人民政府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能主动对接、积极配合镇完成各项任务，服务推进与镇工作同频共振。针对兜底人群数量大、覆盖难的现实问题，主动探索创新服务模式，服务响应及时，获得服务对象高度认同。结合各片区资源禀赋与群众需求差异，精准开展针对性特色服务。有效链接辖区慈善资源，规范组建志愿者队伍，组织各类服务活动，切实解决服务对象实际困难。媒体宣传及时有力，注重案例提炼与经验总结，积极推广成熟做法，发挥专业引领与示范带动作用。</w:t>
      </w:r>
    </w:p>
    <w:p w14:paraId="651D0EA4">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759E813E">
      <w:pPr>
        <w:pStyle w:val="15"/>
        <w:pageBreakBefore w:val="0"/>
        <w:widowControl w:val="0"/>
        <w:numPr>
          <w:ilvl w:val="0"/>
          <w:numId w:val="0"/>
        </w:numPr>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购买方（石楼镇人民政府）认为，社工站的党建与社工专业服务融合可进一步深化，可参考新时代社会工作与党建深度融合的发展路径，借助党组织的组织优势，让党建引领在服务居民、提升社会治理水平上的成效更凸显。与社区、部门及社会组织的协同联动机制可进一步完善，结合石楼镇社工站现有服务基础，慈善基金筹集渠道可探索更多元化方式，资金使用的领域与形式也更加丰富，可进一步提升资金的使用效益。</w:t>
      </w:r>
    </w:p>
    <w:p w14:paraId="631E01EA">
      <w:pPr>
        <w:pStyle w:val="15"/>
        <w:pageBreakBefore w:val="0"/>
        <w:widowControl w:val="0"/>
        <w:numPr>
          <w:ilvl w:val="0"/>
          <w:numId w:val="0"/>
        </w:numPr>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b/>
          <w:bCs/>
          <w:sz w:val="32"/>
          <w:szCs w:val="32"/>
          <w:highlight w:val="none"/>
        </w:rPr>
      </w:pPr>
      <w:r>
        <w:rPr>
          <w:rFonts w:hint="eastAsia" w:ascii="仿宋_GB2312" w:eastAsia="仿宋_GB2312"/>
          <w:b/>
          <w:bCs/>
          <w:sz w:val="32"/>
          <w:szCs w:val="32"/>
          <w:highlight w:val="none"/>
          <w:lang w:eastAsia="zh-CN"/>
        </w:rPr>
        <w:t>（七）</w:t>
      </w:r>
      <w:r>
        <w:rPr>
          <w:rFonts w:hint="eastAsia" w:ascii="仿宋_GB2312" w:eastAsia="仿宋_GB2312"/>
          <w:b/>
          <w:bCs/>
          <w:sz w:val="32"/>
          <w:szCs w:val="32"/>
          <w:highlight w:val="none"/>
        </w:rPr>
        <w:t>市督导中心反馈</w:t>
      </w:r>
    </w:p>
    <w:p w14:paraId="7B3860D8">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5B2C4F2B">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w:t>
      </w:r>
      <w:r>
        <w:rPr>
          <w:rFonts w:hint="eastAsia" w:ascii="仿宋_GB2312" w:eastAsia="仿宋_GB2312"/>
          <w:sz w:val="32"/>
          <w:szCs w:val="32"/>
          <w:lang w:eastAsia="zh-CN"/>
        </w:rPr>
        <w:t>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7AD04F9E">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共学机制持续深化。结合上期评估意见，项目依据能力提升需求制定了具体的共学计划，明确了共学主题、频次及带领者，常态化推进成效明显。项目能够充分调动内部督导，由其认领共学主题并细化安排，发挥其专业优势推动共学工作持续深入；同时，实施片长季度轮值制，每季度轮流带领政策共学活动；此外，副站长依托机构“知行蓄能站”平台，每月参与跨项目交流，从中学习管理经验，并组织社工站互访交流活动，通过实地观摩拓宽社工专业视野。</w:t>
      </w:r>
    </w:p>
    <w:p w14:paraId="72F7ED17">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协同机制运作顺畅。项目团队与石楼镇26个社区建立“双工”联动机制，形成“需求发现—政策申请—联合核实—长效跟进”标准化流程。每月与事务岗社工开展联合工作研讨，本周期研讨化解复杂问题6项并形成专项反馈；同时，“双工”“双岗”联动共完成政策帮扶服务转介25例，另积极与社区联动合作开展多场活动，充分联动社区力量，发挥各方优势，实现人员协同与资源整合的双重效能提升。</w:t>
      </w:r>
    </w:p>
    <w:p w14:paraId="42158E0E">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重视服务宣传推广。项目制定年度宣传计划并开展半年度总结，常态化对接有影响力的传播平台。本周期积极引导社工梳理服务经验，产出4篇服务案例，有效提升成效提炼能力。同时，在区级平台开展实务经验分享，推动专业输出与行业交流，提升项目影响力。</w:t>
      </w:r>
    </w:p>
    <w:p w14:paraId="3F522FA6">
      <w:pPr>
        <w:pStyle w:val="15"/>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1A43BEC5">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w:t>
      </w:r>
      <w:r>
        <w:rPr>
          <w:rFonts w:hint="eastAsia" w:ascii="仿宋_GB2312" w:eastAsia="仿宋_GB2312"/>
          <w:sz w:val="32"/>
          <w:szCs w:val="32"/>
        </w:rPr>
        <w:t>服务</w:t>
      </w:r>
      <w:r>
        <w:rPr>
          <w:rFonts w:hint="eastAsia" w:ascii="仿宋_GB2312" w:eastAsia="仿宋_GB2312"/>
          <w:sz w:val="32"/>
          <w:szCs w:val="32"/>
          <w:lang w:eastAsia="zh-CN"/>
        </w:rPr>
        <w:t>方案</w:t>
      </w:r>
      <w:r>
        <w:rPr>
          <w:rFonts w:hint="eastAsia" w:ascii="仿宋_GB2312" w:eastAsia="仿宋_GB2312" w:hAnsiTheme="minorEastAsia"/>
          <w:color w:val="auto"/>
          <w:sz w:val="32"/>
          <w:szCs w:val="32"/>
          <w:lang w:eastAsia="zh-CN"/>
        </w:rPr>
        <w:t>等各类服务工作痕迹记录资料，该项目以下几方面需关注：</w:t>
      </w:r>
    </w:p>
    <w:p w14:paraId="368CE589">
      <w:pPr>
        <w:pStyle w:val="15"/>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需进一步完善能力提升体系。建议动态评估社工成长需求，进一步细化可量化的目标及实施计划，完善培训、督导等配套执行方案，构建科学、多维的成效评估指标，从数量与质量两个层面检视目标达成情况，增强评估的客观性与指导性。同时，持续优化内部督导的培养与评价机制，有计划地推进人才梯队建设与周期性评估，为队伍长效发展提供制度保障。</w:t>
      </w:r>
    </w:p>
    <w:p w14:paraId="7C680EE4">
      <w:pPr>
        <w:pStyle w:val="13"/>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（2）项目需提升平台工作管理水平。建议完善平台长效管理机制，全面落实平台常态化使用要求，持续强化对全体社工的平台操作培训与服务记录跟踪监测，确保各项服务数据及时、准确录入及审核。</w:t>
      </w:r>
    </w:p>
    <w:p w14:paraId="38753BC3">
      <w:pPr>
        <w:pStyle w:val="13"/>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研究成果的创新性和示范性有待加强。目前研究成果以内部产出为主，尚未形成兼具较高影响力与推广性的实务研究成果。建议依托专业力量，不断提升团队研究能力，深度梳理典型服务案例，提高案例及其他实务成果产出的质量，提炼可复制、可推广的实务模式或工作指引，发挥专业示范性。</w:t>
      </w:r>
    </w:p>
    <w:p w14:paraId="78FC98B7">
      <w:pPr>
        <w:pStyle w:val="13"/>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2EF3659E">
      <w:pPr>
        <w:pStyle w:val="15"/>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社工站的反馈如下：</w:t>
      </w:r>
      <w:bookmarkStart w:id="55" w:name="bookmark85"/>
      <w:bookmarkEnd w:id="55"/>
    </w:p>
    <w:p w14:paraId="44A2A7D3">
      <w:pPr>
        <w:pStyle w:val="15"/>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石楼镇</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石楼镇</w:t>
      </w:r>
      <w:r>
        <w:rPr>
          <w:rFonts w:hint="eastAsia" w:ascii="仿宋_GB2312" w:eastAsia="仿宋_GB2312" w:hAnsiTheme="minorEastAsia"/>
          <w:color w:val="auto"/>
          <w:sz w:val="32"/>
          <w:szCs w:val="32"/>
          <w:lang w:eastAsia="zh-CN"/>
        </w:rPr>
        <w:t>社工站表示对评委们提出的意见和建议无异议。</w:t>
      </w:r>
    </w:p>
    <w:p w14:paraId="3CE76C9E">
      <w:pPr>
        <w:pStyle w:val="15"/>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石楼镇人民政府</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石楼镇</w:t>
      </w:r>
      <w:r>
        <w:rPr>
          <w:rFonts w:hint="eastAsia" w:ascii="仿宋_GB2312" w:eastAsia="仿宋_GB2312" w:hAnsiTheme="minorEastAsia"/>
          <w:color w:val="auto"/>
          <w:sz w:val="32"/>
          <w:szCs w:val="32"/>
          <w:lang w:eastAsia="zh-CN"/>
        </w:rPr>
        <w:t>社工站对评估报告初稿无异议。</w:t>
      </w:r>
    </w:p>
    <w:p w14:paraId="4CCCE3EC">
      <w:pPr>
        <w:pStyle w:val="13"/>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14:paraId="7701C838">
      <w:pPr>
        <w:pStyle w:val="15"/>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60分至80分（不含80分）为合格，60分以下（不含60分）为不合格。</w:t>
      </w:r>
    </w:p>
    <w:p w14:paraId="39FA4749">
      <w:pPr>
        <w:pStyle w:val="15"/>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石楼镇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rPr>
        <w:t>“</w:t>
      </w:r>
      <w:r>
        <w:rPr>
          <w:rFonts w:hint="eastAsia" w:ascii="仿宋_GB2312" w:eastAsia="仿宋_GB2312"/>
          <w:b/>
          <w:color w:val="auto"/>
          <w:sz w:val="32"/>
          <w:szCs w:val="32"/>
          <w:lang w:val="en-US" w:eastAsia="zh-CN"/>
        </w:rPr>
        <w:t>良好</w:t>
      </w:r>
      <w:r>
        <w:rPr>
          <w:rFonts w:hint="eastAsia" w:ascii="仿宋_GB2312" w:eastAsia="仿宋_GB2312"/>
          <w:b/>
          <w:color w:val="auto"/>
          <w:sz w:val="32"/>
          <w:szCs w:val="32"/>
        </w:rPr>
        <w:t>”</w:t>
      </w:r>
      <w:r>
        <w:rPr>
          <w:rFonts w:hint="eastAsia" w:ascii="仿宋_GB2312" w:eastAsia="仿宋_GB2312"/>
          <w:b/>
          <w:color w:val="auto"/>
          <w:sz w:val="32"/>
          <w:szCs w:val="32"/>
          <w:lang w:eastAsia="zh-CN"/>
        </w:rPr>
        <w:t>（</w:t>
      </w:r>
      <w:r>
        <w:rPr>
          <w:rFonts w:hint="eastAsia" w:ascii="仿宋_GB2312" w:eastAsia="仿宋_GB2312"/>
          <w:b/>
          <w:color w:val="auto"/>
          <w:sz w:val="32"/>
          <w:szCs w:val="32"/>
          <w:lang w:val="en-US" w:eastAsia="zh-CN"/>
        </w:rPr>
        <w:t>87.13</w:t>
      </w:r>
      <w:r>
        <w:rPr>
          <w:rFonts w:ascii="仿宋_GB2312" w:eastAsia="仿宋_GB2312"/>
          <w:b/>
          <w:sz w:val="32"/>
          <w:szCs w:val="32"/>
          <w:lang w:val="en-US" w:eastAsia="zh-CN"/>
        </w:rPr>
        <w:t>分</w:t>
      </w:r>
      <w:r>
        <w:rPr>
          <w:rFonts w:hint="eastAsia" w:ascii="仿宋_GB2312" w:eastAsia="仿宋_GB2312"/>
          <w:b/>
          <w:color w:val="auto"/>
          <w:sz w:val="32"/>
          <w:szCs w:val="32"/>
          <w:lang w:eastAsia="zh-CN"/>
        </w:rPr>
        <w:t>）</w:t>
      </w:r>
      <w:r>
        <w:rPr>
          <w:rFonts w:hint="eastAsia" w:ascii="仿宋_GB2312" w:eastAsia="仿宋_GB2312"/>
          <w:color w:val="auto"/>
          <w:sz w:val="32"/>
          <w:szCs w:val="32"/>
        </w:rPr>
        <w:t>。</w:t>
      </w:r>
    </w:p>
    <w:p w14:paraId="19177EBF">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78E8E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787FCBC6">
            <w:pPr>
              <w:pStyle w:val="15"/>
              <w:pageBreakBefore w:val="0"/>
              <w:kinsoku/>
              <w:wordWrap/>
              <w:overflowPunct/>
              <w:topLinePunct w:val="0"/>
              <w:autoSpaceDE/>
              <w:autoSpaceDN/>
              <w:bidi w:val="0"/>
              <w:adjustRightInd/>
              <w:snapToGrid/>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vAlign w:val="center"/>
          </w:tcPr>
          <w:p w14:paraId="1EA71CAE">
            <w:pPr>
              <w:pStyle w:val="15"/>
              <w:pageBreakBefore w:val="0"/>
              <w:kinsoku/>
              <w:wordWrap/>
              <w:overflowPunct/>
              <w:topLinePunct w:val="0"/>
              <w:autoSpaceDE/>
              <w:autoSpaceDN/>
              <w:bidi w:val="0"/>
              <w:adjustRightInd/>
              <w:snapToGrid/>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vAlign w:val="center"/>
          </w:tcPr>
          <w:p w14:paraId="3884ADA3">
            <w:pPr>
              <w:pStyle w:val="15"/>
              <w:pageBreakBefore w:val="0"/>
              <w:kinsoku/>
              <w:wordWrap/>
              <w:overflowPunct/>
              <w:topLinePunct w:val="0"/>
              <w:autoSpaceDE/>
              <w:autoSpaceDN/>
              <w:bidi w:val="0"/>
              <w:adjustRightInd/>
              <w:snapToGrid/>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vAlign w:val="center"/>
          </w:tcPr>
          <w:p w14:paraId="1E5D79E5">
            <w:pPr>
              <w:pStyle w:val="15"/>
              <w:pageBreakBefore w:val="0"/>
              <w:kinsoku/>
              <w:wordWrap/>
              <w:overflowPunct/>
              <w:topLinePunct w:val="0"/>
              <w:autoSpaceDE/>
              <w:autoSpaceDN/>
              <w:bidi w:val="0"/>
              <w:adjustRightInd/>
              <w:snapToGrid/>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21808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3B101487">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vAlign w:val="center"/>
          </w:tcPr>
          <w:p w14:paraId="47D10E83">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55</w:t>
            </w:r>
          </w:p>
        </w:tc>
        <w:tc>
          <w:tcPr>
            <w:tcW w:w="731" w:type="pct"/>
            <w:vAlign w:val="center"/>
          </w:tcPr>
          <w:p w14:paraId="15BDF41A">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46.03</w:t>
            </w:r>
          </w:p>
        </w:tc>
        <w:tc>
          <w:tcPr>
            <w:tcW w:w="848" w:type="pct"/>
            <w:vAlign w:val="center"/>
          </w:tcPr>
          <w:p w14:paraId="3BD4E9DC">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46.03</w:t>
            </w:r>
          </w:p>
        </w:tc>
      </w:tr>
      <w:tr w14:paraId="08ECB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4C85715F">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bidi="ar"/>
              </w:rPr>
            </w:pPr>
            <w:r>
              <w:rPr>
                <w:rStyle w:val="34"/>
                <w:rFonts w:hint="default" w:ascii="仿宋_GB2312" w:hAnsi="仿宋_GB2312" w:eastAsia="仿宋_GB2312" w:cs="仿宋_GB2312"/>
                <w:sz w:val="28"/>
                <w:szCs w:val="28"/>
                <w:lang w:eastAsia="zh-CN" w:bidi="ar"/>
              </w:rPr>
              <w:t>购买方</w:t>
            </w:r>
          </w:p>
        </w:tc>
        <w:tc>
          <w:tcPr>
            <w:tcW w:w="728" w:type="pct"/>
            <w:vAlign w:val="center"/>
          </w:tcPr>
          <w:p w14:paraId="2C702929">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vAlign w:val="center"/>
          </w:tcPr>
          <w:p w14:paraId="39EB9D9B">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19</w:t>
            </w:r>
          </w:p>
        </w:tc>
        <w:tc>
          <w:tcPr>
            <w:tcW w:w="848" w:type="pct"/>
            <w:vAlign w:val="center"/>
          </w:tcPr>
          <w:p w14:paraId="151377B7">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19</w:t>
            </w:r>
          </w:p>
        </w:tc>
      </w:tr>
      <w:tr w14:paraId="088CE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582BF55B">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vAlign w:val="center"/>
          </w:tcPr>
          <w:p w14:paraId="5F38B348">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vAlign w:val="center"/>
          </w:tcPr>
          <w:p w14:paraId="59E83B9D">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3.1</w:t>
            </w:r>
          </w:p>
        </w:tc>
        <w:tc>
          <w:tcPr>
            <w:tcW w:w="848" w:type="pct"/>
            <w:vAlign w:val="center"/>
          </w:tcPr>
          <w:p w14:paraId="23DAD6D0">
            <w:pPr>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3.1</w:t>
            </w:r>
          </w:p>
        </w:tc>
      </w:tr>
      <w:tr w14:paraId="62298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68810D32">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highlight w:val="yellow"/>
                <w:lang w:eastAsia="zh-CN" w:bidi="ar"/>
              </w:rPr>
            </w:pPr>
            <w:r>
              <w:rPr>
                <w:rFonts w:ascii="仿宋_GB2312" w:hAnsi="仿宋_GB2312" w:eastAsia="仿宋_GB2312" w:cs="仿宋_GB2312"/>
                <w:sz w:val="28"/>
                <w:szCs w:val="28"/>
                <w:lang w:eastAsia="zh-CN" w:bidi="ar"/>
              </w:rPr>
              <w:t>监督方</w:t>
            </w:r>
          </w:p>
        </w:tc>
        <w:tc>
          <w:tcPr>
            <w:tcW w:w="728" w:type="pct"/>
            <w:vAlign w:val="center"/>
          </w:tcPr>
          <w:p w14:paraId="254EAB76">
            <w:pPr>
              <w:pageBreakBefore w:val="0"/>
              <w:widowControl/>
              <w:kinsoku/>
              <w:wordWrap/>
              <w:overflowPunct/>
              <w:topLinePunct w:val="0"/>
              <w:autoSpaceDE/>
              <w:autoSpaceDN/>
              <w:bidi w:val="0"/>
              <w:adjustRightInd/>
              <w:snapToGrid/>
              <w:spacing w:line="560" w:lineRule="exact"/>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bidi="ar"/>
              </w:rPr>
              <w:t>10</w:t>
            </w:r>
          </w:p>
        </w:tc>
        <w:tc>
          <w:tcPr>
            <w:tcW w:w="731" w:type="pct"/>
            <w:vAlign w:val="center"/>
          </w:tcPr>
          <w:p w14:paraId="37AD8ABE">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848" w:type="pct"/>
            <w:vAlign w:val="center"/>
          </w:tcPr>
          <w:p w14:paraId="3E077B2D">
            <w:pPr>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14:paraId="48A8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vAlign w:val="center"/>
          </w:tcPr>
          <w:p w14:paraId="220D37D3">
            <w:pPr>
              <w:pStyle w:val="15"/>
              <w:pageBreakBefore w:val="0"/>
              <w:kinsoku/>
              <w:wordWrap/>
              <w:overflowPunct/>
              <w:topLinePunct w:val="0"/>
              <w:autoSpaceDE/>
              <w:autoSpaceDN/>
              <w:bidi w:val="0"/>
              <w:adjustRightInd/>
              <w:snapToGrid/>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vAlign w:val="center"/>
          </w:tcPr>
          <w:p w14:paraId="0C1EBEFE">
            <w:pPr>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87.13</w:t>
            </w:r>
          </w:p>
        </w:tc>
      </w:tr>
    </w:tbl>
    <w:p w14:paraId="4453FE19">
      <w:pPr>
        <w:pStyle w:val="13"/>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14:paraId="27448FC6">
      <w:pPr>
        <w:pStyle w:val="15"/>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石楼镇社工服务站在番禺区民政局、石楼镇党委、石楼镇人民政府的大力支持下，在广州市阳光天使社会工作服务中心的统筹推进下，始终坚持党的领导，</w:t>
      </w:r>
      <w:r>
        <w:rPr>
          <w:rFonts w:hint="eastAsia" w:ascii="仿宋_GB2312" w:eastAsia="仿宋_GB2312"/>
          <w:color w:val="auto"/>
          <w:sz w:val="32"/>
          <w:szCs w:val="32"/>
          <w:lang w:val="en-US" w:eastAsia="zh-CN"/>
        </w:rPr>
        <w:t>积极配合镇完成各项任务，服务推进与镇工作同频共振；社工站主动探索创新服务模式，服务响应及时，获得服务对象高度认同。项目人员团队稳定，专业性强；依托社区宣传栏、官方公众号、微信等平台阵地，通过多形式、多渠道的方式广泛宣传社工站各项服务信息；有效发挥五社联动机制，撬动社会资源，解决困难群众和特殊群体急难愁盼问题。</w:t>
      </w:r>
    </w:p>
    <w:p w14:paraId="025C2D29">
      <w:pPr>
        <w:pStyle w:val="15"/>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val="en-US" w:eastAsia="zh-CN"/>
        </w:rPr>
        <w:t>建议社工站进一步深化党建与社工专业服务的融合，完善与社区、部门及社会组织的协同联动机制，持续强化联动合力。</w:t>
      </w:r>
      <w:r>
        <w:rPr>
          <w:rFonts w:hint="eastAsia" w:ascii="仿宋_GB2312" w:eastAsia="仿宋_GB2312"/>
          <w:color w:val="auto"/>
          <w:sz w:val="32"/>
          <w:szCs w:val="32"/>
          <w:lang w:eastAsia="zh-CN"/>
        </w:rPr>
        <w:t>进一步深化困难群众和特殊群体建档“一人一案”个性化服务，强化分级评估的准确性核查，强化社区资产地图实用价值转化，探索慈善基金筹集渠道多元化路径，进一步提升资金的使用效益。</w:t>
      </w:r>
      <w:r>
        <w:rPr>
          <w:rFonts w:hint="eastAsia" w:ascii="仿宋_GB2312" w:eastAsia="仿宋_GB2312"/>
          <w:color w:val="auto"/>
          <w:sz w:val="32"/>
          <w:szCs w:val="32"/>
          <w:lang w:val="en-US" w:eastAsia="zh-CN"/>
        </w:rPr>
        <w:t>依托专业力量，不断提升团队研究能力，深度梳理典型服务案例，提高案例及其他实务成果产出的质量，提炼可复制、可推广的实务模式或工作指引，发挥专业示范性。</w:t>
      </w:r>
    </w:p>
    <w:p w14:paraId="572FEFA1">
      <w:pPr>
        <w:pStyle w:val="15"/>
        <w:spacing w:after="160" w:line="560" w:lineRule="exact"/>
        <w:ind w:firstLine="0"/>
        <w:jc w:val="both"/>
        <w:rPr>
          <w:rFonts w:ascii="仿宋_GB2312" w:eastAsia="仿宋_GB2312"/>
          <w:color w:val="auto"/>
          <w:sz w:val="32"/>
          <w:szCs w:val="32"/>
        </w:rPr>
      </w:pPr>
    </w:p>
    <w:p w14:paraId="3F7FA52B">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p>
    <w:p w14:paraId="22851EFD">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附件：1.石楼镇社工服务站指标完成情况统计表</w:t>
      </w:r>
    </w:p>
    <w:p w14:paraId="2BFF1182">
      <w:pPr>
        <w:pStyle w:val="15"/>
        <w:pageBreakBefore w:val="0"/>
        <w:widowControl w:val="0"/>
        <w:kinsoku/>
        <w:wordWrap/>
        <w:overflowPunct/>
        <w:topLinePunct w:val="0"/>
        <w:autoSpaceDE/>
        <w:autoSpaceDN/>
        <w:bidi w:val="0"/>
        <w:adjustRightInd/>
        <w:snapToGrid/>
        <w:spacing w:after="0" w:line="540" w:lineRule="exact"/>
        <w:ind w:firstLine="1600" w:firstLineChars="500"/>
        <w:jc w:val="both"/>
        <w:textAlignment w:val="auto"/>
        <w:rPr>
          <w:rFonts w:hint="eastAsia" w:ascii="仿宋_GB2312" w:hAnsi="宋体" w:eastAsia="仿宋_GB2312" w:cs="宋体"/>
          <w:color w:val="auto"/>
          <w:sz w:val="32"/>
          <w:szCs w:val="32"/>
          <w:lang w:val="zh-TW" w:eastAsia="zh-CN" w:bidi="zh-TW"/>
        </w:rPr>
      </w:pPr>
      <w:r>
        <w:rPr>
          <w:rFonts w:hint="eastAsia" w:ascii="仿宋_GB2312" w:eastAsia="仿宋_GB2312"/>
          <w:color w:val="auto"/>
          <w:sz w:val="32"/>
          <w:szCs w:val="32"/>
          <w:lang w:val="en-US" w:eastAsia="zh-CN"/>
        </w:rPr>
        <w:t>2.石楼镇社工服务站工作人员情况统计表</w:t>
      </w:r>
    </w:p>
    <w:p w14:paraId="6C1424E3">
      <w:pPr>
        <w:tabs>
          <w:tab w:val="left" w:pos="7330"/>
        </w:tabs>
        <w:spacing w:line="560" w:lineRule="exact"/>
        <w:ind w:firstLine="4800" w:firstLineChars="1500"/>
        <w:jc w:val="both"/>
        <w:rPr>
          <w:rFonts w:hint="eastAsia" w:ascii="仿宋_GB2312" w:hAnsi="仿宋_GB2312" w:eastAsia="仿宋_GB2312" w:cs="仿宋_GB2312"/>
          <w:color w:val="auto"/>
          <w:sz w:val="32"/>
          <w:szCs w:val="32"/>
          <w:lang w:eastAsia="zh-CN"/>
        </w:rPr>
      </w:pPr>
    </w:p>
    <w:p w14:paraId="3DB3D80A">
      <w:pPr>
        <w:keepNext/>
        <w:keepLines/>
        <w:pageBreakBefore w:val="0"/>
        <w:widowControl w:val="0"/>
        <w:kinsoku/>
        <w:wordWrap/>
        <w:overflowPunct/>
        <w:topLinePunct w:val="0"/>
        <w:autoSpaceDE/>
        <w:autoSpaceDN/>
        <w:bidi w:val="0"/>
        <w:adjustRightInd/>
        <w:snapToGrid/>
        <w:spacing w:line="413" w:lineRule="auto"/>
        <w:textAlignment w:val="auto"/>
        <w:outlineLvl w:val="9"/>
        <w:rPr>
          <w:rFonts w:hint="eastAsia" w:ascii="仿宋_GB2312" w:hAnsi="仿宋_GB2312" w:eastAsia="仿宋_GB2312" w:cs="仿宋_GB2312"/>
          <w:color w:val="auto"/>
          <w:sz w:val="32"/>
          <w:szCs w:val="32"/>
          <w:lang w:eastAsia="zh-CN"/>
        </w:rPr>
      </w:pPr>
    </w:p>
    <w:p w14:paraId="3943479C">
      <w:pPr>
        <w:rPr>
          <w:rFonts w:hint="eastAsia"/>
          <w:sz w:val="32"/>
          <w:szCs w:val="32"/>
          <w:lang w:eastAsia="zh-CN"/>
        </w:rPr>
      </w:pPr>
    </w:p>
    <w:p w14:paraId="315E5E93">
      <w:pPr>
        <w:tabs>
          <w:tab w:val="left" w:pos="7330"/>
        </w:tabs>
        <w:spacing w:line="560" w:lineRule="exact"/>
        <w:ind w:firstLine="4800" w:firstLineChars="15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0552409E">
      <w:pPr>
        <w:tabs>
          <w:tab w:val="left" w:pos="7330"/>
        </w:tabs>
        <w:spacing w:line="560" w:lineRule="exact"/>
        <w:ind w:firstLine="5760" w:firstLineChars="18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4日</w:t>
      </w:r>
      <w:bookmarkStart w:id="58" w:name="_GoBack"/>
      <w:bookmarkEnd w:id="58"/>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9CA45">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58E246">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958E246">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FB386">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41D1B4">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E41D1B4">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67783"/>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45BAD"/>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C4F33"/>
    <w:rsid w:val="00FE6AC9"/>
    <w:rsid w:val="01647138"/>
    <w:rsid w:val="016941A0"/>
    <w:rsid w:val="019430D4"/>
    <w:rsid w:val="03A167AB"/>
    <w:rsid w:val="043B2EAD"/>
    <w:rsid w:val="052928ED"/>
    <w:rsid w:val="05CD061E"/>
    <w:rsid w:val="07A04328"/>
    <w:rsid w:val="09BA0A50"/>
    <w:rsid w:val="0CD90F88"/>
    <w:rsid w:val="0CDE7A67"/>
    <w:rsid w:val="0CED1904"/>
    <w:rsid w:val="0E2C0F67"/>
    <w:rsid w:val="0F726D62"/>
    <w:rsid w:val="1083680B"/>
    <w:rsid w:val="11894919"/>
    <w:rsid w:val="122C2101"/>
    <w:rsid w:val="12473866"/>
    <w:rsid w:val="1351449B"/>
    <w:rsid w:val="138C2E16"/>
    <w:rsid w:val="17034184"/>
    <w:rsid w:val="182E1B9F"/>
    <w:rsid w:val="19F45A67"/>
    <w:rsid w:val="1CA73D07"/>
    <w:rsid w:val="1E3542A9"/>
    <w:rsid w:val="20F37C9C"/>
    <w:rsid w:val="21635C00"/>
    <w:rsid w:val="2312297D"/>
    <w:rsid w:val="231B319B"/>
    <w:rsid w:val="24A1162B"/>
    <w:rsid w:val="25B92378"/>
    <w:rsid w:val="27B5F5BB"/>
    <w:rsid w:val="2FC92A49"/>
    <w:rsid w:val="2FFD75CD"/>
    <w:rsid w:val="32794A1C"/>
    <w:rsid w:val="32A51B86"/>
    <w:rsid w:val="32EC4583"/>
    <w:rsid w:val="338F274A"/>
    <w:rsid w:val="34C21DA4"/>
    <w:rsid w:val="35FFD36E"/>
    <w:rsid w:val="37FEE4F5"/>
    <w:rsid w:val="3AEE06D4"/>
    <w:rsid w:val="3BB47C7C"/>
    <w:rsid w:val="3BC44428"/>
    <w:rsid w:val="3C734681"/>
    <w:rsid w:val="3CEF4B2F"/>
    <w:rsid w:val="3D0E630E"/>
    <w:rsid w:val="3DE87C02"/>
    <w:rsid w:val="3FB43976"/>
    <w:rsid w:val="3FDFDFD8"/>
    <w:rsid w:val="44FF7003"/>
    <w:rsid w:val="46CD7A34"/>
    <w:rsid w:val="47A878A3"/>
    <w:rsid w:val="4A246FC0"/>
    <w:rsid w:val="4A3D3E09"/>
    <w:rsid w:val="4CF338F1"/>
    <w:rsid w:val="4D7C5695"/>
    <w:rsid w:val="4ECA5D66"/>
    <w:rsid w:val="4F1A5476"/>
    <w:rsid w:val="4FFD4C3E"/>
    <w:rsid w:val="501A5ADD"/>
    <w:rsid w:val="508067FB"/>
    <w:rsid w:val="50892358"/>
    <w:rsid w:val="50A43895"/>
    <w:rsid w:val="52DD6CAC"/>
    <w:rsid w:val="56A40CE5"/>
    <w:rsid w:val="56DE2413"/>
    <w:rsid w:val="57C86C54"/>
    <w:rsid w:val="57D6007B"/>
    <w:rsid w:val="5A4A08C9"/>
    <w:rsid w:val="5AEB74E4"/>
    <w:rsid w:val="5C627366"/>
    <w:rsid w:val="5CE67A24"/>
    <w:rsid w:val="5CFF36B3"/>
    <w:rsid w:val="5D517384"/>
    <w:rsid w:val="613320B7"/>
    <w:rsid w:val="658169F1"/>
    <w:rsid w:val="65F01E83"/>
    <w:rsid w:val="68E464EF"/>
    <w:rsid w:val="6931512E"/>
    <w:rsid w:val="69557DDE"/>
    <w:rsid w:val="69726A9D"/>
    <w:rsid w:val="6D6A3862"/>
    <w:rsid w:val="6EA83A3B"/>
    <w:rsid w:val="6FFF0E0D"/>
    <w:rsid w:val="700C6F8E"/>
    <w:rsid w:val="75864A53"/>
    <w:rsid w:val="77986A02"/>
    <w:rsid w:val="78C435E7"/>
    <w:rsid w:val="79145F40"/>
    <w:rsid w:val="7A0914F0"/>
    <w:rsid w:val="7B065502"/>
    <w:rsid w:val="7B4C229B"/>
    <w:rsid w:val="7D284F5A"/>
    <w:rsid w:val="7DAC4138"/>
    <w:rsid w:val="7E76499E"/>
    <w:rsid w:val="7E7FB37B"/>
    <w:rsid w:val="7F2C0C33"/>
    <w:rsid w:val="91FDC2AE"/>
    <w:rsid w:val="B0F7E16C"/>
    <w:rsid w:val="B5F4E71C"/>
    <w:rsid w:val="DFEFF3B5"/>
    <w:rsid w:val="EDFF9892"/>
    <w:rsid w:val="FD01BC44"/>
    <w:rsid w:val="FE7FC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35"/>
    <w:autoRedefine/>
    <w:qFormat/>
    <w:uiPriority w:val="0"/>
  </w:style>
  <w:style w:type="paragraph" w:styleId="4">
    <w:name w:val="Body Text"/>
    <w:basedOn w:val="1"/>
    <w:link w:val="33"/>
    <w:autoRedefine/>
    <w:qFormat/>
    <w:uiPriority w:val="0"/>
    <w:pPr>
      <w:spacing w:after="120"/>
    </w:pPr>
  </w:style>
  <w:style w:type="paragraph" w:styleId="5">
    <w:name w:val="footer"/>
    <w:basedOn w:val="1"/>
    <w:link w:val="31"/>
    <w:autoRedefine/>
    <w:qFormat/>
    <w:uiPriority w:val="0"/>
    <w:pPr>
      <w:tabs>
        <w:tab w:val="center" w:pos="4153"/>
        <w:tab w:val="right" w:pos="8306"/>
      </w:tabs>
      <w:snapToGrid w:val="0"/>
    </w:pPr>
    <w:rPr>
      <w:sz w:val="18"/>
      <w:szCs w:val="18"/>
    </w:rPr>
  </w:style>
  <w:style w:type="paragraph" w:styleId="6">
    <w:name w:val="header"/>
    <w:basedOn w:val="1"/>
    <w:link w:val="30"/>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36"/>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Heading #1|1_"/>
    <w:basedOn w:val="10"/>
    <w:link w:val="13"/>
    <w:qFormat/>
    <w:uiPriority w:val="0"/>
    <w:rPr>
      <w:rFonts w:ascii="宋体" w:hAnsi="宋体" w:eastAsia="宋体" w:cs="宋体"/>
      <w:sz w:val="40"/>
      <w:szCs w:val="40"/>
      <w:u w:val="none"/>
      <w:shd w:val="clear" w:color="auto" w:fill="auto"/>
      <w:lang w:val="zh-TW" w:eastAsia="zh-TW" w:bidi="zh-TW"/>
    </w:rPr>
  </w:style>
  <w:style w:type="paragraph" w:customStyle="1" w:styleId="13">
    <w:name w:val="Heading #1|1"/>
    <w:basedOn w:val="1"/>
    <w:link w:val="12"/>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4">
    <w:name w:val="Body text|1_"/>
    <w:basedOn w:val="10"/>
    <w:link w:val="15"/>
    <w:qFormat/>
    <w:uiPriority w:val="0"/>
    <w:rPr>
      <w:rFonts w:ascii="宋体" w:hAnsi="宋体" w:eastAsia="宋体" w:cs="宋体"/>
      <w:sz w:val="28"/>
      <w:szCs w:val="28"/>
      <w:u w:val="none"/>
      <w:shd w:val="clear" w:color="auto" w:fill="auto"/>
      <w:lang w:val="zh-TW" w:eastAsia="zh-TW" w:bidi="zh-TW"/>
    </w:rPr>
  </w:style>
  <w:style w:type="paragraph" w:customStyle="1" w:styleId="15">
    <w:name w:val="Body text|1"/>
    <w:basedOn w:val="1"/>
    <w:link w:val="14"/>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6">
    <w:name w:val="Header or footer|2_"/>
    <w:basedOn w:val="10"/>
    <w:link w:val="17"/>
    <w:qFormat/>
    <w:uiPriority w:val="0"/>
    <w:rPr>
      <w:sz w:val="20"/>
      <w:szCs w:val="20"/>
      <w:u w:val="none"/>
      <w:shd w:val="clear" w:color="auto" w:fill="auto"/>
      <w:lang w:val="zh-TW" w:eastAsia="zh-TW" w:bidi="zh-TW"/>
    </w:rPr>
  </w:style>
  <w:style w:type="paragraph" w:customStyle="1" w:styleId="17">
    <w:name w:val="Header or footer|2"/>
    <w:basedOn w:val="1"/>
    <w:link w:val="16"/>
    <w:qFormat/>
    <w:uiPriority w:val="0"/>
    <w:rPr>
      <w:sz w:val="20"/>
      <w:szCs w:val="20"/>
      <w:lang w:val="zh-TW" w:eastAsia="zh-TW" w:bidi="zh-TW"/>
    </w:rPr>
  </w:style>
  <w:style w:type="character" w:customStyle="1" w:styleId="18">
    <w:name w:val="Header or footer|1_"/>
    <w:basedOn w:val="10"/>
    <w:link w:val="19"/>
    <w:qFormat/>
    <w:uiPriority w:val="0"/>
    <w:rPr>
      <w:rFonts w:ascii="宋体" w:hAnsi="宋体" w:eastAsia="宋体" w:cs="宋体"/>
      <w:sz w:val="26"/>
      <w:szCs w:val="26"/>
      <w:u w:val="none"/>
      <w:shd w:val="clear" w:color="auto" w:fill="auto"/>
      <w:lang w:val="zh-TW" w:eastAsia="zh-TW" w:bidi="zh-TW"/>
    </w:rPr>
  </w:style>
  <w:style w:type="paragraph" w:customStyle="1" w:styleId="19">
    <w:name w:val="Header or footer|1"/>
    <w:basedOn w:val="1"/>
    <w:link w:val="18"/>
    <w:autoRedefine/>
    <w:qFormat/>
    <w:uiPriority w:val="0"/>
    <w:rPr>
      <w:rFonts w:ascii="宋体" w:hAnsi="宋体" w:eastAsia="宋体" w:cs="宋体"/>
      <w:sz w:val="26"/>
      <w:szCs w:val="26"/>
      <w:lang w:val="zh-TW" w:eastAsia="zh-TW" w:bidi="zh-TW"/>
    </w:rPr>
  </w:style>
  <w:style w:type="character" w:customStyle="1" w:styleId="20">
    <w:name w:val="Body text|2_"/>
    <w:basedOn w:val="10"/>
    <w:link w:val="21"/>
    <w:qFormat/>
    <w:uiPriority w:val="0"/>
    <w:rPr>
      <w:rFonts w:ascii="宋体" w:hAnsi="宋体" w:eastAsia="宋体" w:cs="宋体"/>
      <w:sz w:val="22"/>
      <w:szCs w:val="22"/>
      <w:u w:val="none"/>
      <w:shd w:val="clear" w:color="auto" w:fill="auto"/>
      <w:lang w:val="zh-TW" w:eastAsia="zh-TW" w:bidi="zh-TW"/>
    </w:rPr>
  </w:style>
  <w:style w:type="paragraph" w:customStyle="1" w:styleId="21">
    <w:name w:val="Body text|2"/>
    <w:basedOn w:val="1"/>
    <w:link w:val="20"/>
    <w:qFormat/>
    <w:uiPriority w:val="0"/>
    <w:pPr>
      <w:spacing w:after="240"/>
    </w:pPr>
    <w:rPr>
      <w:rFonts w:ascii="宋体" w:hAnsi="宋体" w:eastAsia="宋体" w:cs="宋体"/>
      <w:sz w:val="22"/>
      <w:szCs w:val="22"/>
      <w:lang w:val="zh-TW" w:eastAsia="zh-TW" w:bidi="zh-TW"/>
    </w:rPr>
  </w:style>
  <w:style w:type="character" w:customStyle="1" w:styleId="22">
    <w:name w:val="Other|1_"/>
    <w:basedOn w:val="10"/>
    <w:link w:val="23"/>
    <w:qFormat/>
    <w:uiPriority w:val="0"/>
    <w:rPr>
      <w:rFonts w:ascii="宋体" w:hAnsi="宋体" w:eastAsia="宋体" w:cs="宋体"/>
      <w:sz w:val="28"/>
      <w:szCs w:val="28"/>
      <w:u w:val="none"/>
      <w:shd w:val="clear" w:color="auto" w:fill="auto"/>
      <w:lang w:val="zh-TW" w:eastAsia="zh-TW" w:bidi="zh-TW"/>
    </w:rPr>
  </w:style>
  <w:style w:type="paragraph" w:customStyle="1" w:styleId="23">
    <w:name w:val="Other|1"/>
    <w:basedOn w:val="1"/>
    <w:link w:val="2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4">
    <w:name w:val="Other|2_"/>
    <w:basedOn w:val="10"/>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Other|2"/>
    <w:basedOn w:val="1"/>
    <w:link w:val="24"/>
    <w:qFormat/>
    <w:uiPriority w:val="0"/>
    <w:pPr>
      <w:spacing w:line="177" w:lineRule="exact"/>
      <w:jc w:val="center"/>
    </w:pPr>
    <w:rPr>
      <w:rFonts w:ascii="宋体" w:hAnsi="宋体" w:eastAsia="宋体" w:cs="宋体"/>
      <w:sz w:val="15"/>
      <w:szCs w:val="15"/>
      <w:lang w:val="zh-TW" w:eastAsia="zh-TW" w:bidi="zh-TW"/>
    </w:rPr>
  </w:style>
  <w:style w:type="character" w:customStyle="1" w:styleId="26">
    <w:name w:val="Body text|3_"/>
    <w:basedOn w:val="10"/>
    <w:link w:val="27"/>
    <w:qFormat/>
    <w:uiPriority w:val="0"/>
    <w:rPr>
      <w:rFonts w:ascii="宋体" w:hAnsi="宋体" w:eastAsia="宋体" w:cs="宋体"/>
      <w:sz w:val="15"/>
      <w:szCs w:val="15"/>
      <w:u w:val="none"/>
      <w:shd w:val="clear" w:color="auto" w:fill="auto"/>
      <w:lang w:val="zh-TW" w:eastAsia="zh-TW" w:bidi="zh-TW"/>
    </w:rPr>
  </w:style>
  <w:style w:type="paragraph" w:customStyle="1" w:styleId="27">
    <w:name w:val="Body text|3"/>
    <w:basedOn w:val="1"/>
    <w:link w:val="26"/>
    <w:qFormat/>
    <w:uiPriority w:val="0"/>
    <w:rPr>
      <w:rFonts w:ascii="宋体" w:hAnsi="宋体" w:eastAsia="宋体" w:cs="宋体"/>
      <w:sz w:val="15"/>
      <w:szCs w:val="15"/>
      <w:lang w:val="zh-TW" w:eastAsia="zh-TW" w:bidi="zh-TW"/>
    </w:rPr>
  </w:style>
  <w:style w:type="character" w:customStyle="1" w:styleId="28">
    <w:name w:val="Picture caption|1_"/>
    <w:basedOn w:val="10"/>
    <w:link w:val="29"/>
    <w:qFormat/>
    <w:uiPriority w:val="0"/>
    <w:rPr>
      <w:rFonts w:ascii="宋体" w:hAnsi="宋体" w:eastAsia="宋体" w:cs="宋体"/>
      <w:sz w:val="20"/>
      <w:szCs w:val="20"/>
      <w:u w:val="none"/>
      <w:shd w:val="clear" w:color="auto" w:fill="auto"/>
      <w:lang w:val="zh-TW" w:eastAsia="zh-TW" w:bidi="zh-TW"/>
    </w:rPr>
  </w:style>
  <w:style w:type="paragraph" w:customStyle="1" w:styleId="29">
    <w:name w:val="Picture caption|1"/>
    <w:basedOn w:val="1"/>
    <w:link w:val="28"/>
    <w:qFormat/>
    <w:uiPriority w:val="0"/>
    <w:pPr>
      <w:jc w:val="center"/>
    </w:pPr>
    <w:rPr>
      <w:rFonts w:ascii="宋体" w:hAnsi="宋体" w:eastAsia="宋体" w:cs="宋体"/>
      <w:sz w:val="20"/>
      <w:szCs w:val="20"/>
      <w:lang w:val="zh-TW" w:eastAsia="zh-TW" w:bidi="zh-TW"/>
    </w:rPr>
  </w:style>
  <w:style w:type="character" w:customStyle="1" w:styleId="30">
    <w:name w:val="页眉 字符"/>
    <w:basedOn w:val="10"/>
    <w:link w:val="6"/>
    <w:qFormat/>
    <w:uiPriority w:val="0"/>
    <w:rPr>
      <w:rFonts w:eastAsia="Times New Roman"/>
      <w:color w:val="000000"/>
      <w:sz w:val="18"/>
      <w:szCs w:val="18"/>
      <w:lang w:eastAsia="en-US" w:bidi="en-US"/>
    </w:rPr>
  </w:style>
  <w:style w:type="character" w:customStyle="1" w:styleId="31">
    <w:name w:val="页脚 字符"/>
    <w:basedOn w:val="10"/>
    <w:link w:val="5"/>
    <w:qFormat/>
    <w:uiPriority w:val="0"/>
    <w:rPr>
      <w:rFonts w:eastAsia="Times New Roman"/>
      <w:color w:val="000000"/>
      <w:sz w:val="18"/>
      <w:szCs w:val="18"/>
      <w:lang w:eastAsia="en-US" w:bidi="en-US"/>
    </w:rPr>
  </w:style>
  <w:style w:type="paragraph" w:customStyle="1" w:styleId="32">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3">
    <w:name w:val="正文文本 字符"/>
    <w:basedOn w:val="10"/>
    <w:link w:val="4"/>
    <w:qFormat/>
    <w:uiPriority w:val="0"/>
    <w:rPr>
      <w:rFonts w:eastAsia="Times New Roman"/>
      <w:color w:val="000000"/>
      <w:sz w:val="24"/>
      <w:szCs w:val="24"/>
      <w:lang w:eastAsia="en-US" w:bidi="en-US"/>
    </w:rPr>
  </w:style>
  <w:style w:type="character" w:customStyle="1" w:styleId="34">
    <w:name w:val="font11"/>
    <w:qFormat/>
    <w:uiPriority w:val="0"/>
    <w:rPr>
      <w:rFonts w:hint="eastAsia" w:ascii="宋体" w:hAnsi="宋体" w:eastAsia="宋体" w:cs="宋体"/>
      <w:color w:val="000000"/>
      <w:sz w:val="20"/>
      <w:szCs w:val="20"/>
      <w:u w:val="none"/>
    </w:rPr>
  </w:style>
  <w:style w:type="character" w:customStyle="1" w:styleId="35">
    <w:name w:val="批注文字 字符"/>
    <w:basedOn w:val="10"/>
    <w:link w:val="3"/>
    <w:qFormat/>
    <w:uiPriority w:val="0"/>
    <w:rPr>
      <w:rFonts w:eastAsia="Times New Roman"/>
      <w:color w:val="000000"/>
      <w:sz w:val="24"/>
      <w:szCs w:val="24"/>
      <w:lang w:eastAsia="en-US" w:bidi="en-US"/>
    </w:rPr>
  </w:style>
  <w:style w:type="character" w:customStyle="1" w:styleId="36">
    <w:name w:val="批注主题 字符"/>
    <w:basedOn w:val="35"/>
    <w:link w:val="7"/>
    <w:qFormat/>
    <w:uiPriority w:val="0"/>
    <w:rPr>
      <w:rFonts w:eastAsia="Times New Roman"/>
      <w:b/>
      <w:bCs/>
      <w:color w:val="000000"/>
      <w:sz w:val="24"/>
      <w:szCs w:val="24"/>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91d5bb19-842a-4ce6-833f-116d83c4ea27</errorID>
      <errorWord>网</errorWord>
      <group>L1_Word</group>
      <groupName>字词问题</groupName>
      <ability>L2_Typo</ability>
      <abilityName>字词错误</abilityName>
      <candidateList>
        <item>网络</item>
      </candidateList>
      <explain>〈名〉❶网状的东西。❷指由许多互相交错的分支组成的系统：这个新兴城市已经形成合理的经济～。❸由若干元件、器件或设施等组成的具有一定功能的系统：计算机～｜通信～。</explain>
      <paraID>44CCB587</paraID>
      <start>25</start>
      <end>27</end>
      <status>modified</status>
      <modifiedWord>网络</modifiedWord>
      <trackRevisions>false</trackRevisions>
    </reviewItem>
    <reviewItem>
      <errorID>306fe20d-22b9-4abf-aa4f-bb76993b5e2a</errorID>
      <errorWord>提出到</errorWord>
      <group>L1_Word</group>
      <groupName>字词问题</groupName>
      <ability>L2_Typo</ability>
      <abilityName>字词错误</abilityName>
      <candidateList>
        <item>提出</item>
      </candidateList>
      <explain/>
      <paraID>5CF62541</paraID>
      <start>29</start>
      <end>31</end>
      <status>modified</status>
      <modifiedWord>提出</modifiedWord>
      <trackRevisions>false</trackRevisions>
    </reviewItem>
    <reviewItem>
      <errorID>4dfe188e-eb27-4db1-a0df-5d6ad59322be</errorID>
      <errorWord>)</errorWord>
      <group>L1_Format</group>
      <groupName>格式问题</groupName>
      <ability>L2_HalfPunc</ability>
      <abilityName>全半角检查</abilityName>
      <candidateList>
        <item>）</item>
      </candidateList>
      <explain>文本全半角错误。</explain>
      <paraID>5CF62541</paraID>
      <start>71</start>
      <end>72</end>
      <status>modified</status>
      <modifiedWord>）</modifiedWord>
      <trackRevisions>false</trackRevisions>
    </reviewItem>
    <reviewItem>
      <errorID>8f9f6500-48e1-4cdd-b66c-1482469cde45</errorID>
      <errorWord>服务了</errorWord>
      <group>L1_Word</group>
      <groupName>字词问题</groupName>
      <ability>L2_Typo</ability>
      <abilityName>字词错误</abilityName>
      <candidateList>
        <item>服务</item>
      </candidateList>
      <explain>〈动〉为集体（或别人的）利益或为某种事业而工作：～行业｜为人民～｜科学为生产～｜他在邮局～了三十年。</explain>
      <paraID>5CF62541</paraID>
      <start>284</start>
      <end>287</end>
      <status>ignored</status>
      <modifiedWord/>
      <trackRevisions>false</trackRevisions>
    </reviewItem>
    <reviewItem>
      <errorID>15a940c7-7eaa-4009-901a-c325ced4de96</errorID>
      <errorWord>能</errorWord>
      <group>L1_Word</group>
      <groupName>字词问题</groupName>
      <ability>L2_Typo</ability>
      <abilityName>字词错误</abilityName>
      <candidateList>
        <item>能力</item>
      </candidateList>
      <explain>〈名〉能胜任某项任务的主观条件：～强｜他经验丰富，有～担当这项工作。</explain>
      <paraID>4858A9AF</paraID>
      <start>55</start>
      <end>57</end>
      <status>modified</status>
      <modifiedWord>能力</modifiedWord>
      <trackRevisions>false</trackRevisions>
    </reviewItem>
    <reviewItem>
      <errorID>2764cbf9-8beb-4855-abd3-b16b6ad22218</errorID>
      <errorWord>政政策</errorWord>
      <group>L1_Word</group>
      <groupName>字词问题</groupName>
      <ability>L2_Typo</ability>
      <abilityName>字词错误</abilityName>
      <candidateList>
        <item>政策</item>
      </candidateList>
      <explain/>
      <paraID>49067A1E</paraID>
      <start>29</start>
      <end>31</end>
      <status>modified</status>
      <modifiedWord>政策</modifiedWord>
      <trackRevisions>false</trackRevisions>
    </reviewItem>
    <reviewItem>
      <errorID>3a14410e-e527-472e-892b-de86c885f8d5</errorID>
      <errorWord>政</errorWord>
      <group>L1_Word</group>
      <groupName>字词问题</groupName>
      <ability>L2_Typo</ability>
      <abilityName>字词错误</abilityName>
      <candidateList>
        <item>政策</item>
      </candidateList>
      <explain/>
      <paraID>49067A1E</paraID>
      <start>56</start>
      <end>58</end>
      <status>modified</status>
      <modifiedWord>政策</modifiedWord>
      <trackRevisions>false</trackRevisions>
    </reviewItem>
    <reviewItem>
      <errorID>18efbabe-e0e0-42d4-9490-2cc58598d245</errorID>
      <errorWord>容</errorWord>
      <group>L1_Word</group>
      <groupName>字词问题</groupName>
      <ability>L2_Typo</ability>
      <abilityName>字词错误</abilityName>
      <candidateList>
        <item>容为</item>
      </candidateList>
      <explain/>
      <paraID>69996245</paraID>
      <start>125</start>
      <end>127</end>
      <status>modified</status>
      <modifiedWord>容为</modifiedWord>
      <trackRevisions>false</trackRevisions>
    </reviewItem>
    <reviewItem>
      <errorID>01f27970-ce4a-4b29-a205-1083e57a7940</errorID>
      <errorWord>-</errorWord>
      <group>L1_Format</group>
      <groupName>格式问题</groupName>
      <ability>L2_HalfPunc</ability>
      <abilityName>全半角检查</abilityName>
      <candidateList>
        <item>－</item>
      </candidateList>
      <explain>文本全半角错误。</explain>
      <paraID>69996245</paraID>
      <start>156</start>
      <end>157</end>
      <status>modified</status>
      <modifiedWord>－</modifiedWord>
      <trackRevisions>false</trackRevisions>
    </reviewItem>
    <reviewItem>
      <errorID>ec210a70-bcee-4a65-a04c-f5c4d86891ee</errorID>
      <errorWord>目</errorWord>
      <group>L1_Word</group>
      <groupName>字词问题</groupName>
      <ability>L2_Typo</ability>
      <abilityName>字词错误</abilityName>
      <candidateList>
        <item>目在</item>
      </candidateList>
      <explain/>
      <paraID>1D0574EE</paraID>
      <start>42</start>
      <end>44</end>
      <status>modified</status>
      <modifiedWord>目在</modifiedWord>
      <trackRevisions>false</trackRevisions>
    </reviewItem>
    <reviewItem>
      <errorID>edaf29e3-c7a9-4a1b-9b31-323b0939ad26</errorID>
      <errorWord>对有</errorWord>
      <group>L1_Word</group>
      <groupName>字词问题</groupName>
      <ability>L2_Typo</ability>
      <abilityName>字词错误</abilityName>
      <candidateList>
        <item>对于</item>
      </candidateList>
      <explain>存在发音相近字词的误用。</explain>
      <paraID>4221DACE</paraID>
      <start>136</start>
      <end>138</end>
      <status>modified</status>
      <modifiedWord>对于</modifiedWord>
      <trackRevisions>false</trackRevisions>
    </reviewItem>
    <reviewItem>
      <errorID>420dea0a-4a28-47f7-8a00-693c9a49c3a3</errorID>
      <errorWord>各项的</errorWord>
      <group>L1_Word</group>
      <groupName>字词问题</groupName>
      <ability>L2_Typo</ability>
      <abilityName>字词错误</abilityName>
      <candidateList>
        <item>各项</item>
      </candidateList>
      <explain/>
      <paraID>59499631</paraID>
      <start>60</start>
      <end>62</end>
      <status>modified</status>
      <modifiedWord>各项</modifiedWord>
      <trackRevisions>false</trackRevisions>
    </reviewItem>
    <reviewItem>
      <errorID>26c030b4-30b8-4d52-b189-d334c08e5dd1</errorID>
      <errorWord>调适</errorWord>
      <group>L1_Word</group>
      <groupName>字词问题</groupName>
      <ability>L2_Typo</ability>
      <abilityName>字词错误</abilityName>
      <candidateList>
        <item>调试</item>
      </candidateList>
      <explain>〈动〉试验并调整（机器、仪器等）：机床装好后经过～才能使用。</explain>
      <paraID>1B04F720</paraID>
      <start>12</start>
      <end>14</end>
      <status>ignored</status>
      <modifiedWord/>
      <trackRevisions>false</trackRevisions>
    </reviewItem>
    <reviewItem>
      <errorID>7506a4d0-4f2d-43de-abbd-aad959811257</errorID>
      <errorWord>登陆</errorWord>
      <group>L1_Word</group>
      <groupName>字词问题</groupName>
      <ability>L2_Typo</ability>
      <abilityName>字词错误</abilityName>
      <candidateList>
        <item>登录</item>
      </candidateList>
      <explain>〈动〉❶登记：～在案。❷注册▲。</explain>
      <paraID>1B04F720</paraID>
      <start>68</start>
      <end>70</end>
      <status>modified</status>
      <modifiedWord>登录</modifiedWord>
      <trackRevisions>false</trackRevisions>
    </reviewItem>
    <reviewItem>
      <errorID>a01edb79-5c30-4409-910a-2f42ff9ca9e2</errorID>
      <errorWord>目</errorWord>
      <group>L1_Word</group>
      <groupName>字词问题</groupName>
      <ability>L2_Typo</ability>
      <abilityName>字词错误</abilityName>
      <candidateList>
        <item>目在</item>
      </candidateList>
      <explain/>
      <paraID>4C47F444</paraID>
      <start>42</start>
      <end>44</end>
      <status>modified</status>
      <modifiedWord>目在</modifiedWord>
      <trackRevisions>false</trackRevisions>
    </reviewItem>
    <reviewItem>
      <errorID>4d737dbd-b63b-464e-8293-10e71abab1fc</errorID>
      <errorWord>详实</errorWord>
      <group>L1_Word</group>
      <groupName>字词问题</groupName>
      <ability>L2_Typo</ability>
      <abilityName>字词错误</abilityName>
      <candidateList>
        <item>翔实</item>
      </candidateList>
      <explain/>
      <paraID>49DAC832</paraID>
      <start>35</start>
      <end>37</end>
      <status>ignored</status>
      <modifiedWord/>
      <trackRevisions>false</trackRevisions>
    </reviewItem>
    <reviewItem>
      <errorID>1f1bec53-f945-4274-a8ff-0d1873701f5c</errorID>
      <errorWord>，</errorWord>
      <group>L1_Word</group>
      <groupName>字词问题</groupName>
      <ability>L2_Typo</ability>
      <abilityName>字词错误</abilityName>
      <candidateList>
        <item>，在</item>
      </candidateList>
      <explain/>
      <paraID>3345E6F4</paraID>
      <start>50</start>
      <end>52</end>
      <status>modified</status>
      <modifiedWord>，在</modifiedWord>
      <trackRevisions>false</trackRevisions>
    </reviewItem>
    <reviewItem>
      <errorID>a82734b7-8b6e-4e65-9147-5d384c5e60f4</errorID>
      <errorWord>，</errorWord>
      <group>L1_Word</group>
      <groupName>字词问题</groupName>
      <ability>L2_Typo</ability>
      <abilityName>字词错误</abilityName>
      <candidateList>
        <item>，具</item>
      </candidateList>
      <explain/>
      <paraID>3345E6F4</paraID>
      <start>73</start>
      <end>75</end>
      <status>modified</status>
      <modifiedWord>，具</modifiedWord>
      <trackRevisions>false</trackRevisions>
    </reviewItem>
    <reviewItem>
      <errorID>b3716b7d-dcba-46c6-ba18-0ce976958cb3</errorID>
      <errorWord>准确性的</errorWord>
      <group>L1_Word</group>
      <groupName>字词问题</groupName>
      <ability>L2_Typo</ability>
      <abilityName>字词错误</abilityName>
      <candidateList>
        <item>准确性</item>
      </candidateList>
      <explain/>
      <paraID>6ECAA6B9</paraID>
      <start>10</start>
      <end>13</end>
      <status>modified</status>
      <modifiedWord>准确性</modifiedWord>
      <trackRevisions>false</trackRevisions>
    </reviewItem>
    <reviewItem>
      <errorID>e0786b78-530c-42ff-b6b4-7983e6374970</errorID>
      <errorWord>量</errorWord>
      <group>L1_Word</group>
      <groupName>字词问题</groupName>
      <ability>L2_Typo</ability>
      <abilityName>字词错误</abilityName>
      <candidateList>
        <item>量有</item>
      </candidateList>
      <explain/>
      <paraID>71F2974A</paraID>
      <start>8</start>
      <end>10</end>
      <status>modified</status>
      <modifiedWord>量有</modifiedWord>
      <trackRevisions>false</trackRevisions>
    </reviewItem>
    <reviewItem>
      <errorID>0c784b70-59c4-4386-b459-0c7689c15c33</errorID>
      <errorWord>纳入到</errorWord>
      <group>L1_Word</group>
      <groupName>字词问题</groupName>
      <ability>L2_Typo</ability>
      <abilityName>字词错误</abilityName>
      <candidateList>
        <item>纳入</item>
      </candidateList>
      <explain>〈动〉放进；归入（多用于抽象事物）：～正轨｜～计划。</explain>
      <paraID>71F2974A</paraID>
      <start>233</start>
      <end>235</end>
      <status>modified</status>
      <modifiedWord>纳入</modifiedWord>
      <trackRevisions>false</trackRevisions>
    </reviewItem>
    <reviewItem>
      <errorID>18eed307-9446-4a25-9df9-322aefcbe7bc</errorID>
      <errorWord>目</errorWord>
      <group>L1_Word</group>
      <groupName>字词问题</groupName>
      <ability>L2_Typo</ability>
      <abilityName>字词错误</abilityName>
      <candidateList>
        <item>目在</item>
      </candidateList>
      <explain/>
      <paraID>397F9D8C</paraID>
      <start>42</start>
      <end>44</end>
      <status>modified</status>
      <modifiedWord>目在</modifiedWord>
      <trackRevisions>false</trackRevisions>
    </reviewItem>
    <reviewItem>
      <errorID>3efd0405-b19a-4228-b4a4-7229e3112bb5</errorID>
      <errorWord>)</errorWord>
      <group>L1_Format</group>
      <groupName>格式问题</groupName>
      <ability>L2_HalfPunc</ability>
      <abilityName>全半角检查</abilityName>
      <candidateList>
        <item>）</item>
      </candidateList>
      <explain>文本全半角错误。</explain>
      <paraID>7CB57BCD</paraID>
      <start>2</start>
      <end>3</end>
      <status>modified</status>
      <modifiedWord>）</modifiedWord>
      <trackRevisions>false</trackRevisions>
    </reviewItem>
    <reviewItem>
      <errorID>f9aa0c42-b946-4e25-a0c4-c923f3cf54cf</errorID>
      <errorWord>相应</errorWord>
      <group>L1_Word</group>
      <groupName>字词问题</groupName>
      <ability>L2_Typo</ability>
      <abilityName>字词错误</abilityName>
      <candidateList>
        <item>响应</item>
      </candidateList>
      <explain>〈动〉回声相应，比喻用言语行动表示赞同、支持某种号召或倡议：～号召。</explain>
      <paraID>2EADF410</paraID>
      <start>81</start>
      <end>83</end>
      <status>modified</status>
      <modifiedWord>响应</modifiedWord>
      <trackRevisions>false</trackRevisions>
    </reviewItem>
    <reviewItem>
      <errorID>92c0cb9f-d093-4d31-b3e0-a060ff2fce78</errorID>
      <errorWord>也可</errorWord>
      <group>L1_Word</group>
      <groupName>字词问题</groupName>
      <ability>L2_Typo</ability>
      <abilityName>字词错误</abilityName>
      <candidateList>
        <item>也</item>
      </candidateList>
      <explain>〈副〉❶表示同样：水库可以灌溉、发电，～可以养鱼。❷单用或叠用，强调两事并列或对待：他会英语，～会法语｜游客里面～有坐车的，～有步行的。❸叠用，表示无论这样或那样，结果都相同：你去我～去，你不去我～去｜他左想～不是，右想～不是。❹用在转折或让步的句子里（常跟上文的“虽然、即使”等呼应），隐含结果相同的意思：虽然雨下得很大，他～来了｜即使你不说，我～知道（你说了，我知道；你不说，我也同样知道）。</explain>
      <paraID>25775838</paraID>
      <start>108</start>
      <end>109</end>
      <status>modified</status>
      <modifiedWord>也</modifiedWord>
      <trackRevisions>false</trackRevisions>
    </reviewItem>
    <reviewItem>
      <errorID>92b14647-a3f5-428b-83fa-8ceddbc50cc0</errorID>
      <errorWord>目</errorWord>
      <group>L1_Word</group>
      <groupName>字词问题</groupName>
      <ability>L2_Typo</ability>
      <abilityName>字词错误</abilityName>
      <candidateList>
        <item>目在</item>
      </candidateList>
      <explain/>
      <paraID>5B2C4F2B</paraID>
      <start>42</start>
      <end>44</end>
      <status>modified</status>
      <modifiedWord>目在</modifiedWord>
      <trackRevisions>false</trackRevisions>
    </reviewItem>
    <reviewItem>
      <errorID>a37ffd02-7a59-466c-a328-1f3817fb08d0</errorID>
      <errorWord>拓展</errorWord>
      <group>L1_Grammar</group>
      <groupName>语法问题</groupName>
      <ability>L2_Grammar</ability>
      <abilityName>语法错误</abilityName>
      <candidateList>
        <item>拓宽</item>
      </candidateList>
      <explain>“拓展～视野”搭配不当，建议修改为“拓宽～视野”。</explain>
      <paraID>7AD04F9E</paraID>
      <start>199</start>
      <end>201</end>
      <status>modified</status>
      <modifiedWord>拓宽</modifiedWord>
      <trackRevisions>false</trackRevisions>
    </reviewItem>
    <reviewItem>
      <errorID>644ba5dd-d7bd-4cf6-a06c-bf453e47d9a8</errorID>
      <errorWord>主要以内部产出为主</errorWord>
      <group>L1_Grammar</group>
      <groupName>语法问题</groupName>
      <ability>L2_Grammar</ability>
      <abilityName>语法错误</abilityName>
      <candidateList>
        <item>以内部产出为主</item>
      </candidateList>
      <explain/>
      <paraID>38753BC3</paraID>
      <start>28</start>
      <end>35</end>
      <status>modified</status>
      <modifiedWord>以内部产出为主</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9e2338-dcf6-4b98-97d3-d88da2c2d4ab}">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12527</Words>
  <Characters>12919</Characters>
  <Lines>5</Lines>
  <Paragraphs>26</Paragraphs>
  <TotalTime>5</TotalTime>
  <ScaleCrop>false</ScaleCrop>
  <LinksUpToDate>false</LinksUpToDate>
  <CharactersWithSpaces>12927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2023-08-16T07:15:00Z</dcterms:created>
  <dc:creator>WPS Office</dc:creator>
  <cp:lastModifiedBy>番禺区社联会</cp:lastModifiedBy>
  <dcterms:modified xsi:type="dcterms:W3CDTF">2026-03-24T03:24:57Z</dcterms:modified>
  <dc:title>KM_C364e-20200923144555</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DFFAE22559EB4E28AA8359C7C63412BA_13</vt:lpwstr>
  </property>
  <property fmtid="{D5CDD505-2E9C-101B-9397-08002B2CF9AE}" pid="4" name="KSOTemplateDocerSaveRecord">
    <vt:lpwstr>eyJoZGlkIjoiZDZhZGYwNTVjNmEwZDlmYmM0M2UzYmUxZTMyY2ZhNTgiLCJ1c2VySWQiOiIyOTU1NTMyNTMifQ==</vt:lpwstr>
  </property>
</Properties>
</file>