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DEF19D">
      <w:pPr>
        <w:pStyle w:val="9"/>
        <w:keepNext/>
        <w:keepLines/>
        <w:spacing w:before="0" w:after="0"/>
        <w:jc w:val="left"/>
        <w:rPr>
          <w:rFonts w:ascii="方正小标宋简体" w:eastAsia="PMingLiU"/>
          <w:lang w:val="en-US"/>
        </w:rPr>
      </w:pPr>
      <w:bookmarkStart w:id="0" w:name="bookmark1"/>
      <w:bookmarkStart w:id="1" w:name="bookmark2"/>
      <w:bookmarkStart w:id="2" w:name="bookmark0"/>
    </w:p>
    <w:p w14:paraId="0AA2F361">
      <w:pPr>
        <w:pStyle w:val="9"/>
        <w:keepNext/>
        <w:keepLines/>
        <w:spacing w:before="0" w:after="0" w:line="360" w:lineRule="auto"/>
        <w:rPr>
          <w:rFonts w:ascii="方正小标宋简体" w:eastAsia="PMingLiU"/>
          <w:lang w:val="en-US"/>
        </w:rPr>
      </w:pPr>
    </w:p>
    <w:p w14:paraId="0B5E4E93">
      <w:pPr>
        <w:pStyle w:val="9"/>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石碁镇</w:t>
      </w:r>
      <w:r>
        <w:rPr>
          <w:rFonts w:hint="eastAsia" w:ascii="方正小标宋简体" w:eastAsia="方正小标宋简体"/>
          <w:b/>
          <w:bCs/>
          <w:sz w:val="44"/>
          <w:szCs w:val="44"/>
          <w:lang w:val="en-US"/>
        </w:rPr>
        <w:t>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中</w:t>
      </w:r>
      <w:r>
        <w:rPr>
          <w:rFonts w:hint="eastAsia" w:ascii="方正小标宋简体" w:eastAsia="方正小标宋简体"/>
          <w:b/>
          <w:bCs/>
          <w:sz w:val="44"/>
          <w:szCs w:val="44"/>
        </w:rPr>
        <w:t>期评估报告</w:t>
      </w:r>
      <w:bookmarkEnd w:id="0"/>
      <w:bookmarkEnd w:id="1"/>
      <w:bookmarkEnd w:id="2"/>
    </w:p>
    <w:p w14:paraId="23C6DE29">
      <w:pPr>
        <w:pStyle w:val="9"/>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（协议期：</w:t>
      </w:r>
      <w:r>
        <w:rPr>
          <w:rFonts w:hint="eastAsia" w:ascii="方正小标宋简体" w:eastAsia="方正小标宋简体"/>
          <w:b/>
          <w:bCs/>
          <w:sz w:val="44"/>
          <w:szCs w:val="44"/>
          <w:lang w:val="en-US" w:eastAsia="zh-CN"/>
        </w:rPr>
        <w:t>2025年8月24日至2026年8月23日</w:t>
      </w:r>
      <w:r>
        <w:rPr>
          <w:rFonts w:hint="eastAsia" w:ascii="方正小标宋简体" w:eastAsia="方正小标宋简体"/>
          <w:b/>
          <w:bCs/>
          <w:sz w:val="44"/>
          <w:szCs w:val="44"/>
          <w:lang w:eastAsia="zh-CN"/>
        </w:rPr>
        <w:t>）</w:t>
      </w:r>
    </w:p>
    <w:p w14:paraId="5A51F31A">
      <w:pPr>
        <w:pStyle w:val="11"/>
        <w:spacing w:after="0" w:line="240" w:lineRule="auto"/>
        <w:ind w:firstLine="2448" w:firstLineChars="765"/>
        <w:jc w:val="both"/>
        <w:rPr>
          <w:rFonts w:ascii="仿宋" w:hAnsi="仿宋" w:eastAsia="PMingLiU"/>
          <w:sz w:val="32"/>
          <w:szCs w:val="32"/>
        </w:rPr>
      </w:pPr>
    </w:p>
    <w:p w14:paraId="0C401DC1">
      <w:pPr>
        <w:pStyle w:val="11"/>
        <w:spacing w:after="0" w:line="240" w:lineRule="auto"/>
        <w:ind w:firstLine="2448" w:firstLineChars="765"/>
        <w:jc w:val="both"/>
        <w:rPr>
          <w:rFonts w:ascii="仿宋" w:hAnsi="仿宋" w:eastAsia="PMingLiU"/>
          <w:sz w:val="32"/>
          <w:szCs w:val="32"/>
        </w:rPr>
      </w:pPr>
    </w:p>
    <w:p w14:paraId="1F2C131C">
      <w:pPr>
        <w:pStyle w:val="11"/>
        <w:spacing w:after="0" w:line="240" w:lineRule="auto"/>
        <w:ind w:firstLine="2448" w:firstLineChars="765"/>
        <w:jc w:val="both"/>
        <w:rPr>
          <w:rFonts w:ascii="仿宋" w:hAnsi="仿宋" w:eastAsia="PMingLiU"/>
          <w:sz w:val="32"/>
          <w:szCs w:val="32"/>
        </w:rPr>
      </w:pPr>
    </w:p>
    <w:p w14:paraId="2A0107B8">
      <w:pPr>
        <w:pStyle w:val="11"/>
        <w:spacing w:after="0" w:line="240" w:lineRule="auto"/>
        <w:ind w:firstLine="2448" w:firstLineChars="765"/>
        <w:jc w:val="both"/>
        <w:rPr>
          <w:rFonts w:ascii="仿宋" w:hAnsi="仿宋" w:eastAsia="PMingLiU"/>
          <w:sz w:val="32"/>
          <w:szCs w:val="32"/>
        </w:rPr>
      </w:pPr>
    </w:p>
    <w:p w14:paraId="63D5F3D8">
      <w:pPr>
        <w:pStyle w:val="11"/>
        <w:spacing w:after="0" w:line="240" w:lineRule="auto"/>
        <w:ind w:firstLine="2448" w:firstLineChars="765"/>
        <w:jc w:val="both"/>
        <w:rPr>
          <w:rFonts w:ascii="仿宋" w:hAnsi="仿宋" w:eastAsia="PMingLiU"/>
          <w:sz w:val="32"/>
          <w:szCs w:val="32"/>
        </w:rPr>
      </w:pPr>
    </w:p>
    <w:p w14:paraId="4B8BC922">
      <w:pPr>
        <w:pStyle w:val="11"/>
        <w:spacing w:after="0" w:line="240" w:lineRule="auto"/>
        <w:ind w:firstLine="2448" w:firstLineChars="765"/>
        <w:jc w:val="both"/>
        <w:rPr>
          <w:rFonts w:ascii="仿宋" w:hAnsi="仿宋" w:eastAsia="PMingLiU"/>
          <w:sz w:val="32"/>
          <w:szCs w:val="32"/>
        </w:rPr>
      </w:pPr>
    </w:p>
    <w:p w14:paraId="56085AD4">
      <w:pPr>
        <w:pStyle w:val="11"/>
        <w:spacing w:after="0" w:line="240" w:lineRule="auto"/>
        <w:ind w:firstLine="2448" w:firstLineChars="765"/>
        <w:jc w:val="both"/>
        <w:rPr>
          <w:rFonts w:ascii="仿宋" w:hAnsi="仿宋" w:eastAsia="PMingLiU"/>
          <w:sz w:val="32"/>
          <w:szCs w:val="32"/>
        </w:rPr>
      </w:pPr>
    </w:p>
    <w:p w14:paraId="6DD8B03A">
      <w:pPr>
        <w:pStyle w:val="11"/>
        <w:spacing w:after="0" w:line="240" w:lineRule="auto"/>
        <w:ind w:firstLine="2448" w:firstLineChars="765"/>
        <w:jc w:val="both"/>
        <w:rPr>
          <w:rFonts w:ascii="仿宋" w:hAnsi="仿宋" w:eastAsia="PMingLiU"/>
          <w:sz w:val="32"/>
          <w:szCs w:val="32"/>
        </w:rPr>
      </w:pPr>
    </w:p>
    <w:p w14:paraId="794BD082">
      <w:pPr>
        <w:pStyle w:val="11"/>
        <w:spacing w:after="0" w:line="240" w:lineRule="auto"/>
        <w:ind w:firstLine="2448" w:firstLineChars="765"/>
        <w:jc w:val="both"/>
        <w:rPr>
          <w:rFonts w:ascii="仿宋" w:hAnsi="仿宋" w:eastAsia="PMingLiU"/>
          <w:sz w:val="32"/>
          <w:szCs w:val="32"/>
        </w:rPr>
      </w:pPr>
    </w:p>
    <w:p w14:paraId="58370CDF">
      <w:pPr>
        <w:pStyle w:val="11"/>
        <w:spacing w:after="0" w:line="240" w:lineRule="auto"/>
        <w:ind w:firstLine="2448" w:firstLineChars="765"/>
        <w:jc w:val="both"/>
        <w:rPr>
          <w:rFonts w:ascii="仿宋_GB2312" w:hAnsi="仿宋" w:eastAsia="仿宋_GB2312"/>
          <w:sz w:val="32"/>
          <w:szCs w:val="32"/>
        </w:rPr>
      </w:pPr>
    </w:p>
    <w:p w14:paraId="181374FC">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14:paraId="66E32FDD">
      <w:pPr>
        <w:pStyle w:val="11"/>
        <w:spacing w:after="0" w:line="560" w:lineRule="exact"/>
        <w:ind w:firstLine="1687" w:firstLineChars="525"/>
        <w:jc w:val="both"/>
        <w:rPr>
          <w:rFonts w:hint="eastAsia" w:ascii="仿宋_GB2312" w:hAnsi="仿宋" w:eastAsia="仿宋_GB2312"/>
          <w:b/>
          <w:sz w:val="32"/>
          <w:szCs w:val="32"/>
          <w:lang w:eastAsia="zh-CN"/>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石碁镇人民政府</w:t>
      </w:r>
    </w:p>
    <w:p w14:paraId="0DC6AAD9">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项目承办方：广州</w:t>
      </w:r>
      <w:r>
        <w:rPr>
          <w:rFonts w:hint="eastAsia" w:ascii="仿宋_GB2312" w:hAnsi="仿宋" w:eastAsia="仿宋_GB2312"/>
          <w:b/>
          <w:sz w:val="32"/>
          <w:szCs w:val="32"/>
          <w:lang w:val="en-US" w:eastAsia="zh-CN"/>
        </w:rPr>
        <w:t>市阳光天使</w:t>
      </w:r>
      <w:r>
        <w:rPr>
          <w:rFonts w:hint="eastAsia" w:ascii="仿宋_GB2312" w:hAnsi="仿宋" w:eastAsia="仿宋_GB2312"/>
          <w:b/>
          <w:sz w:val="32"/>
          <w:szCs w:val="32"/>
          <w:lang w:val="en-US"/>
        </w:rPr>
        <w:t>社会工作服务</w:t>
      </w:r>
      <w:r>
        <w:rPr>
          <w:rFonts w:hint="eastAsia" w:ascii="仿宋_GB2312" w:hAnsi="仿宋" w:eastAsia="仿宋_GB2312"/>
          <w:b/>
          <w:sz w:val="32"/>
          <w:szCs w:val="32"/>
          <w:lang w:val="en-US" w:eastAsia="zh-CN"/>
        </w:rPr>
        <w:t>中</w:t>
      </w:r>
      <w:r>
        <w:rPr>
          <w:rFonts w:hint="eastAsia" w:ascii="仿宋_GB2312" w:hAnsi="仿宋" w:eastAsia="仿宋_GB2312"/>
          <w:b/>
          <w:sz w:val="32"/>
          <w:szCs w:val="32"/>
          <w:lang w:val="en-US"/>
        </w:rPr>
        <w:t>心</w:t>
      </w:r>
    </w:p>
    <w:p w14:paraId="5615BDBD">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14:paraId="6C5821A9">
      <w:pPr>
        <w:pStyle w:val="11"/>
        <w:spacing w:after="0" w:line="560" w:lineRule="exact"/>
        <w:ind w:firstLine="1687"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3"/>
      <w:bookmarkStart w:id="4" w:name="bookmark5"/>
      <w:bookmarkStart w:id="5" w:name="bookmark4"/>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6</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2</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11</w:t>
      </w:r>
      <w:r>
        <w:rPr>
          <w:rFonts w:hint="eastAsia" w:ascii="仿宋_GB2312" w:hAnsi="仿宋" w:eastAsia="仿宋_GB2312" w:cs="Times New Roman"/>
          <w:b/>
          <w:sz w:val="32"/>
          <w:szCs w:val="32"/>
          <w:lang w:eastAsia="zh-CN"/>
        </w:rPr>
        <w:t>日</w:t>
      </w:r>
    </w:p>
    <w:p w14:paraId="4BA5CA09">
      <w:pPr>
        <w:pStyle w:val="11"/>
        <w:spacing w:after="0" w:line="240" w:lineRule="auto"/>
        <w:ind w:firstLine="0"/>
      </w:pPr>
    </w:p>
    <w:p w14:paraId="70C943DA">
      <w:pPr>
        <w:pStyle w:val="11"/>
        <w:spacing w:after="0" w:line="240" w:lineRule="auto"/>
        <w:ind w:firstLine="0"/>
      </w:pPr>
    </w:p>
    <w:p w14:paraId="1A1AF5A4">
      <w:pPr>
        <w:pStyle w:val="11"/>
        <w:spacing w:after="0" w:line="240" w:lineRule="auto"/>
        <w:ind w:firstLine="0"/>
      </w:pPr>
    </w:p>
    <w:p w14:paraId="6B7105BF">
      <w:pPr>
        <w:pStyle w:val="11"/>
        <w:spacing w:after="0" w:line="240" w:lineRule="auto"/>
        <w:ind w:firstLine="0"/>
      </w:pPr>
    </w:p>
    <w:p w14:paraId="17C70CD9">
      <w:pPr>
        <w:pStyle w:val="11"/>
        <w:spacing w:after="0" w:line="240" w:lineRule="auto"/>
        <w:ind w:firstLine="0"/>
      </w:pPr>
    </w:p>
    <w:p w14:paraId="08E969AF">
      <w:pPr>
        <w:pStyle w:val="11"/>
        <w:spacing w:after="0" w:line="240" w:lineRule="auto"/>
        <w:ind w:firstLine="0"/>
      </w:pPr>
    </w:p>
    <w:p w14:paraId="558B664E">
      <w:pPr>
        <w:pStyle w:val="11"/>
        <w:spacing w:after="0" w:line="240" w:lineRule="auto"/>
        <w:ind w:firstLine="0"/>
      </w:pPr>
    </w:p>
    <w:p w14:paraId="59A2D162">
      <w:pPr>
        <w:pStyle w:val="11"/>
        <w:spacing w:after="0" w:line="240" w:lineRule="auto"/>
        <w:ind w:firstLine="0"/>
      </w:pPr>
    </w:p>
    <w:p w14:paraId="6A3E7CCE">
      <w:pPr>
        <w:pStyle w:val="11"/>
        <w:spacing w:after="0" w:line="240" w:lineRule="auto"/>
        <w:ind w:firstLine="0"/>
      </w:pPr>
    </w:p>
    <w:p w14:paraId="73BC0A30">
      <w:pPr>
        <w:pStyle w:val="11"/>
        <w:spacing w:after="0" w:line="240" w:lineRule="auto"/>
        <w:ind w:firstLine="0"/>
        <w:rPr>
          <w:rFonts w:eastAsia="PMingLiU"/>
        </w:rPr>
        <w:sectPr>
          <w:pgSz w:w="11900" w:h="16840"/>
          <w:pgMar w:top="1301" w:right="876" w:bottom="1373" w:left="885" w:header="457" w:footer="448" w:gutter="0"/>
          <w:cols w:space="720" w:num="1"/>
          <w:docGrid w:linePitch="360" w:charSpace="0"/>
        </w:sectPr>
      </w:pPr>
    </w:p>
    <w:p w14:paraId="088A4A5E">
      <w:pPr>
        <w:pStyle w:val="11"/>
        <w:spacing w:after="0" w:line="240" w:lineRule="auto"/>
        <w:ind w:firstLine="0"/>
        <w:rPr>
          <w:rFonts w:eastAsia="PMingLiU"/>
        </w:rPr>
      </w:pPr>
    </w:p>
    <w:p w14:paraId="6DEE9FA7">
      <w:pPr>
        <w:pStyle w:val="9"/>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石碁镇</w:t>
      </w:r>
      <w:r>
        <w:rPr>
          <w:rFonts w:ascii="方正小标宋简体" w:eastAsia="方正小标宋简体"/>
          <w:b/>
          <w:bCs/>
          <w:lang w:val="en-US"/>
        </w:rPr>
        <w:t>社工服务站</w:t>
      </w:r>
      <w:r>
        <w:rPr>
          <w:rFonts w:hint="eastAsia" w:ascii="方正小标宋简体" w:eastAsia="方正小标宋简体"/>
          <w:b/>
          <w:bCs/>
          <w:lang w:val="en-US" w:eastAsia="zh-CN"/>
        </w:rPr>
        <w:t>中</w:t>
      </w:r>
      <w:r>
        <w:rPr>
          <w:rFonts w:ascii="方正小标宋简体" w:eastAsia="方正小标宋简体"/>
          <w:b/>
          <w:bCs/>
          <w:lang w:val="en-US"/>
        </w:rPr>
        <w:t>期评估报告</w:t>
      </w:r>
      <w:bookmarkEnd w:id="3"/>
      <w:bookmarkEnd w:id="4"/>
      <w:bookmarkEnd w:id="5"/>
    </w:p>
    <w:p w14:paraId="4DBC774C">
      <w:pPr>
        <w:pStyle w:val="9"/>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（协议期：</w:t>
      </w:r>
      <w:r>
        <w:rPr>
          <w:rFonts w:hint="eastAsia" w:ascii="方正小标宋简体" w:eastAsia="方正小标宋简体"/>
          <w:b/>
          <w:bCs/>
          <w:sz w:val="44"/>
          <w:szCs w:val="44"/>
          <w:lang w:val="en-US" w:eastAsia="zh-CN"/>
        </w:rPr>
        <w:t>2025年8月24日—2026年8月23日</w:t>
      </w:r>
      <w:r>
        <w:rPr>
          <w:rFonts w:hint="eastAsia" w:ascii="方正小标宋简体" w:eastAsia="方正小标宋简体"/>
          <w:b/>
          <w:bCs/>
          <w:sz w:val="44"/>
          <w:szCs w:val="44"/>
          <w:lang w:eastAsia="zh-CN"/>
        </w:rPr>
        <w:t>）</w:t>
      </w:r>
    </w:p>
    <w:p w14:paraId="6F63A507">
      <w:pPr>
        <w:pStyle w:val="9"/>
        <w:keepNext/>
        <w:keepLines/>
        <w:spacing w:before="0" w:after="0" w:line="560" w:lineRule="exact"/>
        <w:jc w:val="both"/>
        <w:rPr>
          <w:rFonts w:ascii="方正小标宋简体" w:eastAsia="方正小标宋简体"/>
          <w:lang w:val="en-US"/>
        </w:rPr>
      </w:pPr>
    </w:p>
    <w:p w14:paraId="7ACD9F85">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石碁镇</w:t>
      </w:r>
      <w:r>
        <w:rPr>
          <w:rFonts w:hint="eastAsia" w:ascii="仿宋_GB2312" w:eastAsia="仿宋_GB2312"/>
          <w:sz w:val="32"/>
          <w:szCs w:val="32"/>
        </w:rPr>
        <w:t>社工服务站（简称</w:t>
      </w:r>
      <w:r>
        <w:rPr>
          <w:rFonts w:hint="eastAsia" w:ascii="仿宋_GB2312" w:eastAsia="仿宋_GB2312"/>
          <w:sz w:val="32"/>
          <w:szCs w:val="32"/>
          <w:lang w:val="en-US" w:eastAsia="zh-CN"/>
        </w:rPr>
        <w:t>石碁镇</w:t>
      </w:r>
      <w:r>
        <w:rPr>
          <w:rFonts w:hint="eastAsia" w:ascii="仿宋_GB2312" w:eastAsia="仿宋_GB2312"/>
          <w:sz w:val="32"/>
          <w:szCs w:val="32"/>
        </w:rPr>
        <w:t>社工站）</w:t>
      </w:r>
      <w:r>
        <w:rPr>
          <w:rFonts w:hint="eastAsia" w:ascii="仿宋_GB2312" w:eastAsia="仿宋_GB2312"/>
          <w:sz w:val="32"/>
          <w:szCs w:val="32"/>
          <w:lang w:eastAsia="zh-CN"/>
        </w:rPr>
        <w:t>中</w:t>
      </w:r>
      <w:r>
        <w:rPr>
          <w:rFonts w:hint="eastAsia" w:ascii="仿宋_GB2312" w:eastAsia="仿宋_GB2312"/>
          <w:sz w:val="32"/>
          <w:szCs w:val="32"/>
        </w:rPr>
        <w:t>期报告，是专业评估人员通过对</w:t>
      </w:r>
      <w:r>
        <w:rPr>
          <w:rFonts w:hint="eastAsia" w:ascii="仿宋_GB2312" w:eastAsia="仿宋_GB2312"/>
          <w:sz w:val="32"/>
          <w:szCs w:val="32"/>
          <w:lang w:val="en-US" w:eastAsia="zh-CN"/>
        </w:rPr>
        <w:t>石碁镇</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石碁镇</w:t>
      </w:r>
      <w:r>
        <w:rPr>
          <w:rFonts w:hint="eastAsia" w:ascii="仿宋_GB2312" w:eastAsia="仿宋_GB2312"/>
          <w:sz w:val="32"/>
          <w:szCs w:val="32"/>
        </w:rPr>
        <w:t>社工站可以将此报告作为参考，进行服务完善和提升，从多方面</w:t>
      </w:r>
      <w:r>
        <w:rPr>
          <w:rFonts w:hint="eastAsia" w:ascii="仿宋_GB2312" w:eastAsia="仿宋_GB2312"/>
          <w:sz w:val="32"/>
          <w:szCs w:val="32"/>
          <w:lang w:eastAsia="zh-CN"/>
        </w:rPr>
        <w:t>夯</w:t>
      </w:r>
      <w:r>
        <w:rPr>
          <w:rFonts w:hint="eastAsia" w:ascii="仿宋_GB2312" w:eastAsia="仿宋_GB2312"/>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14:paraId="1B3387C0">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中</w:t>
      </w:r>
      <w:r>
        <w:rPr>
          <w:rFonts w:hint="eastAsia" w:ascii="方正小标宋简体" w:eastAsia="方正小标宋简体"/>
          <w:b/>
          <w:sz w:val="32"/>
          <w:szCs w:val="32"/>
        </w:rPr>
        <w:t>期评估背景</w:t>
      </w:r>
    </w:p>
    <w:p w14:paraId="5AC1BCE1">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2026年2月11日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石碁镇</w:t>
      </w:r>
      <w:r>
        <w:rPr>
          <w:rFonts w:hint="eastAsia" w:ascii="仿宋_GB2312" w:eastAsia="仿宋_GB2312"/>
          <w:sz w:val="32"/>
          <w:szCs w:val="32"/>
        </w:rPr>
        <w:t>社工站展开了</w:t>
      </w:r>
      <w:r>
        <w:rPr>
          <w:rFonts w:hint="eastAsia" w:ascii="仿宋_GB2312" w:eastAsia="仿宋_GB2312"/>
          <w:sz w:val="32"/>
          <w:szCs w:val="32"/>
          <w:lang w:eastAsia="zh-CN"/>
        </w:rPr>
        <w:t>中</w:t>
      </w:r>
      <w:r>
        <w:rPr>
          <w:rFonts w:hint="eastAsia" w:ascii="仿宋_GB2312" w:eastAsia="仿宋_GB2312"/>
          <w:sz w:val="32"/>
          <w:szCs w:val="32"/>
        </w:rPr>
        <w:t>期评估工作。评估为期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电访困难群众询问</w:t>
      </w:r>
      <w:r>
        <w:rPr>
          <w:rFonts w:hint="eastAsia" w:ascii="仿宋_GB2312" w:eastAsia="仿宋_GB2312"/>
          <w:sz w:val="32"/>
          <w:szCs w:val="32"/>
        </w:rPr>
        <w:t>等形式，对</w:t>
      </w:r>
      <w:r>
        <w:rPr>
          <w:rFonts w:hint="eastAsia" w:ascii="仿宋_GB2312" w:eastAsia="仿宋_GB2312"/>
          <w:sz w:val="32"/>
          <w:szCs w:val="32"/>
          <w:lang w:eastAsia="zh-CN"/>
        </w:rPr>
        <w:t>石碁镇</w:t>
      </w:r>
      <w:r>
        <w:rPr>
          <w:rFonts w:hint="eastAsia" w:ascii="仿宋_GB2312" w:eastAsia="仿宋_GB2312"/>
          <w:sz w:val="32"/>
          <w:szCs w:val="32"/>
        </w:rPr>
        <w:t>社工站的项目管理、服务开展情况以及项目成效等方面进行评估。评估团队主要完成了以下几方面的工作：</w:t>
      </w:r>
    </w:p>
    <w:p w14:paraId="1F1505E0">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bookmarkStart w:id="6" w:name="bookmark6"/>
      <w:bookmarkEnd w:id="6"/>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14:paraId="72C661ED">
      <w:pPr>
        <w:pStyle w:val="11"/>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7" w:name="bookmark7"/>
      <w:bookmarkEnd w:id="7"/>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14:paraId="64C6A3E3">
      <w:pPr>
        <w:pStyle w:val="11"/>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8" w:name="bookmark8"/>
      <w:bookmarkEnd w:id="8"/>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14:paraId="49EA7144">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9" w:name="bookmark9"/>
      <w:bookmarkEnd w:id="9"/>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14:paraId="7CED4612">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0" w:name="bookmark10"/>
      <w:bookmarkEnd w:id="10"/>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14:paraId="590BFB56">
      <w:pPr>
        <w:pStyle w:val="11"/>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1" w:name="bookmark11"/>
      <w:bookmarkEnd w:id="11"/>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14:paraId="151E687F">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2" w:name="bookmark12"/>
      <w:bookmarkEnd w:id="12"/>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由评委团队对评估进行总结，与社工站社工进行反馈，听取购买方对社工站工作开展的意见和建议，了解社工站同事对本次活动的反馈。</w:t>
      </w:r>
    </w:p>
    <w:p w14:paraId="772A92B1">
      <w:pPr>
        <w:pStyle w:val="11"/>
        <w:keepNext w:val="0"/>
        <w:keepLines w:val="0"/>
        <w:pageBreakBefore w:val="0"/>
        <w:widowControl w:val="0"/>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14:paraId="481F39A0">
      <w:pPr>
        <w:pStyle w:val="11"/>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b/>
          <w:bCs/>
          <w:sz w:val="32"/>
          <w:szCs w:val="32"/>
        </w:rPr>
        <w:t>政策依据：</w:t>
      </w:r>
      <w:r>
        <w:rPr>
          <w:rFonts w:hint="eastAsia" w:ascii="仿宋_GB2312" w:hAnsi="仿宋_GB2312" w:eastAsia="仿宋_GB2312" w:cs="仿宋_GB2312"/>
          <w:sz w:val="32"/>
          <w:szCs w:val="32"/>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2D9F9360">
      <w:pPr>
        <w:pStyle w:val="11"/>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sz w:val="32"/>
          <w:szCs w:val="32"/>
        </w:rPr>
        <w:t>《广州市社工站购买服务项目评估指标体系》。</w:t>
      </w:r>
    </w:p>
    <w:p w14:paraId="1E452D09">
      <w:pPr>
        <w:pStyle w:val="11"/>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14:paraId="42A5DB77">
      <w:pPr>
        <w:pStyle w:val="11"/>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5" w:name="bookmark17"/>
      <w:bookmarkEnd w:id="15"/>
      <w:bookmarkStart w:id="16"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14:paraId="65F0BA58">
      <w:pPr>
        <w:pStyle w:val="11"/>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7" w:name="bookmark18"/>
      <w:bookmarkEnd w:id="17"/>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14:paraId="49B8789C">
      <w:pPr>
        <w:pStyle w:val="11"/>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8" w:name="bookmark19"/>
      <w:bookmarkEnd w:id="18"/>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1D463F9C">
      <w:pPr>
        <w:pStyle w:val="11"/>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9" w:name="bookmark20"/>
      <w:bookmarkEnd w:id="19"/>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6A43B632">
      <w:pPr>
        <w:pStyle w:val="11"/>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20" w:name="bookmark21"/>
      <w:bookmarkEnd w:id="20"/>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137FFE54">
      <w:pPr>
        <w:pStyle w:val="11"/>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hint="eastAsia" w:ascii="仿宋_GB2312" w:eastAsia="仿宋_GB2312"/>
          <w:sz w:val="32"/>
          <w:szCs w:val="32"/>
        </w:rPr>
      </w:pPr>
      <w:bookmarkStart w:id="21" w:name="bookmark22"/>
      <w:bookmarkEnd w:id="21"/>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14:paraId="011B421B">
      <w:pPr>
        <w:pStyle w:val="11"/>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6"/>
      <w:r>
        <w:rPr>
          <w:rFonts w:hint="eastAsia" w:ascii="仿宋_GB2312" w:eastAsia="仿宋_GB2312"/>
          <w:b/>
          <w:sz w:val="32"/>
          <w:szCs w:val="32"/>
        </w:rPr>
        <w:t>三）评估阶段</w:t>
      </w:r>
    </w:p>
    <w:p w14:paraId="02760F17">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eastAsia="zh-CN"/>
        </w:rPr>
      </w:pPr>
      <w:bookmarkStart w:id="22" w:name="bookmark24"/>
      <w:bookmarkEnd w:id="22"/>
      <w:bookmarkStart w:id="23"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57152A09">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番禺区民政局会同番禺区社会组织联合会根据最新管理办法要求及石碁镇社工站项目合同期限确定评估时间，制定好评估计划和评估通知。</w:t>
      </w:r>
    </w:p>
    <w:p w14:paraId="7B6CF2BD">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284E11AD">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石碁镇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4AE11C4C">
      <w:pPr>
        <w:pStyle w:val="11"/>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lang w:eastAsia="zh-CN"/>
        </w:rPr>
      </w:pPr>
      <w:bookmarkStart w:id="24" w:name="bookmark25"/>
      <w:bookmarkEnd w:id="24"/>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73F327B0">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评估小组根据评估计划组织实施，对石碁镇社工站提供的材料进行审阅，实地考察，进行现场评估并打分。评估小组根据公平、公正的原则，严格按照评估要求，对石碁镇社工站进行评估工作。</w:t>
      </w:r>
    </w:p>
    <w:p w14:paraId="2C662CFA">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6772C498">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石碁镇人民政府及石碁镇社工服务站反馈初评意见，对评估结果、存在问题及改进建议等进行沟通确认。</w:t>
      </w:r>
    </w:p>
    <w:p w14:paraId="07F49E1E">
      <w:pPr>
        <w:pStyle w:val="11"/>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bookmarkStart w:id="25" w:name="bookmark27"/>
      <w:bookmarkEnd w:id="25"/>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14:paraId="26E1E83D">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在评估工作结束后10个工作日内，向番禺区民政局、石碁镇人民政府及石碁镇社工服务站各出具一份评估报告，提出项目存在的问题及改进建议。</w:t>
      </w:r>
    </w:p>
    <w:p w14:paraId="66DAAA61">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2C09BDDC">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石碁镇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3"/>
    <w:p w14:paraId="37044CAF">
      <w:pPr>
        <w:pStyle w:val="11"/>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14:paraId="27C80980">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14:paraId="6BD6B231">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6" w:name="bookmark29"/>
      <w:bookmarkEnd w:id="26"/>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w:t>
      </w:r>
      <w:r>
        <w:rPr>
          <w:rFonts w:hint="eastAsia" w:ascii="仿宋_GB2312" w:hAnsi="仿宋_GB2312" w:eastAsia="仿宋_GB2312" w:cs="仿宋_GB2312"/>
          <w:color w:val="auto"/>
          <w:sz w:val="32"/>
          <w:szCs w:val="32"/>
          <w:lang w:eastAsia="zh-CN"/>
        </w:rPr>
        <w:t>双方</w:t>
      </w:r>
      <w:r>
        <w:rPr>
          <w:rFonts w:ascii="仿宋_GB2312" w:hAnsi="仿宋_GB2312" w:eastAsia="仿宋_GB2312" w:cs="仿宋_GB2312"/>
          <w:color w:val="auto"/>
          <w:sz w:val="32"/>
          <w:szCs w:val="32"/>
          <w:lang w:eastAsia="zh-CN"/>
        </w:rPr>
        <w:t>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14:paraId="25CE2D0E">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14:paraId="7F424815">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14:paraId="451DBA80">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14:paraId="7AB71EEF">
      <w:pPr>
        <w:pStyle w:val="11"/>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14:paraId="047FE883">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w:t>
      </w:r>
      <w:r>
        <w:rPr>
          <w:rFonts w:hint="eastAsia" w:ascii="仿宋_GB2312" w:eastAsia="仿宋_GB2312"/>
          <w:sz w:val="32"/>
          <w:szCs w:val="32"/>
          <w:lang w:eastAsia="zh-CN"/>
        </w:rPr>
        <w:t>及其</w:t>
      </w:r>
      <w:r>
        <w:rPr>
          <w:rFonts w:hint="eastAsia" w:ascii="仿宋_GB2312" w:eastAsia="仿宋_GB2312"/>
          <w:sz w:val="32"/>
          <w:szCs w:val="32"/>
        </w:rPr>
        <w:t>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60分至80分（不含80分）为合格，60分以下（不含60分）为不合格。评估中若发现有下列情形之一的，评估结果也定为不合格：</w:t>
      </w:r>
    </w:p>
    <w:p w14:paraId="00E8A1C6">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14:paraId="2D5A8463">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14:paraId="4BEC0091">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14:paraId="37E392B1">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14:paraId="6C19C8A6">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14:paraId="2FF3DF18">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14:paraId="159CF5B2">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14:paraId="5257982C">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14:paraId="3FF13C08">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14:paraId="0E6E319F">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14:paraId="2207A6CD">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石碁镇</w:t>
      </w:r>
      <w:r>
        <w:rPr>
          <w:rFonts w:hint="eastAsia" w:ascii="仿宋_GB2312" w:eastAsia="仿宋_GB2312"/>
          <w:sz w:val="32"/>
          <w:szCs w:val="32"/>
        </w:rPr>
        <w:t>社工站位于</w:t>
      </w:r>
      <w:r>
        <w:rPr>
          <w:rFonts w:hint="eastAsia" w:ascii="仿宋_GB2312" w:eastAsia="仿宋_GB2312"/>
          <w:sz w:val="32"/>
          <w:szCs w:val="32"/>
          <w:lang w:eastAsia="zh-CN"/>
        </w:rPr>
        <w:t>石碁镇深坑大街一号一楼</w:t>
      </w:r>
      <w:r>
        <w:rPr>
          <w:rFonts w:hint="eastAsia" w:ascii="仿宋_GB2312" w:eastAsia="仿宋_GB2312"/>
          <w:sz w:val="32"/>
          <w:szCs w:val="32"/>
        </w:rPr>
        <w:t>，20</w:t>
      </w:r>
      <w:r>
        <w:rPr>
          <w:rFonts w:hint="eastAsia" w:ascii="仿宋_GB2312" w:eastAsia="仿宋_GB2312"/>
          <w:sz w:val="32"/>
          <w:szCs w:val="32"/>
          <w:lang w:val="en-US" w:eastAsia="zh-CN"/>
        </w:rPr>
        <w:t>24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月，由</w:t>
      </w:r>
      <w:r>
        <w:rPr>
          <w:rFonts w:hint="eastAsia" w:ascii="仿宋_GB2312" w:eastAsia="仿宋_GB2312"/>
          <w:sz w:val="32"/>
          <w:szCs w:val="32"/>
          <w:lang w:val="en-US" w:eastAsia="zh-CN"/>
        </w:rPr>
        <w:t>广州市阳光天使社会工作服务中心负责运营</w:t>
      </w:r>
      <w:r>
        <w:rPr>
          <w:rFonts w:hint="eastAsia" w:ascii="仿宋_GB2312" w:eastAsia="仿宋_GB2312"/>
          <w:sz w:val="32"/>
          <w:szCs w:val="32"/>
        </w:rPr>
        <w:t>。</w:t>
      </w:r>
      <w:r>
        <w:rPr>
          <w:rFonts w:hint="eastAsia" w:ascii="仿宋_GB2312" w:eastAsia="仿宋_GB2312"/>
          <w:sz w:val="32"/>
          <w:szCs w:val="32"/>
          <w:lang w:eastAsia="zh-CN"/>
        </w:rPr>
        <w:t>石碁镇</w:t>
      </w:r>
      <w:r>
        <w:rPr>
          <w:rFonts w:hint="eastAsia" w:ascii="仿宋_GB2312" w:eastAsia="仿宋_GB2312"/>
          <w:sz w:val="32"/>
          <w:szCs w:val="32"/>
        </w:rPr>
        <w:t>社工站主要服务包括：党建引领服务、兜底性民生服务、基础性民生服务、普惠性民生服务四大板块。</w:t>
      </w:r>
    </w:p>
    <w:p w14:paraId="510E733B">
      <w:pPr>
        <w:pStyle w:val="11"/>
        <w:pageBreakBefore w:val="0"/>
        <w:widowControl w:val="0"/>
        <w:kinsoku/>
        <w:wordWrap/>
        <w:overflowPunct/>
        <w:topLinePunct w:val="0"/>
        <w:autoSpaceDE/>
        <w:autoSpaceDN/>
        <w:bidi w:val="0"/>
        <w:adjustRightInd/>
        <w:snapToGrid/>
        <w:spacing w:after="0" w:line="560" w:lineRule="exact"/>
        <w:ind w:firstLine="601"/>
        <w:jc w:val="both"/>
        <w:textAlignment w:val="auto"/>
        <w:rPr>
          <w:rFonts w:hint="eastAsia" w:ascii="仿宋_GB2312" w:hAnsi="宋体" w:eastAsia="仿宋_GB2312" w:cs="宋体"/>
          <w:sz w:val="32"/>
          <w:szCs w:val="32"/>
          <w:highlight w:val="none"/>
          <w:lang w:eastAsia="zh-CN"/>
        </w:rPr>
      </w:pPr>
      <w:r>
        <w:rPr>
          <w:rFonts w:hint="eastAsia" w:ascii="仿宋_GB2312" w:hAnsi="宋体" w:eastAsia="仿宋_GB2312" w:cs="宋体"/>
          <w:sz w:val="32"/>
          <w:szCs w:val="32"/>
          <w:highlight w:val="none"/>
          <w:lang w:eastAsia="zh-CN"/>
        </w:rPr>
        <w:t>截至202</w:t>
      </w:r>
      <w:r>
        <w:rPr>
          <w:rFonts w:hint="eastAsia" w:ascii="仿宋_GB2312" w:hAnsi="宋体" w:eastAsia="仿宋_GB2312" w:cs="宋体"/>
          <w:sz w:val="32"/>
          <w:szCs w:val="32"/>
          <w:highlight w:val="none"/>
          <w:lang w:val="en-US" w:eastAsia="zh-CN"/>
        </w:rPr>
        <w:t>6</w:t>
      </w:r>
      <w:r>
        <w:rPr>
          <w:rFonts w:hint="eastAsia" w:ascii="仿宋_GB2312" w:hAnsi="宋体" w:eastAsia="仿宋_GB2312" w:cs="宋体"/>
          <w:sz w:val="32"/>
          <w:szCs w:val="32"/>
          <w:highlight w:val="none"/>
          <w:lang w:eastAsia="zh-CN"/>
        </w:rPr>
        <w:t>年1月3</w:t>
      </w:r>
      <w:r>
        <w:rPr>
          <w:rFonts w:hint="eastAsia" w:ascii="仿宋_GB2312" w:hAnsi="宋体" w:eastAsia="仿宋_GB2312" w:cs="宋体"/>
          <w:sz w:val="32"/>
          <w:szCs w:val="32"/>
          <w:highlight w:val="none"/>
          <w:lang w:val="en-US" w:eastAsia="zh-CN"/>
        </w:rPr>
        <w:t>1</w:t>
      </w:r>
      <w:r>
        <w:rPr>
          <w:rFonts w:hint="eastAsia" w:ascii="仿宋_GB2312" w:hAnsi="宋体" w:eastAsia="仿宋_GB2312" w:cs="宋体"/>
          <w:sz w:val="32"/>
          <w:szCs w:val="32"/>
          <w:highlight w:val="none"/>
          <w:lang w:eastAsia="zh-CN"/>
        </w:rPr>
        <w:t>日，社工站配备工作人员</w:t>
      </w:r>
      <w:r>
        <w:rPr>
          <w:rFonts w:hint="eastAsia" w:ascii="仿宋_GB2312" w:eastAsia="仿宋_GB2312" w:cs="宋体"/>
          <w:sz w:val="32"/>
          <w:szCs w:val="32"/>
          <w:highlight w:val="none"/>
          <w:lang w:val="en-US" w:eastAsia="zh-CN"/>
        </w:rPr>
        <w:t>20</w:t>
      </w:r>
      <w:r>
        <w:rPr>
          <w:rFonts w:hint="eastAsia" w:ascii="仿宋_GB2312" w:hAnsi="宋体" w:eastAsia="仿宋_GB2312" w:cs="宋体"/>
          <w:sz w:val="32"/>
          <w:szCs w:val="32"/>
          <w:highlight w:val="none"/>
          <w:lang w:eastAsia="zh-CN"/>
        </w:rPr>
        <w:t>名，其中社工专业人员</w:t>
      </w:r>
      <w:r>
        <w:rPr>
          <w:rFonts w:hint="eastAsia" w:ascii="仿宋_GB2312" w:eastAsia="仿宋_GB2312" w:cs="宋体"/>
          <w:sz w:val="32"/>
          <w:szCs w:val="32"/>
          <w:highlight w:val="none"/>
          <w:lang w:val="en-US" w:eastAsia="zh-CN"/>
        </w:rPr>
        <w:t>16</w:t>
      </w:r>
      <w:r>
        <w:rPr>
          <w:rFonts w:hint="eastAsia" w:ascii="仿宋_GB2312" w:hAnsi="宋体" w:eastAsia="仿宋_GB2312" w:cs="宋体"/>
          <w:sz w:val="32"/>
          <w:szCs w:val="32"/>
          <w:highlight w:val="none"/>
          <w:lang w:eastAsia="zh-CN"/>
        </w:rPr>
        <w:t>名（社会工作师</w:t>
      </w:r>
      <w:r>
        <w:rPr>
          <w:rFonts w:hint="eastAsia" w:ascii="仿宋_GB2312" w:eastAsia="仿宋_GB2312" w:cs="宋体"/>
          <w:sz w:val="32"/>
          <w:szCs w:val="32"/>
          <w:highlight w:val="none"/>
          <w:lang w:val="en-US" w:eastAsia="zh-CN"/>
        </w:rPr>
        <w:t>5</w:t>
      </w:r>
      <w:r>
        <w:rPr>
          <w:rFonts w:hint="eastAsia" w:ascii="仿宋_GB2312" w:hAnsi="宋体" w:eastAsia="仿宋_GB2312" w:cs="宋体"/>
          <w:sz w:val="32"/>
          <w:szCs w:val="32"/>
          <w:highlight w:val="none"/>
          <w:lang w:eastAsia="zh-CN"/>
        </w:rPr>
        <w:t>人，助理社会工作师</w:t>
      </w:r>
      <w:r>
        <w:rPr>
          <w:rFonts w:hint="eastAsia" w:ascii="仿宋_GB2312" w:hAnsi="宋体" w:eastAsia="仿宋_GB2312" w:cs="宋体"/>
          <w:sz w:val="32"/>
          <w:szCs w:val="32"/>
          <w:highlight w:val="none"/>
          <w:lang w:val="en-US" w:eastAsia="zh-CN"/>
        </w:rPr>
        <w:t>1</w:t>
      </w:r>
      <w:r>
        <w:rPr>
          <w:rFonts w:hint="eastAsia" w:ascii="仿宋_GB2312" w:eastAsia="仿宋_GB2312" w:cs="宋体"/>
          <w:sz w:val="32"/>
          <w:szCs w:val="32"/>
          <w:highlight w:val="none"/>
          <w:lang w:val="en-US" w:eastAsia="zh-CN"/>
        </w:rPr>
        <w:t>1</w:t>
      </w:r>
      <w:r>
        <w:rPr>
          <w:rFonts w:hint="eastAsia" w:ascii="仿宋_GB2312" w:hAnsi="宋体" w:eastAsia="仿宋_GB2312" w:cs="宋体"/>
          <w:sz w:val="32"/>
          <w:szCs w:val="32"/>
          <w:highlight w:val="none"/>
          <w:lang w:eastAsia="zh-CN"/>
        </w:rPr>
        <w:t>人）</w:t>
      </w:r>
      <w:r>
        <w:rPr>
          <w:rFonts w:hint="eastAsia" w:ascii="仿宋_GB2312" w:hAnsi="宋体" w:eastAsia="仿宋_GB2312" w:cs="宋体"/>
          <w:sz w:val="32"/>
          <w:szCs w:val="32"/>
          <w:highlight w:val="none"/>
          <w:lang w:val="en-US" w:eastAsia="zh-CN"/>
        </w:rPr>
        <w:t>，相关专业1人，</w:t>
      </w:r>
      <w:r>
        <w:rPr>
          <w:rFonts w:hint="eastAsia" w:ascii="仿宋_GB2312" w:eastAsia="仿宋_GB2312" w:cs="宋体"/>
          <w:sz w:val="32"/>
          <w:szCs w:val="32"/>
          <w:highlight w:val="none"/>
          <w:lang w:val="en-US" w:eastAsia="zh-CN"/>
        </w:rPr>
        <w:t>其他人员</w:t>
      </w:r>
      <w:r>
        <w:rPr>
          <w:rFonts w:hint="eastAsia" w:ascii="仿宋_GB2312" w:hAnsi="宋体" w:eastAsia="仿宋_GB2312" w:cs="宋体"/>
          <w:sz w:val="32"/>
          <w:szCs w:val="32"/>
          <w:highlight w:val="none"/>
          <w:lang w:val="en-US" w:eastAsia="zh-CN"/>
        </w:rPr>
        <w:t>3人</w:t>
      </w:r>
      <w:r>
        <w:rPr>
          <w:rFonts w:hint="eastAsia" w:ascii="仿宋_GB2312" w:hAnsi="宋体" w:eastAsia="仿宋_GB2312" w:cs="宋体"/>
          <w:sz w:val="32"/>
          <w:szCs w:val="32"/>
          <w:highlight w:val="none"/>
          <w:lang w:eastAsia="zh-CN"/>
        </w:rPr>
        <w:t>。上次评估统计截止时间至本次评估统计开始时间期间（202</w:t>
      </w:r>
      <w:r>
        <w:rPr>
          <w:rFonts w:hint="eastAsia" w:ascii="仿宋_GB2312" w:hAnsi="宋体" w:eastAsia="仿宋_GB2312" w:cs="宋体"/>
          <w:sz w:val="32"/>
          <w:szCs w:val="32"/>
          <w:highlight w:val="none"/>
          <w:lang w:val="en-US" w:eastAsia="zh-CN"/>
        </w:rPr>
        <w:t>5</w:t>
      </w:r>
      <w:r>
        <w:rPr>
          <w:rFonts w:hint="eastAsia" w:ascii="仿宋_GB2312" w:hAnsi="宋体" w:eastAsia="仿宋_GB2312" w:cs="宋体"/>
          <w:sz w:val="32"/>
          <w:szCs w:val="32"/>
          <w:highlight w:val="none"/>
          <w:lang w:eastAsia="zh-CN"/>
        </w:rPr>
        <w:t>年</w:t>
      </w:r>
      <w:r>
        <w:rPr>
          <w:rFonts w:hint="eastAsia" w:ascii="仿宋_GB2312" w:eastAsia="仿宋_GB2312" w:cs="宋体"/>
          <w:sz w:val="32"/>
          <w:szCs w:val="32"/>
          <w:highlight w:val="none"/>
          <w:lang w:val="en-US" w:eastAsia="zh-CN"/>
        </w:rPr>
        <w:t>7</w:t>
      </w:r>
      <w:r>
        <w:rPr>
          <w:rFonts w:hint="eastAsia" w:ascii="仿宋_GB2312" w:hAnsi="宋体" w:eastAsia="仿宋_GB2312" w:cs="宋体"/>
          <w:sz w:val="32"/>
          <w:szCs w:val="32"/>
          <w:highlight w:val="none"/>
          <w:lang w:eastAsia="zh-CN"/>
        </w:rPr>
        <w:t>月</w:t>
      </w:r>
      <w:r>
        <w:rPr>
          <w:rFonts w:hint="eastAsia" w:ascii="仿宋_GB2312" w:eastAsia="仿宋_GB2312" w:cs="宋体"/>
          <w:sz w:val="32"/>
          <w:szCs w:val="32"/>
          <w:highlight w:val="none"/>
          <w:lang w:val="en-US" w:eastAsia="zh-CN"/>
        </w:rPr>
        <w:t>3</w:t>
      </w:r>
      <w:r>
        <w:rPr>
          <w:rFonts w:hint="eastAsia" w:ascii="仿宋_GB2312" w:hAnsi="宋体" w:eastAsia="仿宋_GB2312" w:cs="宋体"/>
          <w:sz w:val="32"/>
          <w:szCs w:val="32"/>
          <w:highlight w:val="none"/>
          <w:lang w:val="en-US" w:eastAsia="zh-CN"/>
        </w:rPr>
        <w:t>1</w:t>
      </w:r>
      <w:r>
        <w:rPr>
          <w:rFonts w:hint="eastAsia" w:ascii="仿宋_GB2312" w:hAnsi="宋体" w:eastAsia="仿宋_GB2312" w:cs="宋体"/>
          <w:sz w:val="32"/>
          <w:szCs w:val="32"/>
          <w:highlight w:val="none"/>
          <w:lang w:eastAsia="zh-CN"/>
        </w:rPr>
        <w:t>日—2025年</w:t>
      </w:r>
      <w:r>
        <w:rPr>
          <w:rFonts w:hint="eastAsia" w:ascii="仿宋_GB2312" w:hAnsi="宋体" w:eastAsia="仿宋_GB2312" w:cs="宋体"/>
          <w:sz w:val="32"/>
          <w:szCs w:val="32"/>
          <w:highlight w:val="none"/>
          <w:lang w:val="en-US" w:eastAsia="zh-CN"/>
        </w:rPr>
        <w:t>8</w:t>
      </w:r>
      <w:r>
        <w:rPr>
          <w:rFonts w:hint="eastAsia" w:ascii="仿宋_GB2312" w:hAnsi="宋体" w:eastAsia="仿宋_GB2312" w:cs="宋体"/>
          <w:sz w:val="32"/>
          <w:szCs w:val="32"/>
          <w:highlight w:val="none"/>
          <w:lang w:eastAsia="zh-CN"/>
        </w:rPr>
        <w:t>月</w:t>
      </w:r>
      <w:r>
        <w:rPr>
          <w:rFonts w:hint="eastAsia" w:ascii="仿宋_GB2312" w:hAnsi="宋体" w:eastAsia="仿宋_GB2312" w:cs="宋体"/>
          <w:sz w:val="32"/>
          <w:szCs w:val="32"/>
          <w:highlight w:val="none"/>
          <w:lang w:val="en-US" w:eastAsia="zh-CN"/>
        </w:rPr>
        <w:t>23</w:t>
      </w:r>
      <w:r>
        <w:rPr>
          <w:rFonts w:hint="eastAsia" w:ascii="仿宋_GB2312" w:hAnsi="宋体" w:eastAsia="仿宋_GB2312" w:cs="宋体"/>
          <w:sz w:val="32"/>
          <w:szCs w:val="32"/>
          <w:highlight w:val="none"/>
          <w:lang w:eastAsia="zh-CN"/>
        </w:rPr>
        <w:t>日）社工站配备工作人员</w:t>
      </w:r>
      <w:r>
        <w:rPr>
          <w:rFonts w:hint="eastAsia" w:ascii="仿宋_GB2312" w:eastAsia="仿宋_GB2312" w:cs="宋体"/>
          <w:sz w:val="32"/>
          <w:szCs w:val="32"/>
          <w:highlight w:val="none"/>
          <w:lang w:val="en-US" w:eastAsia="zh-CN"/>
        </w:rPr>
        <w:t>20</w:t>
      </w:r>
      <w:r>
        <w:rPr>
          <w:rFonts w:hint="eastAsia" w:ascii="仿宋_GB2312" w:hAnsi="宋体" w:eastAsia="仿宋_GB2312" w:cs="宋体"/>
          <w:sz w:val="32"/>
          <w:szCs w:val="32"/>
          <w:highlight w:val="none"/>
          <w:lang w:eastAsia="zh-CN"/>
        </w:rPr>
        <w:t>名，其中社工专业人员</w:t>
      </w:r>
      <w:r>
        <w:rPr>
          <w:rFonts w:hint="eastAsia" w:ascii="仿宋_GB2312" w:eastAsia="仿宋_GB2312" w:cs="宋体"/>
          <w:sz w:val="32"/>
          <w:szCs w:val="32"/>
          <w:highlight w:val="none"/>
          <w:lang w:val="en-US" w:eastAsia="zh-CN"/>
        </w:rPr>
        <w:t>16</w:t>
      </w:r>
      <w:r>
        <w:rPr>
          <w:rFonts w:hint="eastAsia" w:ascii="仿宋_GB2312" w:hAnsi="宋体" w:eastAsia="仿宋_GB2312" w:cs="宋体"/>
          <w:sz w:val="32"/>
          <w:szCs w:val="32"/>
          <w:highlight w:val="none"/>
          <w:lang w:eastAsia="zh-CN"/>
        </w:rPr>
        <w:t>名（社会工作师</w:t>
      </w:r>
      <w:r>
        <w:rPr>
          <w:rFonts w:hint="eastAsia" w:ascii="仿宋_GB2312" w:eastAsia="仿宋_GB2312" w:cs="宋体"/>
          <w:sz w:val="32"/>
          <w:szCs w:val="32"/>
          <w:highlight w:val="none"/>
          <w:lang w:val="en-US" w:eastAsia="zh-CN"/>
        </w:rPr>
        <w:t>5</w:t>
      </w:r>
      <w:r>
        <w:rPr>
          <w:rFonts w:hint="eastAsia" w:ascii="仿宋_GB2312" w:hAnsi="宋体" w:eastAsia="仿宋_GB2312" w:cs="宋体"/>
          <w:sz w:val="32"/>
          <w:szCs w:val="32"/>
          <w:highlight w:val="none"/>
          <w:lang w:eastAsia="zh-CN"/>
        </w:rPr>
        <w:t>人，助理社会工作师</w:t>
      </w:r>
      <w:r>
        <w:rPr>
          <w:rFonts w:hint="eastAsia" w:ascii="仿宋_GB2312" w:hAnsi="宋体" w:eastAsia="仿宋_GB2312" w:cs="宋体"/>
          <w:sz w:val="32"/>
          <w:szCs w:val="32"/>
          <w:highlight w:val="none"/>
          <w:lang w:val="en-US" w:eastAsia="zh-CN"/>
        </w:rPr>
        <w:t>1</w:t>
      </w:r>
      <w:r>
        <w:rPr>
          <w:rFonts w:hint="eastAsia" w:ascii="仿宋_GB2312" w:eastAsia="仿宋_GB2312" w:cs="宋体"/>
          <w:sz w:val="32"/>
          <w:szCs w:val="32"/>
          <w:highlight w:val="none"/>
          <w:lang w:val="en-US" w:eastAsia="zh-CN"/>
        </w:rPr>
        <w:t>1</w:t>
      </w:r>
      <w:r>
        <w:rPr>
          <w:rFonts w:hint="eastAsia" w:ascii="仿宋_GB2312" w:hAnsi="宋体" w:eastAsia="仿宋_GB2312" w:cs="宋体"/>
          <w:sz w:val="32"/>
          <w:szCs w:val="32"/>
          <w:highlight w:val="none"/>
          <w:lang w:eastAsia="zh-CN"/>
        </w:rPr>
        <w:t>人），相关专业</w:t>
      </w:r>
      <w:r>
        <w:rPr>
          <w:rFonts w:hint="eastAsia" w:ascii="仿宋_GB2312" w:hAnsi="宋体" w:eastAsia="仿宋_GB2312" w:cs="宋体"/>
          <w:sz w:val="32"/>
          <w:szCs w:val="32"/>
          <w:highlight w:val="none"/>
          <w:lang w:val="en-US" w:eastAsia="zh-CN"/>
        </w:rPr>
        <w:t>1人，</w:t>
      </w:r>
      <w:r>
        <w:rPr>
          <w:rFonts w:hint="eastAsia" w:ascii="仿宋_GB2312" w:eastAsia="仿宋_GB2312" w:cs="宋体"/>
          <w:sz w:val="32"/>
          <w:szCs w:val="32"/>
          <w:highlight w:val="none"/>
          <w:lang w:val="en-US" w:eastAsia="zh-CN"/>
        </w:rPr>
        <w:t>其他人员</w:t>
      </w:r>
      <w:r>
        <w:rPr>
          <w:rFonts w:hint="eastAsia" w:ascii="仿宋_GB2312" w:hAnsi="宋体" w:eastAsia="仿宋_GB2312" w:cs="宋体"/>
          <w:sz w:val="32"/>
          <w:szCs w:val="32"/>
          <w:highlight w:val="none"/>
          <w:lang w:val="en-US" w:eastAsia="zh-CN"/>
        </w:rPr>
        <w:t>3人</w:t>
      </w:r>
      <w:r>
        <w:rPr>
          <w:rFonts w:hint="eastAsia" w:ascii="仿宋_GB2312" w:hAnsi="宋体" w:eastAsia="仿宋_GB2312" w:cs="宋体"/>
          <w:sz w:val="32"/>
          <w:szCs w:val="32"/>
          <w:highlight w:val="none"/>
          <w:lang w:eastAsia="zh-CN"/>
        </w:rPr>
        <w:t>。此外，社工站配备督导</w:t>
      </w:r>
      <w:r>
        <w:rPr>
          <w:rFonts w:hint="eastAsia" w:ascii="仿宋_GB2312" w:eastAsia="仿宋_GB2312" w:cs="宋体"/>
          <w:sz w:val="32"/>
          <w:szCs w:val="32"/>
          <w:highlight w:val="none"/>
          <w:lang w:val="en-US" w:eastAsia="zh-CN"/>
        </w:rPr>
        <w:t>2</w:t>
      </w:r>
      <w:r>
        <w:rPr>
          <w:rFonts w:hint="eastAsia" w:ascii="仿宋_GB2312" w:hAnsi="宋体" w:eastAsia="仿宋_GB2312" w:cs="宋体"/>
          <w:sz w:val="32"/>
          <w:szCs w:val="32"/>
          <w:highlight w:val="none"/>
          <w:lang w:eastAsia="zh-CN"/>
        </w:rPr>
        <w:t>名，从事社会服务</w:t>
      </w:r>
      <w:r>
        <w:rPr>
          <w:rFonts w:hint="eastAsia" w:ascii="仿宋_GB2312" w:eastAsia="仿宋_GB2312" w:cs="宋体"/>
          <w:sz w:val="32"/>
          <w:szCs w:val="32"/>
          <w:highlight w:val="none"/>
          <w:lang w:val="en-US" w:eastAsia="zh-CN"/>
        </w:rPr>
        <w:t>9</w:t>
      </w:r>
      <w:r>
        <w:rPr>
          <w:rFonts w:hint="eastAsia" w:ascii="仿宋_GB2312" w:hAnsi="宋体" w:eastAsia="仿宋_GB2312" w:cs="宋体"/>
          <w:sz w:val="32"/>
          <w:szCs w:val="32"/>
          <w:highlight w:val="none"/>
          <w:lang w:eastAsia="zh-CN"/>
        </w:rPr>
        <w:t>年以上。</w:t>
      </w:r>
    </w:p>
    <w:p w14:paraId="67269AD8">
      <w:pPr>
        <w:pStyle w:val="11"/>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sz w:val="32"/>
          <w:szCs w:val="32"/>
        </w:rPr>
      </w:pPr>
      <w:r>
        <w:rPr>
          <w:rFonts w:hint="eastAsia" w:ascii="仿宋_GB2312" w:eastAsia="仿宋_GB2312"/>
          <w:sz w:val="32"/>
          <w:szCs w:val="32"/>
        </w:rPr>
        <w:t>本社工站评估期限内服务经费</w:t>
      </w:r>
      <w:r>
        <w:rPr>
          <w:rFonts w:hint="eastAsia" w:ascii="仿宋_GB2312" w:eastAsia="仿宋_GB2312"/>
          <w:sz w:val="32"/>
          <w:szCs w:val="32"/>
          <w:highlight w:val="none"/>
        </w:rPr>
        <w:t>为</w:t>
      </w:r>
      <w:r>
        <w:rPr>
          <w:rFonts w:hint="eastAsia" w:ascii="仿宋_GB2312" w:eastAsia="仿宋_GB2312"/>
          <w:sz w:val="32"/>
          <w:szCs w:val="32"/>
          <w:highlight w:val="none"/>
          <w:lang w:val="en-US" w:eastAsia="zh-CN"/>
        </w:rPr>
        <w:t>228</w:t>
      </w:r>
      <w:r>
        <w:rPr>
          <w:rFonts w:hint="eastAsia" w:ascii="仿宋_GB2312" w:eastAsia="仿宋_GB2312"/>
          <w:sz w:val="32"/>
          <w:szCs w:val="32"/>
          <w:highlight w:val="none"/>
        </w:rPr>
        <w:t>万元</w:t>
      </w:r>
      <w:r>
        <w:rPr>
          <w:rFonts w:hint="eastAsia" w:ascii="仿宋_GB2312" w:eastAsia="仿宋_GB2312"/>
          <w:sz w:val="32"/>
          <w:szCs w:val="32"/>
        </w:rPr>
        <w:t>，</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24</w:t>
      </w:r>
      <w:r>
        <w:rPr>
          <w:rFonts w:hint="eastAsia" w:ascii="仿宋_GB2312" w:hAnsi="Times New Roman" w:eastAsia="仿宋_GB2312" w:cs="Times New Roman"/>
          <w:sz w:val="32"/>
          <w:szCs w:val="32"/>
        </w:rPr>
        <w:t>日至202</w:t>
      </w: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23</w:t>
      </w:r>
      <w:r>
        <w:rPr>
          <w:rFonts w:hint="eastAsia" w:ascii="仿宋_GB2312" w:hAnsi="Times New Roman" w:eastAsia="仿宋_GB2312" w:cs="Times New Roman"/>
          <w:sz w:val="32"/>
          <w:szCs w:val="32"/>
        </w:rPr>
        <w:t>日</w:t>
      </w:r>
      <w:r>
        <w:rPr>
          <w:rFonts w:hint="eastAsia" w:ascii="仿宋_GB2312" w:eastAsia="仿宋_GB2312"/>
          <w:sz w:val="32"/>
          <w:szCs w:val="32"/>
        </w:rPr>
        <w:t>。</w:t>
      </w:r>
      <w:r>
        <w:rPr>
          <w:rFonts w:hint="eastAsia" w:ascii="仿宋_GB2312" w:eastAsia="仿宋_GB2312"/>
          <w:color w:val="auto"/>
          <w:sz w:val="32"/>
          <w:szCs w:val="32"/>
        </w:rPr>
        <w:t>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日——202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月31日，考核5个月。</w:t>
      </w:r>
    </w:p>
    <w:p w14:paraId="0EED76FC">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14:paraId="19897E4D">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社工站共完成家访</w:t>
      </w:r>
      <w:r>
        <w:rPr>
          <w:rFonts w:hint="eastAsia" w:ascii="仿宋_GB2312" w:eastAsia="仿宋_GB2312"/>
          <w:sz w:val="32"/>
          <w:szCs w:val="32"/>
          <w:lang w:val="en-US" w:eastAsia="zh-CN"/>
        </w:rPr>
        <w:t>4231</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1985人次，</w:t>
      </w:r>
      <w:r>
        <w:rPr>
          <w:rFonts w:hint="eastAsia" w:ascii="仿宋_GB2312" w:eastAsia="仿宋_GB2312"/>
          <w:sz w:val="32"/>
          <w:szCs w:val="32"/>
        </w:rPr>
        <w:t>完成协议指标量的</w:t>
      </w:r>
      <w:r>
        <w:rPr>
          <w:rFonts w:hint="eastAsia" w:ascii="仿宋_GB2312" w:eastAsia="仿宋_GB2312"/>
          <w:sz w:val="32"/>
          <w:szCs w:val="32"/>
          <w:lang w:val="en-US" w:eastAsia="zh-CN"/>
        </w:rPr>
        <w:t>62.16%</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个案接案</w:t>
      </w:r>
      <w:r>
        <w:rPr>
          <w:rFonts w:hint="eastAsia" w:ascii="仿宋_GB2312" w:eastAsia="仿宋_GB2312"/>
          <w:sz w:val="32"/>
          <w:szCs w:val="32"/>
          <w:lang w:val="en-US" w:eastAsia="zh-CN"/>
        </w:rPr>
        <w:t>20</w:t>
      </w:r>
      <w:r>
        <w:rPr>
          <w:rFonts w:hint="eastAsia" w:ascii="仿宋_GB2312" w:eastAsia="仿宋_GB2312"/>
          <w:sz w:val="32"/>
          <w:szCs w:val="32"/>
        </w:rPr>
        <w:t>个，</w:t>
      </w:r>
      <w:r>
        <w:rPr>
          <w:rFonts w:hint="eastAsia" w:ascii="仿宋_GB2312" w:eastAsia="仿宋_GB2312"/>
          <w:sz w:val="32"/>
          <w:szCs w:val="32"/>
          <w:lang w:val="en-US" w:eastAsia="zh-CN"/>
        </w:rPr>
        <w:t>112节，分别</w:t>
      </w:r>
      <w:r>
        <w:rPr>
          <w:rFonts w:hint="eastAsia" w:ascii="仿宋_GB2312" w:eastAsia="仿宋_GB2312"/>
          <w:sz w:val="32"/>
          <w:szCs w:val="32"/>
        </w:rPr>
        <w:t>完成协议指标量的</w:t>
      </w:r>
      <w:r>
        <w:rPr>
          <w:rFonts w:hint="eastAsia" w:ascii="仿宋_GB2312" w:eastAsia="仿宋_GB2312"/>
          <w:sz w:val="32"/>
          <w:szCs w:val="32"/>
          <w:lang w:val="en-US" w:eastAsia="zh-CN"/>
        </w:rPr>
        <w:t>71.43</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eastAsia="仿宋_GB2312"/>
          <w:sz w:val="32"/>
          <w:szCs w:val="32"/>
          <w:lang w:val="en-US" w:eastAsia="zh-CN"/>
        </w:rPr>
        <w:t>80.00%</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3</w:t>
      </w:r>
      <w:r>
        <w:rPr>
          <w:rFonts w:hint="eastAsia" w:ascii="仿宋_GB2312" w:eastAsia="仿宋_GB2312"/>
          <w:sz w:val="32"/>
          <w:szCs w:val="32"/>
        </w:rPr>
        <w:t>个，</w:t>
      </w:r>
      <w:r>
        <w:rPr>
          <w:rFonts w:hint="eastAsia" w:ascii="仿宋_GB2312" w:eastAsia="仿宋_GB2312"/>
          <w:sz w:val="32"/>
          <w:szCs w:val="32"/>
          <w:lang w:val="en-US" w:eastAsia="zh-CN"/>
        </w:rPr>
        <w:t>15节，服务193人次，分别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60.00</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60.00%、128.67%；</w:t>
      </w:r>
      <w:r>
        <w:rPr>
          <w:rFonts w:hint="eastAsia" w:ascii="仿宋_GB2312" w:eastAsia="仿宋_GB2312"/>
          <w:sz w:val="32"/>
          <w:szCs w:val="32"/>
        </w:rPr>
        <w:t>完成社区活动</w:t>
      </w:r>
      <w:r>
        <w:rPr>
          <w:rFonts w:hint="eastAsia" w:ascii="仿宋_GB2312" w:eastAsia="仿宋_GB2312"/>
          <w:sz w:val="32"/>
          <w:szCs w:val="32"/>
          <w:lang w:val="en-US" w:eastAsia="zh-CN"/>
        </w:rPr>
        <w:t>31</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1180人次</w:t>
      </w:r>
      <w:r>
        <w:rPr>
          <w:rFonts w:hint="eastAsia" w:ascii="仿宋_GB2312" w:eastAsia="仿宋_GB2312"/>
          <w:sz w:val="32"/>
          <w:szCs w:val="32"/>
        </w:rPr>
        <w:t>，分别完成协议指标量的</w:t>
      </w:r>
      <w:r>
        <w:rPr>
          <w:rFonts w:hint="eastAsia" w:ascii="仿宋_GB2312" w:eastAsia="仿宋_GB2312"/>
          <w:sz w:val="32"/>
          <w:szCs w:val="32"/>
          <w:lang w:val="en-US" w:eastAsia="zh-CN"/>
        </w:rPr>
        <w:t>88.57</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168.57</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培育老年志愿者队伍2支，联动志愿者队伍开展困难群众和特殊群体服务13场次，分别完成指标的100.00%、130.00%。（以上数据由社工站提供，各项目指标完成情况见附件1）。</w:t>
      </w:r>
    </w:p>
    <w:p w14:paraId="5F47C665">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石碁镇</w:t>
      </w:r>
      <w:r>
        <w:rPr>
          <w:rFonts w:hint="eastAsia" w:ascii="仿宋_GB2312" w:eastAsia="仿宋_GB2312"/>
          <w:sz w:val="32"/>
          <w:szCs w:val="32"/>
        </w:rPr>
        <w:t>社工站服务指标完成情况良好，在服务进度方面整体把握到位。</w:t>
      </w:r>
    </w:p>
    <w:p w14:paraId="1948F773">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14:paraId="29D794E0">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14:paraId="51C61B42">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eastAsia="zh-CN"/>
        </w:rPr>
      </w:pPr>
      <w:bookmarkStart w:id="27" w:name="bookmark31"/>
      <w:bookmarkEnd w:id="27"/>
      <w:r>
        <w:rPr>
          <w:rFonts w:hint="eastAsia" w:ascii="仿宋_GB2312" w:eastAsia="仿宋_GB2312"/>
          <w:sz w:val="32"/>
          <w:szCs w:val="32"/>
        </w:rPr>
        <w:t>通过与社工站主任、相关行政人员访谈，查阅相关资料等方式了解社工站运营管理情况，</w:t>
      </w:r>
      <w:r>
        <w:rPr>
          <w:rFonts w:hint="eastAsia" w:ascii="仿宋_GB2312" w:eastAsia="仿宋_GB2312"/>
          <w:sz w:val="32"/>
          <w:szCs w:val="32"/>
          <w:lang w:eastAsia="zh-CN"/>
        </w:rPr>
        <w:t>有以下几方面值得肯定：</w:t>
      </w:r>
    </w:p>
    <w:p w14:paraId="49DAB012">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（1）人员队伍稳定，管理有序，截至2026年1月，社工站总人数达20人，超出协议要求的19人，应到114人次，实到120.5人次，出勤情况良好；其中持证社工16人，应到60人次，实到96.5人次；持续在岗19人，稳岗率达到 100%。社工站项目负责人持有社会工作师职业资格水平证书，且拥有 13 年丰富的社会工作从业经验，其资质和资历符合相关要求。</w:t>
      </w:r>
    </w:p>
    <w:p w14:paraId="69A01088">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重视公共事务管理能力提升，社工站积极响应上期评估建议，对《广州市石碁镇社工服务站公共事务及危机介入响应机制》进行了全面修订，结合当前社区实际情况和潜在风险，对制度内容进行了优化完善，使其更具针对性和可操作性。修订完成后，组织全体人员开展演练活动，有效提升了社工站应对公共事务和危机的应急能力。</w:t>
      </w:r>
    </w:p>
    <w:p w14:paraId="7E802BA6">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不断完善服务管理架构，在本服务周期内，社工站重视服务需求和兜底群体的调研工作，以“党建+慈善”共建幸福石碁为框架，对年度服务进行了重新规划。站、片、点三级协同，充分发挥各自优势，积极链接社会资源，推动项目落地实施。在兜底服务、政策宣传、参与社区共建等方面取得了成效，得到了购买方的高度肯定，为社区的发展和居民的福祉作出了积极贡献。</w:t>
      </w:r>
    </w:p>
    <w:p w14:paraId="3AF62349">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构建多元宣传网络扩大社会影响。社工站积极构建多元化的社区宣传网络，持续提升社工站的社会知名度和影响力。在站点周边，路标指引清晰明确，网络地图信息完善准确，方便居民快速找到社工站位置。线上宣传方面，充分利用微信居民交流群、村居工作沟通群、微信公众号等平台，及时发布各类消息，累计发布文章38 篇，网络阅读量达10210 多人次，积极扩大信息传播范围。同时，向公众媒体推送社工站活动和工作的新闻稿，进一步提升了社工站的社会形象。线下宣传方面，在 19 个村居设置固定宣传栏，每月定期更新宣传资料，开展惠民政策宣传活动 19 场次。在“两热”高发期间，每日安排社工跟进和配合社区开展防控宣传，累计派发宣传单张 2000余份、防控物资800多件，并在5个重点村居开设“两热”便民服务点，服务群众1000余人次，切实为社区居民提供了贴心、实用的服务。</w:t>
      </w:r>
    </w:p>
    <w:p w14:paraId="55242623">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8" w:name="bookmark36"/>
      <w:bookmarkEnd w:id="28"/>
    </w:p>
    <w:p w14:paraId="3E069F4D">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通过与社工站主任、相关行政人员访谈，查阅相关资料等方式了解社工站运营管理情况，</w:t>
      </w:r>
      <w:r>
        <w:rPr>
          <w:rFonts w:hint="eastAsia" w:ascii="仿宋_GB2312" w:eastAsia="仿宋_GB2312"/>
          <w:sz w:val="32"/>
          <w:szCs w:val="32"/>
          <w:lang w:eastAsia="zh-CN"/>
        </w:rPr>
        <w:t>有以下几方面需要关注：</w:t>
      </w:r>
    </w:p>
    <w:p w14:paraId="78BE7345">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（1）持证社工比例提升需持续推进。目前，社工站持证社工比例尚未达到 85%的要求，这在一定程度上影响了社工队伍的专业化水平。为提升队伍专业化程度，建议进一步细化共学计划，加强对共学落实情况的跟进。结合社工专业成长需求，成立共学小组，将社工专业资格证书备考纳入共学计划，制定详尽、科学的学习计划和目标，明确学习内容、时间安排和考核方式，引导社工积极学习专业知识，提升专业素养，争取尽快提高持证社工比例。</w:t>
      </w:r>
    </w:p>
    <w:p w14:paraId="44316D74">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意见收集机制有待完善。虽然社工站设立了服务意见反馈意见箱，并定期开箱登记，但在实际工作中，未能有效收集和汇总到服务对象对服务改进方面的意见和建议。为拓宽服务对象意见收集渠道，建议进一步完善工作机制，除了意见箱外，可通过线上问卷、电访、面对面访谈、社区座谈会等多种方式，广泛收集服务对象的意见和建议。同时，建立专门的意见处理小组，对收集到的意见进行及时整理、分析和反馈，确保服务对象的诉求得到重视和解决，不断提升服务质量。</w:t>
      </w:r>
    </w:p>
    <w:p w14:paraId="2898531B">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项目服务呈现与内控管理需优化。在新的服务框架下，社工站的项目服务质量和内控管理仍有提升空间，建议结合片区和各社工点的实际情况，由各片、点进一步细化执行计划和阶段性目标，明确工作重点和任务分工，定期对工作进行总结和反思，及时发现问题并调整工作策略。站层面要加强对服务落地和实施情况的动态跟进和监测，建立有效的监督评估机制，定期对各片、点的工作进行检查和评估，及时解决存在的问题和困难，确保项目服务质量和内控管理水平不断提升。</w:t>
      </w:r>
    </w:p>
    <w:p w14:paraId="6569E32D">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14:paraId="5FE645D7">
      <w:pPr>
        <w:pStyle w:val="11"/>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22A30393">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9" w:name="bookmark40"/>
      <w:bookmarkEnd w:id="29"/>
    </w:p>
    <w:p w14:paraId="237DEFB7">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不断夯实党建引领。目前有党员社工2名，社工站依托机构党支部红色阵地，构建常态化、制度化的党员学习教育体系，落实党建工作全覆盖，半年内累计开展5场党建知识专题学习，3场主题活动等。同时积极搭建“党建+公益”服务平台，联动9个基层党支部开展14场公益活动，党员志愿者参与103人次，服务群众274人次，链接物资资源超30万元开展扶贫帮困服务，密切党群关系，焕发基层党组织活力。党员社工在“两热”防控，兜底民生服务及资源筹措等方面发挥了先锋模范作用，不但冲在前面，而且带领非党员社工积极配合石碁镇党委各项工作，推动党建与服务同步关联、相互促进。</w:t>
      </w:r>
    </w:p>
    <w:p w14:paraId="3B2A3010">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站年度服务计划清晰具体，具有较强的可操作性，服务执行与产出情况良好。社工站在需求摸查的基础上制定了“‘党建+慈善’共建幸福石碁”为主题的年度服务计划，突出了对困难群众和特殊群体的兜底民生服务。服务计划能有序推进落实，中心整体各项指标完成情况符合进度要求，部分服务指标还能超额完成。</w:t>
      </w:r>
    </w:p>
    <w:p w14:paraId="19D9711B">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站开展的“小改焕新家·慈善暖石碁”特殊困难群体居家微改惠民项目特色鲜明，非常好地契合石碁镇的当前重点工作，成效显著。困难群体居家安全是当前石碁镇重点民生实事，为配合落实这项民生实事，社工站规划了“小改焕新家·慈善暖石碁”特殊困难群体居家微改惠民项目，创新了“党委牵头、部门协同、慈善会+社工站执行”的服务模式，破解传统改造“标准固化”难题；同时推动“硬件改造+软件服务”双核心并行，进一步筑牢兜底网。目前已经完成8户家庭居家微改造，为38户特殊群体提供扶手、轮椅等物资支持，覆盖独居老人、残疾人等多个类别；推行“一户一策”，完成15户家庭需求二次评估，个性化方案获100%确认；募集资金物资超10万元；组建20人专项志愿服务队，召开2场资源对接会，建立“需求—资源—服务”精准对接机制。同时立足社区开展居家安全知识宣传8场、志愿者培训1场，线下服务覆盖超200人次，通过官网、新媒体等宣传项目动态，线上宣传覆盖超3000人次。</w:t>
      </w:r>
    </w:p>
    <w:p w14:paraId="7369BD7E">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社工站积极重视上期评估意见整改。在党建引领方面，社工站另一名党员已经着手开展转移组织关系，在服务规划方面，社工站进行了优化，更加契合民政社会工作服务清单的具体要求，进一步突出兜底民生服务，社工站本年度联动了7个社区社会组织、5个志愿者队伍，培育了1个老年志愿者队伍 持续开展困难群众和特殊群体服务了33场次，服务了1064人次。同时整合了“特色服务项目”“五社联动项目”和“公益慈善项目”，重点更加突出鲜明，服务也更加扎实有效。经问卷调查、电访等方式调查服务对象满意度共113人参与，满意度达95%以上，综合满意度非常高。</w:t>
      </w:r>
    </w:p>
    <w:p w14:paraId="585F86D6">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14:paraId="59D5F258">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30" w:name="bookmark45"/>
      <w:bookmarkEnd w:id="30"/>
      <w:bookmarkStart w:id="31" w:name="bookmark43"/>
      <w:bookmarkEnd w:id="31"/>
      <w:bookmarkStart w:id="32" w:name="bookmark44"/>
      <w:bookmarkEnd w:id="32"/>
    </w:p>
    <w:p w14:paraId="0DFAEC0B">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（1）建议社工站持续夯实党建引领工作。社工站在组织建设和党员管理方面也还有进一步提升完善的空间，继续关注上周期评估中提及的党建方面意见。</w:t>
      </w:r>
    </w:p>
    <w:p w14:paraId="184D11B2">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建议社工站进一步完善和深化“小改焕新家·慈善暖石碁”特殊困难群体居家微改惠民项目。目前项目具有较好的延续性，建议社工站注意做好项目三年规划，分阶段推进和总结项目成效。在微观层面也需要按照规范要求做好服务对象居家微改造相关资料的归档。同时也不断深化项目，突出其经济效益和社会效益，凸显其创新性，打造石碁的兜底民生服务品牌。</w:t>
      </w:r>
    </w:p>
    <w:p w14:paraId="7A421B48">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（3）持续完善广州社工“红棉守护”热线后台服务记录。</w:t>
      </w:r>
    </w:p>
    <w:p w14:paraId="534FD7E6">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14:paraId="0F99683E">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片区一：金山村、桥山村、文边村、凌边村</w:t>
      </w:r>
    </w:p>
    <w:p w14:paraId="02A07B6C">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1D9E46C4">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7F5AB3C0">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bookmarkStart w:id="33" w:name="bookmark47"/>
      <w:bookmarkEnd w:id="33"/>
      <w:bookmarkStart w:id="34" w:name="bookmark46"/>
      <w:bookmarkEnd w:id="34"/>
      <w:bookmarkStart w:id="35" w:name="bookmark48"/>
      <w:bookmarkEnd w:id="35"/>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在地化服务根基夯实，标准化管理落地见效。片区服务团队本土适配能力突出，服务管理严格遵循标准化流程，服务设计类调研计划、调研报告、服务计划等核心文书完成率100%，《社区民政对象分布图》等各类基础台账建档完整率100%，档案索引清晰性、台账精细化程度持续提升，为日常督导、过程核查提供高效支撑。本周期内探访电访累计完成1361人次，困难群众和特殊群体“一人一档”建档307人实现全覆盖，分级动态跟进机制落地，整体服务执行力表现良好。</w:t>
      </w:r>
    </w:p>
    <w:p w14:paraId="062D5F5C">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兜底民生保障体系深化，多元服务落地见实效。“暖阳共筑·碁心保障”兜底民生守护项目成效显著，实现困难群众和特殊群体兜底服务全覆盖，累计整合各类关爱及微改物资估值超2.9万元，惠及服务对象402人次；构建“宣传－对接－赋能”政策服务模式，成功推动17户困难家庭实现民生政策从“被动接受”到“主动申领”的转变，切实缓解群众生活困境。同时落地“小改焕新家·慈善暖石碁”居家微改项目，为24名高跌倒风险特殊困难长者完成居家环境优化，精准配置扶手、轮椅等适老化设备，有效消除居家安全隐患，筑牢困难群体物资、安全与政策三重保障防线，服务成效获服务对象感谢信6篇、媒体报道9篇。</w:t>
      </w:r>
    </w:p>
    <w:p w14:paraId="3C4BDCEA">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专业价值融入服务全流程，五社联动效能初步释放。团队专业实务与资源链接能力凸显，精准运用“需求－资源”匹配模型，围绕困难群体政策申领、居家安全、生活保障等核心需求开展专业服务，累计梳理并解决各类需求24项，政策知晓率、资源匹配精准度获服务对象与社区认可。五社联动机制有效落地，成功培育“银龄暖心”老年志愿队伍1支，联动各类志愿队伍开展特殊困难群体服务2次完成率100%，志愿队伍累计参与专项服务3场次、惠及387人次，为兜底民生服务注入志愿力量，初步形成“社工+慈善+志愿”的协同服务体系。完成一些疑难案例服务并总结提炼材料。</w:t>
      </w:r>
    </w:p>
    <w:p w14:paraId="4C97ABF1">
      <w:pPr>
        <w:pStyle w:val="11"/>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5DEFE680">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64BCA2D4">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1）服务成效深度仍不足，核心指标完成率有提升空间。部分服务仍停留在基础需求满足层面，缺乏对服务对象能力提升、社会功能恢复等维度的量化评估，中长期能力建设跟踪机制尚未建立。从个案小组数据来看核心专业服务推进力度需进一步加强。居家微改的项目，当中的小组活动可以提高推进力度。</w:t>
      </w:r>
    </w:p>
    <w:p w14:paraId="09432648">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2）资源整合系统性欠缺，服务资源配置有待优化。跨部门、跨主体协作仍以临时性联动为主，未制定系统化的年度资源整合计划。慈善资源库结构偏重于物资类支持，教育支持、就业培训等可持续发展类资源储备不足；志愿队伍的服务深度、专业度仍有提升空间，资源配置与服务需求的适配性需进一步优化。</w:t>
      </w:r>
    </w:p>
    <w:p w14:paraId="1A75E33F">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品牌项目孵化待突破，本土化特色未凸显。现有兜底服务、居家微改等项目虽落地见效，但本土化创新力度不足，未充分结合片区文边村农耕文化、凌边村本土特色打造差异化服务品牌，项目辨识度与社会影响力有限。“一村一品”社区赋能项目尚未启动，现有服务与本土文化、社区特色的融合度较低，品牌化建设进程滞后。建议培育本土化特色服务品牌，打造片区服务亮点。依托片区本土文化特色，选取文边村为试点，结合农耕文化设计“邻里互助菜园”项目，参考共享菜园登记管理机制强化社区参与；同时挖掘凌边村本土特色，将非遗文化、乡村特色与兜底服务、长者服务相结合，打造“一村一品”社区赋能项目。以现有“暖阳共筑”“小改焕新家”项目为基础，深化本土化创新与品牌化打造，提升片区服务辨识度与社会影响力。</w:t>
      </w:r>
    </w:p>
    <w:p w14:paraId="3C098ACE">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片区二：大龙社区、岐山社区、塱边村、莲塘村、小龙村</w:t>
      </w:r>
    </w:p>
    <w:p w14:paraId="7B158880">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7A6A7930">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4D3F4A6D">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服务规范化建设深化，整改要求落地见效。片区严格落实石碁镇社工站末期评估整改要求，服务规划与总结类核心工作完成率100%，三图一表、家庭信息汇总表实现村居全覆盖完成，个案服务完成率100%，日常健康维护小组落地完成率100%。广州社工“红棉守护”热线后台服务记录完善，未成年人危机介入等专业流程执行规范，十七类困难群众和特殊群体“一户一档，一人一案”建档实现292户340人100%全覆盖，分级分类服务计划制定、档案动态更新等工作按整改要求落地，服务规范化、精细化水平较上一周期显著提升。</w:t>
      </w:r>
    </w:p>
    <w:p w14:paraId="3BDFA99C">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兜底民生服务精准发力，健康与政策服务特色凸显。聚焦片区困难群体核心需求打造的“暖阳共筑·碁心保障”系列服务成效突出，“用药安康，就医无忧”健康守护服务精准落地，成功推动2名抗拒就医孤寡长者转中医食疗调理并恢复至住院前状态，2名低保患病群体从抵触就医转为规律复诊，链接药盒86个帮助16人提升药物管理能力；“政策速递·春风送暖”服务开展4场民生政策宣传，助力20人次享受低保医疗救助、长护险等政策福利，7人完成医保二次报销，8人核实长护险应享尽享资格，切实打通政策落地“最后一公里”。危机介入服务高效响应，联动岐山居委为特困长者开展就医陪护、情绪疏导等服务，实现政策帮扶闭环，兜底服务的精准性与实效性显著增强。</w:t>
      </w:r>
    </w:p>
    <w:p w14:paraId="366D6286">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五社联动效能持续释放，资源与志愿链接提质增效。片区深度落实石碁镇“五社同心·碁聚温情”服务要求，老年志愿服务队伍培育服务完成率100%，联动志愿者队伍开展困难群众和特殊群体服务达5次，完成率250%；成功联动石碁镇慈善会、各社区基金及爱心企业，链接慈善物资335份，切实回应困难群体物资需求。跨部门协同机制落地见效，针对岐山社区孤寡长者被滋扰的疑难个案，打造“社工站-社区居委－派出所－综治办－律师”五方联动闭环，有效解决服务对象实际问题，形成可复制的跨部门问题解决模式。</w:t>
      </w:r>
    </w:p>
    <w:p w14:paraId="0A927B02">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动态服务机制落地完善，风险防控与需求响应到位。片区建立“探访、电访为主，村居委沟通为辅”的服务模式，目前累计完成电访440人次、探访876人次，服务对象跟踪回访机制100%落实，风险防范工作实现零疏漏。针对困难群体个性化需求开展个案服务5个，结案3个、2个持续跟进，成功发现并解决3项实际问题需求，结合极端天气、重大节日开展关爱服务，进一步筑牢困难群众和特殊群体生活与情感双重保障防线。</w:t>
      </w:r>
    </w:p>
    <w:p w14:paraId="0FA442A9">
      <w:pPr>
        <w:pStyle w:val="11"/>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6B93C49F">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0A841543">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highlight w:val="none"/>
          <w:lang w:val="en-US" w:eastAsia="zh-CN"/>
        </w:rPr>
      </w:pPr>
      <w:bookmarkStart w:id="36" w:name="bookmark57"/>
      <w:bookmarkEnd w:id="36"/>
      <w:r>
        <w:rPr>
          <w:rFonts w:hint="eastAsia" w:ascii="仿宋_GB2312" w:eastAsia="仿宋_GB2312"/>
          <w:sz w:val="32"/>
          <w:szCs w:val="32"/>
          <w:highlight w:val="none"/>
          <w:lang w:val="en-US" w:eastAsia="zh-CN"/>
        </w:rPr>
        <w:t>（1）部分核心指标服务深度是完善服务成效量化评价体系的关键，仍有进一步提升的空间。</w:t>
      </w:r>
    </w:p>
    <w:p w14:paraId="2A35B22F">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2）服务触达与个性化适配方面，落实此前整改要求存在一定难度，如及时在文书中更新服务对象的健康状况、退出情况、政策享受情况、需求变动等动态信息。由于情况不断变化，尤其是对于一些难以接触的服务对象，需想办法加以解决。建议通过社工、村居网格、网格员、志愿者联动探访，制定探访计划，提高入户触达率，建立服务计划动态调整机制，根据服务对象实际需求变化及时调整。</w:t>
      </w:r>
    </w:p>
    <w:p w14:paraId="5F27C452">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（3）优化资源整合、深化五社联动长效机制。目前部分举措属于临时救急性质，可考虑针对需求制定片区年度资源小计划，重点留意补充教育、就业、健康等类别可持续</w:t>
      </w:r>
      <w:bookmarkStart w:id="44" w:name="_GoBack"/>
      <w:bookmarkEnd w:id="44"/>
      <w:r>
        <w:rPr>
          <w:rFonts w:hint="eastAsia" w:ascii="仿宋_GB2312" w:eastAsia="仿宋_GB2312"/>
          <w:sz w:val="32"/>
          <w:szCs w:val="32"/>
          <w:highlight w:val="none"/>
          <w:lang w:val="en-US" w:eastAsia="zh-CN"/>
        </w:rPr>
        <w:t>发展的资源来源，提高社区基金运用效率。</w:t>
      </w:r>
    </w:p>
    <w:p w14:paraId="2391CE6D">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highlight w:val="none"/>
          <w:lang w:val="en-US" w:eastAsia="zh-CN"/>
        </w:rPr>
        <w:t>（4）建议打造具有片区独特性和显著性的特点与亮点。片区内开展了富有意义的服务项目，思考提炼这些项目的辨识度，值得一线社工在服务过程中进行思考。同时片区服务设计需从整体上使片区的发展规划与服务规划相契合，并配合好购买方的工作计划、工作思路，以及国家政策导向，例如某些特定项目的发展趋势等。促使服务能够实现低成本、高效率、高回报的效果，让工作更为省力、便捷。</w:t>
      </w:r>
    </w:p>
    <w:p w14:paraId="2EA2D049">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hint="eastAsia" w:ascii="仿宋_GB2312" w:eastAsia="仿宋_GB2312"/>
          <w:b/>
          <w:sz w:val="32"/>
          <w:szCs w:val="32"/>
          <w:lang w:eastAsia="zh-CN"/>
        </w:rPr>
      </w:pPr>
      <w:r>
        <w:rPr>
          <w:rFonts w:hint="eastAsia" w:ascii="仿宋_GB2312" w:eastAsia="仿宋_GB2312"/>
          <w:b/>
          <w:sz w:val="32"/>
          <w:szCs w:val="32"/>
          <w:lang w:eastAsia="zh-CN"/>
        </w:rPr>
        <w:t>片区三：南浦村、永善村、官涌村、石碁村</w:t>
      </w:r>
    </w:p>
    <w:p w14:paraId="0BFB430D">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14:paraId="5A813197">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bookmarkStart w:id="37" w:name="bookmark58"/>
      <w:bookmarkEnd w:id="37"/>
      <w:bookmarkStart w:id="38" w:name="bookmark59"/>
      <w:bookmarkEnd w:id="38"/>
    </w:p>
    <w:p w14:paraId="44478749">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bookmarkStart w:id="39" w:name="bookmark60"/>
      <w:bookmarkEnd w:id="39"/>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）片区社工执行个案、小组、社区等专业服务流程和指引、建立服务跟踪回访机制，流程指引具有可操作性和指导性，片区社工能按照指引落实执行。</w:t>
      </w:r>
    </w:p>
    <w:p w14:paraId="4D0A40FD">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片区绘制社区资产底图、社区问题地图、服务对象社区分布地图，形成需求分析报告，并制定了年度工作计划。评估周期内共开展建档253户294人（其中2人在本周期退档），实现“一户一档”。抽查建档资料可见社工基本能够按照《困难群众和特殊群体兜底保障社工服务机制》进行分级，制作《服务对象家庭信息汇总表》，动态更新服务信息。</w:t>
      </w:r>
    </w:p>
    <w:p w14:paraId="7E6F80C7">
      <w:pPr>
        <w:pStyle w:val="11"/>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评估周期内，开展兜底民生政策宣传4场，服务困难群众及特殊群体80人次，开展电访、探访1657人次（电访788人次，探访869人次）。开展个案2个，社区活动8场，重大节日慰问2场，对163名困难长者开展了居家安全排查。通过社工访谈，资料查阅片区所开展的专业服务在政策咨询、居家微改造、资源链接等方面发挥了作用。培育安全探访员志愿者队伍，开展志愿专题培训1次，组织志愿者探访困难长者20户。在典型案例方面重点呈现了社区转介的某困难残疾人的居家改造，联动镇慈善会、社区爱心志愿者队伍，成效显著。</w:t>
      </w:r>
    </w:p>
    <w:p w14:paraId="4421A4BB">
      <w:pPr>
        <w:pStyle w:val="11"/>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40" w:lineRule="exact"/>
        <w:ind w:left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14:paraId="77A2039E">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等各类服务工作痕迹记录资料，该项目以下几方面需关注：</w:t>
      </w:r>
    </w:p>
    <w:p w14:paraId="72BBEA7C">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bookmarkStart w:id="40" w:name="bookmark62"/>
      <w:bookmarkEnd w:id="40"/>
      <w:bookmarkStart w:id="41" w:name="bookmark61"/>
      <w:bookmarkEnd w:id="41"/>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通过抽查档案，在困难群众和特殊群体服务建档和“一人一案”计划制定与跟进方面，服务对象基本情况与评级判断相互矛盾，“一人一案”分析与跟进的针对性有待改进。建议片区社工进一步完善建档情况，做好“一人一案”，必要时对服务对象的分级情况进行动态评估。</w:t>
      </w:r>
    </w:p>
    <w:p w14:paraId="7E54B7B0">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color w:val="auto"/>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）针对计划开展居家防跌倒小组，建议在完善“一人一案”分析的基础上，深入挖掘有需求的适龄服务对象，做好数据监测，更好地呈现服务效果和影响力。</w:t>
      </w:r>
    </w:p>
    <w:p w14:paraId="7613A360">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hint="eastAsia" w:ascii="仿宋_GB2312" w:eastAsia="仿宋_GB2312"/>
          <w:b/>
          <w:color w:val="auto"/>
          <w:sz w:val="32"/>
          <w:szCs w:val="32"/>
          <w:lang w:eastAsia="zh-CN"/>
        </w:rPr>
      </w:pPr>
      <w:r>
        <w:rPr>
          <w:rFonts w:hint="eastAsia" w:ascii="仿宋_GB2312" w:eastAsia="仿宋_GB2312"/>
          <w:b/>
          <w:color w:val="auto"/>
          <w:sz w:val="32"/>
          <w:szCs w:val="32"/>
          <w:lang w:eastAsia="zh-CN"/>
        </w:rPr>
        <w:t>片区四：低涌村、海傍村、前锋村</w:t>
      </w:r>
    </w:p>
    <w:p w14:paraId="79D51D4A">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14:paraId="4F3794C0">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076296DE">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lang w:val="en-US" w:eastAsia="zh-CN"/>
        </w:rPr>
        <w:t>1</w:t>
      </w:r>
      <w:r>
        <w:rPr>
          <w:rFonts w:hint="eastAsia" w:ascii="仿宋_GB2312" w:eastAsia="仿宋_GB2312"/>
          <w:b w:val="0"/>
          <w:bCs/>
          <w:color w:val="auto"/>
          <w:sz w:val="32"/>
          <w:szCs w:val="32"/>
          <w:lang w:eastAsia="zh-CN"/>
        </w:rPr>
        <w:t>）片区社工执行个案、小组、社区等专业服务流程和指引、建立服务跟踪回访机制，流程指引具有可操作性和指导性，片区社工能按照指引落实执行。</w:t>
      </w:r>
    </w:p>
    <w:p w14:paraId="1F990BE0">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lang w:val="en-US" w:eastAsia="zh-CN"/>
        </w:rPr>
        <w:t>2</w:t>
      </w:r>
      <w:r>
        <w:rPr>
          <w:rFonts w:hint="eastAsia" w:ascii="仿宋_GB2312" w:eastAsia="仿宋_GB2312"/>
          <w:b w:val="0"/>
          <w:bCs/>
          <w:color w:val="auto"/>
          <w:sz w:val="32"/>
          <w:szCs w:val="32"/>
          <w:lang w:eastAsia="zh-CN"/>
        </w:rPr>
        <w:t>）片区绘制社区资产底图、社区问题地图、服务对象社区分布地图，形成需求分析报告，并制定了年度工作计划。评估周期内共开展建档312户356人（其中6人去世，9人退档），实现“一户一档”。抽查建档资料可见社工基本能够按照《困难群众和特殊群体兜底保障社工服务机制》进行分级，制作《服务对象家庭信息汇总表》，动态更新服务信息。</w:t>
      </w:r>
    </w:p>
    <w:p w14:paraId="7ED8B2A7">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w:t>
      </w:r>
      <w:r>
        <w:rPr>
          <w:rFonts w:hint="eastAsia" w:ascii="仿宋_GB2312" w:eastAsia="仿宋_GB2312"/>
          <w:b w:val="0"/>
          <w:bCs/>
          <w:color w:val="auto"/>
          <w:sz w:val="32"/>
          <w:szCs w:val="32"/>
          <w:lang w:val="en-US" w:eastAsia="zh-CN"/>
        </w:rPr>
        <w:t>3</w:t>
      </w:r>
      <w:r>
        <w:rPr>
          <w:rFonts w:hint="eastAsia" w:ascii="仿宋_GB2312" w:eastAsia="仿宋_GB2312"/>
          <w:b w:val="0"/>
          <w:bCs/>
          <w:color w:val="auto"/>
          <w:sz w:val="32"/>
          <w:szCs w:val="32"/>
          <w:lang w:eastAsia="zh-CN"/>
        </w:rPr>
        <w:t>）评估周期内，开展兜底民生政策宣传4场，服务困难群众和特殊群体116人次，成功协助1名残疾人申请低保政策。开展电访272人次，探访926人次。开展个案5个，重点节日慰问2场，社区活动11场，重点开展失能、半失能服务对象专业个案服务3人，有效提升了服务对象的生活质量。通过社工访谈，资料查阅片区所开展的专业服务在情绪支持、资源链接、多元服务方式提供等方面发挥了作用。联动志愿者队伍1支，动员36名志愿者参与关爱长者、青少年儿童服务项目。</w:t>
      </w:r>
    </w:p>
    <w:p w14:paraId="072F02F6">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3" w:firstLineChars="200"/>
        <w:jc w:val="both"/>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2.需要关注的地方</w:t>
      </w:r>
    </w:p>
    <w:p w14:paraId="2D222E83">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14:paraId="28612732">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1）通过抽查档案，在困难群众和特殊群体服务建档和“一人一案”计划制定与跟进方面，服务对象基本情况与评级判断相互矛盾，“一人一案”分析与跟进的针对性有待改进。建议片区社工进一步完善建档情况，做好“一人一案”，必要时对服务对象的分级情况进行动态评估。</w:t>
      </w:r>
    </w:p>
    <w:p w14:paraId="77F088A1">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default" w:ascii="仿宋_GB2312" w:eastAsia="仿宋_GB2312"/>
          <w:b/>
          <w:bCs w:val="0"/>
          <w:color w:val="auto"/>
          <w:sz w:val="32"/>
          <w:szCs w:val="32"/>
          <w:lang w:val="en-US" w:eastAsia="zh-CN"/>
        </w:rPr>
      </w:pPr>
      <w:r>
        <w:rPr>
          <w:rFonts w:hint="eastAsia" w:ascii="仿宋_GB2312" w:eastAsia="仿宋_GB2312"/>
          <w:b w:val="0"/>
          <w:bCs/>
          <w:color w:val="auto"/>
          <w:sz w:val="32"/>
          <w:szCs w:val="32"/>
          <w:lang w:val="en-US" w:eastAsia="zh-CN"/>
        </w:rPr>
        <w:t>（2）针对专业个案服务，建议能够结合服务对象家庭情况，分析服务对象非正式支持网络可以在服务对象问题解决和需求满足方面的作用，以进一步巩固服务成效。</w:t>
      </w:r>
      <w:r>
        <w:rPr>
          <w:rFonts w:hint="default" w:ascii="仿宋_GB2312" w:eastAsia="仿宋_GB2312"/>
          <w:b/>
          <w:bCs w:val="0"/>
          <w:color w:val="auto"/>
          <w:sz w:val="32"/>
          <w:szCs w:val="32"/>
          <w:lang w:val="en-US" w:eastAsia="zh-CN"/>
        </w:rPr>
        <w:t xml:space="preserve">                                             </w:t>
      </w:r>
    </w:p>
    <w:p w14:paraId="24172552">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hint="eastAsia" w:ascii="仿宋_GB2312" w:eastAsia="仿宋_GB2312"/>
          <w:b/>
          <w:color w:val="auto"/>
          <w:sz w:val="32"/>
          <w:szCs w:val="32"/>
          <w:lang w:val="en-US" w:eastAsia="zh-CN"/>
        </w:rPr>
      </w:pPr>
      <w:r>
        <w:rPr>
          <w:rFonts w:hint="eastAsia" w:ascii="仿宋_GB2312" w:eastAsia="仿宋_GB2312"/>
          <w:b/>
          <w:color w:val="auto"/>
          <w:sz w:val="32"/>
          <w:szCs w:val="32"/>
          <w:lang w:eastAsia="zh-CN"/>
        </w:rPr>
        <w:t>片区五：长坦村、雁洲村、大刀沙村</w:t>
      </w:r>
    </w:p>
    <w:p w14:paraId="16F4CF5F">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14:paraId="075DD368">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65B7D616">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1）服务设计系统全面，贴合片区实际情况与需求层次。片区服务设计了“暖阳共筑，碁心保障”兜底民生守护项目、“小改焕新家·慈善暖石碁”特殊困难群体民生微改惠民项目、“五社同心，碁聚温情”共建幸福石碁服务项目等三大项目，三大项目的设计具有较好的系统性与层次性：“暖阳共筑”项目注重情感支持与政策对接；“小改焕新家”项目聚焦居家安全环境改善；“五社同心”项目着力于资源整合与志愿力量培育，项目内容基本覆盖了困难群体在生存保障、安全环境、社会融入、能力建设等多维需求，结构清晰、重点突出。</w:t>
      </w:r>
    </w:p>
    <w:p w14:paraId="473A96F5">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2）积极响应并解决服务对象实际困难，政策衔接精准有效。社工以“一户一档”为基础，通过常态探访精准识别需求，累计发现需求34个，已解决31个，解决率达91.2%。尤其在政策衔接与落实方面成效突出，累计协助11名困难群众成功对接并落实相关政策支持，服务涵盖长护险、残疾人两项补贴、最低生活保障、临时救助、长者配餐等多种类型，切实提升了困难群体利用政策资源的能力与生活质量，体现了服务的精准性与实效性。</w:t>
      </w:r>
    </w:p>
    <w:p w14:paraId="3777C7AE">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3）居家安全干预扎实有效，风险防范能力提升明显。围绕“小改焕新家”项目，累计开展居家安全知识宣传与讲座8场，服务407人次，超90%参与者反馈掌握了实用安全知识。完成电线改造3户、整体改造1户、微改造11户，为20户困难家庭链接并安装扶手、防滑垫、洗浴凳、轮椅等安全辅具。通过系统干预，片区高风险困难群众占比从41%降至32%，居家安全防线得到实质性加固，相关服务获“广州社协”“社会与公益杂志”等公众号报道，形成良好社会反响。</w:t>
      </w:r>
    </w:p>
    <w:p w14:paraId="66CFB826">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left="800" w:leftChars="0"/>
        <w:jc w:val="both"/>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2.需要关注的地方</w:t>
      </w:r>
    </w:p>
    <w:p w14:paraId="2A3A5F90">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14:paraId="1EB2085E">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需求分析缺乏数据与过程支撑，结论可信度有待提升。需求评估报告中结论中的多项需求比例未提供调研记录、访谈纪要或数据分析过程佐证。房屋安全风险群体的数量、意识/能力现状的评估依据也未明确说明。建议补充需求调研的过程性材料，如访谈记录、问卷分析、社区观察笔记等，增强需求判断的客观性与依据性。</w:t>
      </w:r>
    </w:p>
    <w:p w14:paraId="4C1EBF4A">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区“三图”可视化程度低、分析应用脱节，未能有效发挥支撑服务规划的基础工具作用。社区“三图”主要存在三方面不足：一是社区服务对象分布地图仅用颜色区分来区分不同服务对象，且部分服务对象分布图缺乏基础地理信息（如道路、片区边界），总体而言直观性较低；二是社区问题地图和社区资产地图的图标区分度不足，部分地图模糊不清；三是社区资产地图虽然能够对资产进行分类，但是未能用不同图标表示不同的资源，而且社区资产图中的资产跟社区问题图、服务对象分布图中所需要的资源的关联度不足，导致“三图”彼此孤立，无法直接指导资源链接与服务介入。建议统一制图规范，补充必要地理信息，采用差异化图标系统；强化关联分析，呈现“服务对象－社区问题－社区资产”的空间关系；将优化后的“三图”作为服务规划的动态依据，定期更新，使其真正成为精准识别需求、高效链接资源、科学设计服务方案的可视化决策工具。</w:t>
      </w:r>
    </w:p>
    <w:p w14:paraId="2FF28099">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服务对象档案管理不够规范，分级评估动态更新不足。部分档案存在信息不全、评估矛盾、更新滞后等问题，如：服务对象因居住养老院直接定为6级，未填写完整分级表；存在服务对象的心理状况未勾选、社交描述与评估选项矛盾、经济状况与居家环境评估不一致等情况。建议加强档案管理的培训，明确分级评估操作指引，同时完善加强档案资料填写，更加清晰地呈现建档对象的情况；建立档案复核与动态更新机制，确保信息准确、评估一致。</w:t>
      </w:r>
    </w:p>
    <w:p w14:paraId="56BAEF9E">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left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14:paraId="09080E16">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14:paraId="02A68A39">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经访谈，购买方（</w:t>
      </w:r>
      <w:r>
        <w:rPr>
          <w:rFonts w:hint="eastAsia" w:ascii="仿宋_GB2312" w:eastAsia="仿宋_GB2312"/>
          <w:sz w:val="32"/>
          <w:szCs w:val="32"/>
          <w:lang w:eastAsia="zh-CN"/>
        </w:rPr>
        <w:t>石碁镇人民政府</w:t>
      </w:r>
      <w:r>
        <w:rPr>
          <w:rFonts w:hint="eastAsia" w:ascii="仿宋_GB2312" w:eastAsia="仿宋_GB2312"/>
          <w:sz w:val="32"/>
          <w:szCs w:val="32"/>
        </w:rPr>
        <w:t>）代表认为，</w:t>
      </w:r>
      <w:r>
        <w:rPr>
          <w:rFonts w:hint="eastAsia" w:ascii="仿宋_GB2312" w:eastAsia="仿宋_GB2312"/>
          <w:sz w:val="32"/>
          <w:szCs w:val="32"/>
          <w:lang w:eastAsia="zh-CN"/>
        </w:rPr>
        <w:t>社工工作态度良好，主动服务，积极配合镇各职能部门和各村居开展工作；社工站与石碁镇人民政府保持沟通联系，每月定期提交工作简报、汇报服务数据，主动交流突发情况和遇到的困难及解决方案。</w:t>
      </w:r>
    </w:p>
    <w:p w14:paraId="6996948A">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14:paraId="4784E447">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rPr>
        <w:t>经访谈，购买方（</w:t>
      </w:r>
      <w:r>
        <w:rPr>
          <w:rFonts w:hint="eastAsia" w:ascii="仿宋_GB2312" w:eastAsia="仿宋_GB2312"/>
          <w:sz w:val="32"/>
          <w:szCs w:val="32"/>
          <w:lang w:eastAsia="zh-CN"/>
        </w:rPr>
        <w:t>石碁镇人民政府</w:t>
      </w:r>
      <w:r>
        <w:rPr>
          <w:rFonts w:hint="eastAsia" w:ascii="仿宋_GB2312" w:eastAsia="仿宋_GB2312"/>
          <w:sz w:val="32"/>
          <w:szCs w:val="32"/>
        </w:rPr>
        <w:t>）代表认为，</w:t>
      </w:r>
      <w:r>
        <w:rPr>
          <w:rFonts w:hint="eastAsia" w:ascii="仿宋_GB2312" w:eastAsia="仿宋_GB2312"/>
          <w:sz w:val="32"/>
          <w:szCs w:val="32"/>
          <w:lang w:eastAsia="zh-CN"/>
        </w:rPr>
        <w:t>社工站要鼓励未持证的员工积极参与考证，进一步提升站点的持证水平。</w:t>
      </w:r>
    </w:p>
    <w:p w14:paraId="22AD1646">
      <w:pPr>
        <w:pStyle w:val="11"/>
        <w:keepNext w:val="0"/>
        <w:keepLines w:val="0"/>
        <w:pageBreakBefore w:val="0"/>
        <w:widowControl w:val="0"/>
        <w:numPr>
          <w:ilvl w:val="0"/>
          <w:numId w:val="2"/>
        </w:numPr>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16BC05F2">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7A3F8F23">
      <w:pPr>
        <w:pStyle w:val="11"/>
        <w:keepNext w:val="0"/>
        <w:keepLines w:val="0"/>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36E664B5">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项目社工能力提升工作持续优化。结合上期评估意见，项目进一步厘清“共学”与“培训”的内涵边界，建立了更为清晰的培训、督导、共学与交流互访计划。并充分动员内部督导与资深社工常态化开展主题共学，积极盘活机构内部资源，联动优秀项目开展互访交流，促进经验共享。同时优化计划推进的监测机制，通过季度面谈、成长记录检视、督导评价等方式跟踪执行情况，具有较强的过程管理与改进意识。</w:t>
      </w:r>
    </w:p>
    <w:p w14:paraId="23CF2E21">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高度重视与购买方、监督方的常态化沟通与深度协作。副站长坚持每月主动向站长专题汇报工作进展，并多次邀请其实地参与服务活动、深入调研站点运营，通过面对面的交流增进理解、凝聚共识。项目积极主动沟通，推动各方对项目情况及时掌握，为项目持续健康发展奠定了坚实的信任基础与合作框架。</w:t>
      </w:r>
    </w:p>
    <w:p w14:paraId="0BC17221">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项目成果宣传取得良好效果。在服务宣传方面，项目探索宣传骨干示范带动、团队整体提升的宣传培养路径，依托公众号、社群、公告栏等多元渠道及时发布服务动态，并积极联动国家、省、市、区、街道等各级媒体平台10余家，尤其与区融媒体建立深度合作，对“微改造”等项目进行系列报道，起到较好的宣传效果。在实务研究方面，项目能够结合能力提升计划，推动内部产出多篇涵盖长者照护支持、困境儿童介入、残障人士帮扶等服务案例，并探索数字化工具绘制“社区三图”，通过日常走访精准定位服务对象，形成实操性指导，为后续深化研究积累了有益探索经验。</w:t>
      </w:r>
    </w:p>
    <w:p w14:paraId="52668B36">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14:paraId="389CFDE9">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14:paraId="1FCF86CA">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bookmarkStart w:id="42" w:name="bookmark86"/>
      <w:r>
        <w:rPr>
          <w:rFonts w:hint="eastAsia" w:ascii="仿宋_GB2312" w:eastAsia="仿宋_GB2312"/>
          <w:sz w:val="32"/>
          <w:szCs w:val="32"/>
          <w:lang w:val="en-US" w:eastAsia="zh-CN"/>
        </w:rPr>
        <w:t>（1）项目团队能力建设工作仍有提升空间。建议进一步强化目标管理，围绕分层分类需求建立可衡量的目标，加强对督导评价与成效结果的科学分析与反馈，更客观、精准地检视目标达成情况，为下一阶段工作提供改进方向。同时，健全内部督导培养与激励机制，建立常态化、可持续的骨干培养机制，激发内部督导队伍的内生动力，为团队能力提升提供可持续的人才支撑。</w:t>
      </w:r>
    </w:p>
    <w:p w14:paraId="410C1B1D">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实务研究成果的理论深度与外部影响力仍需突破。建议在现有实务案例及内部课件产出的基础上，进一步加强对服务经验的理论研究，系统总结可复制、可推广的服务模式，并推动研究成果在更广平台输出，持续提升项目的专业影响力与行业认可度。</w:t>
      </w:r>
    </w:p>
    <w:p w14:paraId="1BB32848">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三、评估反馈</w:t>
      </w:r>
    </w:p>
    <w:p w14:paraId="5DDAD81A">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评估反馈主要分为两大环节，一是现场反馈环节，二是对评估报告初稿的意见反馈环节。本次石碁镇社工站的反馈如下：</w:t>
      </w:r>
    </w:p>
    <w:p w14:paraId="191D76BA">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：经过为期一天的评估，评委针对石碁镇社工站的情况，进行了现场总结反馈，在总结反馈环节，石碁镇社工站表示对评委们提出的意见和建议无异议。</w:t>
      </w:r>
    </w:p>
    <w:p w14:paraId="6788B990">
      <w:pPr>
        <w:pStyle w:val="11"/>
        <w:keepNext w:val="0"/>
        <w:keepLines w:val="0"/>
        <w:pageBreakBefore w:val="0"/>
        <w:widowControl w:val="0"/>
        <w:kinsoku/>
        <w:wordWrap/>
        <w:overflowPunct/>
        <w:topLinePunct w:val="0"/>
        <w:autoSpaceDE/>
        <w:autoSpaceDN/>
        <w:bidi w:val="0"/>
        <w:adjustRightInd/>
        <w:snapToGrid/>
        <w:spacing w:after="120" w:line="560" w:lineRule="exact"/>
        <w:ind w:firstLine="643" w:firstLineChars="200"/>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：番禺区民政局、石碁镇人民政府、石碁镇社工站对评估报告初稿无异议。</w:t>
      </w:r>
    </w:p>
    <w:bookmarkEnd w:id="42"/>
    <w:p w14:paraId="5D808957">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14:paraId="34D70176">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543E8CBB">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经过评估，石碁镇社工站本次中期评估的等级为</w:t>
      </w:r>
      <w:r>
        <w:rPr>
          <w:rFonts w:hint="eastAsia" w:ascii="仿宋_GB2312" w:eastAsia="仿宋_GB2312"/>
          <w:b/>
          <w:bCs/>
          <w:sz w:val="32"/>
          <w:szCs w:val="32"/>
          <w:lang w:val="en-US" w:eastAsia="zh-CN"/>
        </w:rPr>
        <w:t>“良好”（88.15分）</w:t>
      </w:r>
      <w:r>
        <w:rPr>
          <w:rFonts w:hint="eastAsia" w:ascii="仿宋_GB2312" w:eastAsia="仿宋_GB2312"/>
          <w:sz w:val="32"/>
          <w:szCs w:val="32"/>
          <w:lang w:val="en-US" w:eastAsia="zh-CN"/>
        </w:rPr>
        <w:t>。</w:t>
      </w:r>
    </w:p>
    <w:p w14:paraId="1C7EB42C">
      <w:pPr>
        <w:pStyle w:val="11"/>
        <w:spacing w:after="0"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5"/>
        <w:gridCol w:w="1508"/>
        <w:gridCol w:w="1514"/>
        <w:gridCol w:w="1756"/>
      </w:tblGrid>
      <w:tr w14:paraId="09E31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48C38914">
            <w:pPr>
              <w:pStyle w:val="11"/>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noWrap w:val="0"/>
            <w:vAlign w:val="center"/>
          </w:tcPr>
          <w:p w14:paraId="03815BEB">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08AD020B">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58ED104E">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66C6A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65389E23">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14:paraId="6A0DBEBE">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7F344B69">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46</w:t>
            </w:r>
          </w:p>
        </w:tc>
        <w:tc>
          <w:tcPr>
            <w:tcW w:w="848" w:type="pct"/>
            <w:noWrap w:val="0"/>
            <w:vAlign w:val="center"/>
          </w:tcPr>
          <w:p w14:paraId="0ADF0459">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46</w:t>
            </w:r>
          </w:p>
        </w:tc>
      </w:tr>
      <w:tr w14:paraId="69C83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02312A2A">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购买方</w:t>
            </w:r>
          </w:p>
        </w:tc>
        <w:tc>
          <w:tcPr>
            <w:tcW w:w="728" w:type="pct"/>
            <w:noWrap w:val="0"/>
            <w:vAlign w:val="center"/>
          </w:tcPr>
          <w:p w14:paraId="0E167168">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48A2522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14:paraId="7E6FAA88">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14:paraId="7764D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9B38D60">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14:paraId="6590DDEC">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555412B5">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3.15</w:t>
            </w:r>
          </w:p>
        </w:tc>
        <w:tc>
          <w:tcPr>
            <w:tcW w:w="848" w:type="pct"/>
            <w:noWrap w:val="0"/>
            <w:vAlign w:val="center"/>
          </w:tcPr>
          <w:p w14:paraId="1C75EFB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3.15</w:t>
            </w:r>
          </w:p>
        </w:tc>
      </w:tr>
      <w:tr w14:paraId="6F33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F0A24F5">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监督方</w:t>
            </w:r>
          </w:p>
        </w:tc>
        <w:tc>
          <w:tcPr>
            <w:tcW w:w="728" w:type="pct"/>
            <w:noWrap w:val="0"/>
            <w:vAlign w:val="center"/>
          </w:tcPr>
          <w:p w14:paraId="3DFDC604">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4CFECF2D">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c>
          <w:tcPr>
            <w:tcW w:w="848" w:type="pct"/>
            <w:noWrap w:val="0"/>
            <w:vAlign w:val="center"/>
          </w:tcPr>
          <w:p w14:paraId="51F9792F">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14:paraId="2614F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12C48D44">
            <w:pPr>
              <w:pStyle w:val="11"/>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2D1D777C">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88.15</w:t>
            </w:r>
          </w:p>
        </w:tc>
      </w:tr>
    </w:tbl>
    <w:p w14:paraId="125E1735">
      <w:pPr>
        <w:pStyle w:val="11"/>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方正小标宋简体" w:hAnsi="方正小标宋简体" w:eastAsia="方正小标宋简体" w:cs="方正小标宋简体"/>
          <w:sz w:val="32"/>
          <w:szCs w:val="32"/>
        </w:rPr>
      </w:pPr>
      <w:bookmarkStart w:id="43" w:name="bookmark87"/>
      <w:r>
        <w:rPr>
          <w:rFonts w:hint="eastAsia" w:ascii="方正小标宋简体" w:hAnsi="方正小标宋简体" w:eastAsia="方正小标宋简体" w:cs="方正小标宋简体"/>
          <w:b/>
          <w:bCs/>
          <w:sz w:val="32"/>
          <w:szCs w:val="32"/>
        </w:rPr>
        <w:t>五</w:t>
      </w:r>
      <w:bookmarkEnd w:id="43"/>
      <w:r>
        <w:rPr>
          <w:rFonts w:hint="eastAsia" w:ascii="方正小标宋简体" w:hAnsi="方正小标宋简体" w:eastAsia="方正小标宋简体" w:cs="方正小标宋简体"/>
          <w:b/>
          <w:bCs/>
          <w:sz w:val="32"/>
          <w:szCs w:val="32"/>
        </w:rPr>
        <w:t>、结语</w:t>
      </w:r>
    </w:p>
    <w:p w14:paraId="073F0204">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石碁镇社工服务站在番禺区民政局、</w:t>
      </w:r>
      <w:r>
        <w:rPr>
          <w:rFonts w:hint="eastAsia" w:ascii="仿宋_GB2312" w:eastAsia="仿宋_GB2312"/>
          <w:color w:val="auto"/>
          <w:sz w:val="32"/>
          <w:szCs w:val="32"/>
          <w:lang w:eastAsia="zh-CN"/>
        </w:rPr>
        <w:t>石碁镇党委和石碁镇人民政府</w:t>
      </w:r>
      <w:r>
        <w:rPr>
          <w:rFonts w:hint="eastAsia" w:ascii="仿宋_GB2312" w:eastAsia="仿宋_GB2312"/>
          <w:sz w:val="32"/>
          <w:szCs w:val="32"/>
          <w:lang w:eastAsia="zh-CN"/>
        </w:rPr>
        <w:t>的大力支持下，在广州市阳光天使社会工作服务中心的努力下，</w:t>
      </w:r>
      <w:r>
        <w:rPr>
          <w:rFonts w:hint="eastAsia" w:ascii="仿宋_GB2312" w:eastAsia="仿宋_GB2312"/>
          <w:sz w:val="32"/>
          <w:szCs w:val="32"/>
          <w:lang w:val="en-US" w:eastAsia="zh-CN"/>
        </w:rPr>
        <w:t>社工站人员管理情况良好，工作认真负责，积极构建多元化的社区宣传网络，持续提升社工站的社会知名度和影响力，积极配合镇各职能部门和各村居开展工作，关注辖区内的困难群众和特殊困难群体，服务对象的满意度较高。</w:t>
      </w:r>
    </w:p>
    <w:p w14:paraId="0726E0AD">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建议石碁镇社工站持续夯实党建引领工作，提升持证人员比例，完善服务意见收集机制，完善困难群众和特殊群体的建档情况，做好“一人一案”，明确分级评估操作指引，完善“三图”，统一制图规范。优化资源整合，深化五社联动长效机制建设，聚焦专业提升，完善提炼典型案例“问题聚焦—需求分析—解决策略—服务成效”的标准化框架，形成体系化的服务成效总结，打造片区特色服务品牌。</w:t>
      </w:r>
    </w:p>
    <w:p w14:paraId="05EE503A">
      <w:pPr>
        <w:pStyle w:val="11"/>
        <w:spacing w:after="160" w:line="560" w:lineRule="exact"/>
        <w:ind w:left="0" w:leftChars="0" w:firstLine="0" w:firstLineChars="0"/>
        <w:rPr>
          <w:rFonts w:ascii="仿宋_GB2312" w:eastAsia="仿宋_GB2312"/>
          <w:sz w:val="32"/>
          <w:szCs w:val="32"/>
        </w:rPr>
      </w:pPr>
    </w:p>
    <w:p w14:paraId="6B46B41C">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附件：1.石碁镇社工服务站指标完成情况统计表</w:t>
      </w:r>
    </w:p>
    <w:p w14:paraId="2B9223A1">
      <w:pPr>
        <w:pStyle w:val="11"/>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eastAsia="仿宋_GB2312"/>
          <w:sz w:val="32"/>
          <w:szCs w:val="32"/>
          <w:lang w:val="en-US" w:eastAsia="zh-CN"/>
        </w:rPr>
        <w:t>2.石碁镇社工服务站工作人员情况统计表</w:t>
      </w:r>
    </w:p>
    <w:p w14:paraId="351DC3DC">
      <w:pPr>
        <w:tabs>
          <w:tab w:val="left" w:pos="1960"/>
        </w:tabs>
        <w:spacing w:line="560" w:lineRule="exact"/>
        <w:rPr>
          <w:rFonts w:hint="eastAsia" w:ascii="仿宋_GB2312" w:hAnsi="仿宋_GB2312" w:eastAsia="仿宋_GB2312" w:cs="仿宋_GB2312"/>
          <w:sz w:val="32"/>
          <w:szCs w:val="32"/>
          <w:lang w:eastAsia="zh-CN"/>
        </w:rPr>
      </w:pPr>
    </w:p>
    <w:p w14:paraId="6B409B7B">
      <w:pPr>
        <w:tabs>
          <w:tab w:val="left" w:pos="1960"/>
        </w:tabs>
        <w:spacing w:line="560" w:lineRule="exact"/>
        <w:rPr>
          <w:rFonts w:hint="eastAsia" w:ascii="仿宋_GB2312" w:hAnsi="仿宋_GB2312" w:eastAsia="仿宋_GB2312" w:cs="仿宋_GB2312"/>
          <w:sz w:val="32"/>
          <w:szCs w:val="32"/>
          <w:lang w:eastAsia="zh-CN"/>
        </w:rPr>
      </w:pPr>
    </w:p>
    <w:p w14:paraId="0508255A">
      <w:pPr>
        <w:tabs>
          <w:tab w:val="left" w:pos="1960"/>
        </w:tabs>
        <w:spacing w:line="560" w:lineRule="exact"/>
        <w:rPr>
          <w:rFonts w:hint="eastAsia" w:ascii="仿宋_GB2312" w:hAnsi="仿宋_GB2312" w:eastAsia="仿宋_GB2312" w:cs="仿宋_GB2312"/>
          <w:sz w:val="32"/>
          <w:szCs w:val="32"/>
          <w:lang w:eastAsia="zh-CN"/>
        </w:rPr>
      </w:pPr>
    </w:p>
    <w:p w14:paraId="501CAFF2">
      <w:pPr>
        <w:tabs>
          <w:tab w:val="left" w:pos="1960"/>
        </w:tabs>
        <w:spacing w:line="560" w:lineRule="exact"/>
        <w:ind w:firstLine="5120" w:firstLineChars="16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广州市番禺区社会组织联合会</w:t>
      </w:r>
    </w:p>
    <w:p w14:paraId="4894787C">
      <w:pPr>
        <w:tabs>
          <w:tab w:val="left" w:pos="1960"/>
        </w:tabs>
        <w:spacing w:line="560" w:lineRule="exact"/>
        <w:ind w:firstLine="6400" w:firstLineChars="2000"/>
        <w:rPr>
          <w:rFonts w:hint="eastAsia"/>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日</w:t>
      </w:r>
    </w:p>
    <w:sectPr>
      <w:footerReference r:id="rId3" w:type="default"/>
      <w:footerReference r:id="rId4" w:type="even"/>
      <w:pgSz w:w="11900" w:h="16840"/>
      <w:pgMar w:top="1298" w:right="879" w:bottom="1372" w:left="884"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7C350">
    <w:pPr>
      <w:pStyle w:val="3"/>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A09D9C">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32A09D9C">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98346">
    <w:pPr>
      <w:pStyle w:val="3"/>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7A3289">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577A3289">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7"/>
    <w:multiLevelType w:val="singleLevel"/>
    <w:tmpl w:val="00000007"/>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7A652B"/>
    <w:rsid w:val="00060BA1"/>
    <w:rsid w:val="00074709"/>
    <w:rsid w:val="000A0900"/>
    <w:rsid w:val="000B3DAE"/>
    <w:rsid w:val="000D5928"/>
    <w:rsid w:val="00100EBB"/>
    <w:rsid w:val="0012595B"/>
    <w:rsid w:val="00157E47"/>
    <w:rsid w:val="0018010D"/>
    <w:rsid w:val="00186418"/>
    <w:rsid w:val="001D2782"/>
    <w:rsid w:val="001D2B83"/>
    <w:rsid w:val="00206D04"/>
    <w:rsid w:val="00212EC9"/>
    <w:rsid w:val="002154A1"/>
    <w:rsid w:val="002327CA"/>
    <w:rsid w:val="00234BF7"/>
    <w:rsid w:val="00253F6B"/>
    <w:rsid w:val="0027170F"/>
    <w:rsid w:val="002D05DE"/>
    <w:rsid w:val="00317FA2"/>
    <w:rsid w:val="00350F47"/>
    <w:rsid w:val="003665AE"/>
    <w:rsid w:val="003669C1"/>
    <w:rsid w:val="003803C8"/>
    <w:rsid w:val="003C77C6"/>
    <w:rsid w:val="003E3ADE"/>
    <w:rsid w:val="00411967"/>
    <w:rsid w:val="00422D04"/>
    <w:rsid w:val="00427C8B"/>
    <w:rsid w:val="0043145C"/>
    <w:rsid w:val="00454645"/>
    <w:rsid w:val="00460DFB"/>
    <w:rsid w:val="00472704"/>
    <w:rsid w:val="00494EC2"/>
    <w:rsid w:val="004B4603"/>
    <w:rsid w:val="004C08B5"/>
    <w:rsid w:val="004C39BE"/>
    <w:rsid w:val="004D275E"/>
    <w:rsid w:val="004D63C6"/>
    <w:rsid w:val="004E1129"/>
    <w:rsid w:val="004E68D2"/>
    <w:rsid w:val="00551005"/>
    <w:rsid w:val="005870E4"/>
    <w:rsid w:val="00592E2C"/>
    <w:rsid w:val="005E26E4"/>
    <w:rsid w:val="005F2CD6"/>
    <w:rsid w:val="005F43E0"/>
    <w:rsid w:val="005F731D"/>
    <w:rsid w:val="006030FC"/>
    <w:rsid w:val="00621D94"/>
    <w:rsid w:val="006B287E"/>
    <w:rsid w:val="006C3B93"/>
    <w:rsid w:val="00722105"/>
    <w:rsid w:val="00725084"/>
    <w:rsid w:val="00735243"/>
    <w:rsid w:val="00755D16"/>
    <w:rsid w:val="00775053"/>
    <w:rsid w:val="007A652B"/>
    <w:rsid w:val="007A70D6"/>
    <w:rsid w:val="007C21CD"/>
    <w:rsid w:val="007E71CF"/>
    <w:rsid w:val="007F0C37"/>
    <w:rsid w:val="00815087"/>
    <w:rsid w:val="00851DFE"/>
    <w:rsid w:val="008538F3"/>
    <w:rsid w:val="00880358"/>
    <w:rsid w:val="0089092A"/>
    <w:rsid w:val="008B383B"/>
    <w:rsid w:val="008C125C"/>
    <w:rsid w:val="008C5415"/>
    <w:rsid w:val="00907658"/>
    <w:rsid w:val="009120D0"/>
    <w:rsid w:val="00917057"/>
    <w:rsid w:val="009445F8"/>
    <w:rsid w:val="00972F07"/>
    <w:rsid w:val="00983E06"/>
    <w:rsid w:val="0098709A"/>
    <w:rsid w:val="009C606E"/>
    <w:rsid w:val="009E2FF6"/>
    <w:rsid w:val="009F7F69"/>
    <w:rsid w:val="00A014E1"/>
    <w:rsid w:val="00A40E6C"/>
    <w:rsid w:val="00A60E1C"/>
    <w:rsid w:val="00A76D16"/>
    <w:rsid w:val="00A824A1"/>
    <w:rsid w:val="00AB0C45"/>
    <w:rsid w:val="00AC3733"/>
    <w:rsid w:val="00AC5FDD"/>
    <w:rsid w:val="00B1281B"/>
    <w:rsid w:val="00B17816"/>
    <w:rsid w:val="00B3659A"/>
    <w:rsid w:val="00B70EE4"/>
    <w:rsid w:val="00BA63BD"/>
    <w:rsid w:val="00BC269B"/>
    <w:rsid w:val="00C429AC"/>
    <w:rsid w:val="00C71ADB"/>
    <w:rsid w:val="00CB390D"/>
    <w:rsid w:val="00CC190C"/>
    <w:rsid w:val="00CD6A08"/>
    <w:rsid w:val="00CD7A60"/>
    <w:rsid w:val="00CF18CD"/>
    <w:rsid w:val="00D05FB1"/>
    <w:rsid w:val="00D14CC9"/>
    <w:rsid w:val="00D176FF"/>
    <w:rsid w:val="00D21EDF"/>
    <w:rsid w:val="00D81DB4"/>
    <w:rsid w:val="00DB28B2"/>
    <w:rsid w:val="00DB7BCB"/>
    <w:rsid w:val="00DC025C"/>
    <w:rsid w:val="00DD1554"/>
    <w:rsid w:val="00E0354E"/>
    <w:rsid w:val="00E75BAC"/>
    <w:rsid w:val="00E840C1"/>
    <w:rsid w:val="00EB3B89"/>
    <w:rsid w:val="00EF06EA"/>
    <w:rsid w:val="00F27336"/>
    <w:rsid w:val="00F30FE5"/>
    <w:rsid w:val="00F32FDD"/>
    <w:rsid w:val="00F45A3B"/>
    <w:rsid w:val="00FE4689"/>
    <w:rsid w:val="02A20B47"/>
    <w:rsid w:val="02BC3862"/>
    <w:rsid w:val="04F87532"/>
    <w:rsid w:val="080B7CE8"/>
    <w:rsid w:val="091719C1"/>
    <w:rsid w:val="0CAD0F0E"/>
    <w:rsid w:val="0DFA2141"/>
    <w:rsid w:val="0F5F621B"/>
    <w:rsid w:val="11DF6E40"/>
    <w:rsid w:val="12A57677"/>
    <w:rsid w:val="155A78AE"/>
    <w:rsid w:val="155B596A"/>
    <w:rsid w:val="17267537"/>
    <w:rsid w:val="17C37D14"/>
    <w:rsid w:val="191A18A1"/>
    <w:rsid w:val="1C4C74AD"/>
    <w:rsid w:val="1E3C569C"/>
    <w:rsid w:val="23A00A63"/>
    <w:rsid w:val="27351044"/>
    <w:rsid w:val="28276E95"/>
    <w:rsid w:val="2DC41843"/>
    <w:rsid w:val="30B0352C"/>
    <w:rsid w:val="317E53E5"/>
    <w:rsid w:val="322E3E07"/>
    <w:rsid w:val="32E75E2A"/>
    <w:rsid w:val="33733380"/>
    <w:rsid w:val="337C4ADF"/>
    <w:rsid w:val="34275581"/>
    <w:rsid w:val="35251A88"/>
    <w:rsid w:val="358947C0"/>
    <w:rsid w:val="35DC5B4E"/>
    <w:rsid w:val="363F1298"/>
    <w:rsid w:val="366E76BE"/>
    <w:rsid w:val="38025388"/>
    <w:rsid w:val="382C41F8"/>
    <w:rsid w:val="39C82C53"/>
    <w:rsid w:val="3BF64F6F"/>
    <w:rsid w:val="3CD86842"/>
    <w:rsid w:val="3D246C4A"/>
    <w:rsid w:val="3DB4446C"/>
    <w:rsid w:val="3EE16F43"/>
    <w:rsid w:val="405A57B2"/>
    <w:rsid w:val="40FD2F42"/>
    <w:rsid w:val="41C11822"/>
    <w:rsid w:val="447847A3"/>
    <w:rsid w:val="44DE6F85"/>
    <w:rsid w:val="476E09E7"/>
    <w:rsid w:val="48B80921"/>
    <w:rsid w:val="49191669"/>
    <w:rsid w:val="49A2779A"/>
    <w:rsid w:val="49D84C94"/>
    <w:rsid w:val="49F61E0E"/>
    <w:rsid w:val="4BAE2A13"/>
    <w:rsid w:val="5058355F"/>
    <w:rsid w:val="51A82DBE"/>
    <w:rsid w:val="54A96001"/>
    <w:rsid w:val="57DF1037"/>
    <w:rsid w:val="58BA0675"/>
    <w:rsid w:val="58D36FD9"/>
    <w:rsid w:val="61DC6AA9"/>
    <w:rsid w:val="638628D7"/>
    <w:rsid w:val="687B72EE"/>
    <w:rsid w:val="692C52D6"/>
    <w:rsid w:val="6B001D41"/>
    <w:rsid w:val="6D2800D2"/>
    <w:rsid w:val="6FF43256"/>
    <w:rsid w:val="70827212"/>
    <w:rsid w:val="72FDB6E1"/>
    <w:rsid w:val="74A70E32"/>
    <w:rsid w:val="75B4336E"/>
    <w:rsid w:val="76204B6E"/>
    <w:rsid w:val="76504984"/>
    <w:rsid w:val="78582392"/>
    <w:rsid w:val="7B8C4F01"/>
    <w:rsid w:val="7BFF964B"/>
    <w:rsid w:val="7C2C4FEC"/>
    <w:rsid w:val="7CD505C0"/>
    <w:rsid w:val="7EA128FE"/>
    <w:rsid w:val="7ECF3FCE"/>
    <w:rsid w:val="7F6F1612"/>
    <w:rsid w:val="CD47E969"/>
    <w:rsid w:val="D9EF3C45"/>
    <w:rsid w:val="FEDF0686"/>
    <w:rsid w:val="FF31A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28"/>
    <w:autoRedefine/>
    <w:qFormat/>
    <w:uiPriority w:val="0"/>
    <w:pPr>
      <w:tabs>
        <w:tab w:val="center" w:pos="4153"/>
        <w:tab w:val="right" w:pos="8306"/>
      </w:tabs>
      <w:snapToGrid w:val="0"/>
    </w:pPr>
    <w:rPr>
      <w:sz w:val="18"/>
      <w:szCs w:val="18"/>
    </w:rPr>
  </w:style>
  <w:style w:type="paragraph" w:styleId="4">
    <w:name w:val="header"/>
    <w:basedOn w:val="1"/>
    <w:link w:val="27"/>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Heading #1|1_"/>
    <w:basedOn w:val="7"/>
    <w:link w:val="9"/>
    <w:autoRedefine/>
    <w:qFormat/>
    <w:uiPriority w:val="0"/>
    <w:rPr>
      <w:rFonts w:ascii="宋体" w:hAnsi="宋体" w:eastAsia="宋体" w:cs="宋体"/>
      <w:sz w:val="40"/>
      <w:szCs w:val="40"/>
      <w:u w:val="none"/>
      <w:shd w:val="clear" w:color="auto" w:fill="auto"/>
      <w:lang w:val="zh-TW" w:eastAsia="zh-TW" w:bidi="zh-TW"/>
    </w:rPr>
  </w:style>
  <w:style w:type="paragraph" w:customStyle="1" w:styleId="9">
    <w:name w:val="Heading #1|1"/>
    <w:basedOn w:val="1"/>
    <w:link w:val="8"/>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0">
    <w:name w:val="Body text|1_"/>
    <w:basedOn w:val="7"/>
    <w:link w:val="11"/>
    <w:autoRedefine/>
    <w:qFormat/>
    <w:uiPriority w:val="0"/>
    <w:rPr>
      <w:rFonts w:ascii="宋体" w:hAnsi="宋体" w:eastAsia="宋体" w:cs="宋体"/>
      <w:sz w:val="28"/>
      <w:szCs w:val="28"/>
      <w:u w:val="none"/>
      <w:shd w:val="clear" w:color="auto" w:fill="auto"/>
      <w:lang w:val="zh-TW" w:eastAsia="zh-TW" w:bidi="zh-TW"/>
    </w:rPr>
  </w:style>
  <w:style w:type="paragraph" w:customStyle="1" w:styleId="11">
    <w:name w:val="Body text|1"/>
    <w:basedOn w:val="1"/>
    <w:link w:val="10"/>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2">
    <w:name w:val="Header or footer|2_"/>
    <w:basedOn w:val="7"/>
    <w:link w:val="13"/>
    <w:autoRedefine/>
    <w:qFormat/>
    <w:uiPriority w:val="0"/>
    <w:rPr>
      <w:sz w:val="20"/>
      <w:szCs w:val="20"/>
      <w:u w:val="none"/>
      <w:shd w:val="clear" w:color="auto" w:fill="auto"/>
      <w:lang w:val="zh-TW" w:eastAsia="zh-TW" w:bidi="zh-TW"/>
    </w:rPr>
  </w:style>
  <w:style w:type="paragraph" w:customStyle="1" w:styleId="13">
    <w:name w:val="Header or footer|2"/>
    <w:basedOn w:val="1"/>
    <w:link w:val="12"/>
    <w:autoRedefine/>
    <w:qFormat/>
    <w:uiPriority w:val="0"/>
    <w:rPr>
      <w:sz w:val="20"/>
      <w:szCs w:val="20"/>
      <w:lang w:val="zh-TW" w:eastAsia="zh-TW" w:bidi="zh-TW"/>
    </w:rPr>
  </w:style>
  <w:style w:type="character" w:customStyle="1" w:styleId="14">
    <w:name w:val="Header or footer|1_"/>
    <w:basedOn w:val="7"/>
    <w:link w:val="15"/>
    <w:autoRedefine/>
    <w:qFormat/>
    <w:uiPriority w:val="0"/>
    <w:rPr>
      <w:rFonts w:ascii="宋体" w:hAnsi="宋体" w:eastAsia="宋体" w:cs="宋体"/>
      <w:sz w:val="26"/>
      <w:szCs w:val="26"/>
      <w:u w:val="none"/>
      <w:shd w:val="clear" w:color="auto" w:fill="auto"/>
      <w:lang w:val="zh-TW" w:eastAsia="zh-TW" w:bidi="zh-TW"/>
    </w:rPr>
  </w:style>
  <w:style w:type="paragraph" w:customStyle="1" w:styleId="15">
    <w:name w:val="Header or footer|1"/>
    <w:basedOn w:val="1"/>
    <w:link w:val="14"/>
    <w:autoRedefine/>
    <w:qFormat/>
    <w:uiPriority w:val="0"/>
    <w:rPr>
      <w:rFonts w:ascii="宋体" w:hAnsi="宋体" w:eastAsia="宋体" w:cs="宋体"/>
      <w:sz w:val="26"/>
      <w:szCs w:val="26"/>
      <w:lang w:val="zh-TW" w:eastAsia="zh-TW" w:bidi="zh-TW"/>
    </w:rPr>
  </w:style>
  <w:style w:type="character" w:customStyle="1" w:styleId="16">
    <w:name w:val="Body text|2_"/>
    <w:basedOn w:val="7"/>
    <w:link w:val="17"/>
    <w:autoRedefine/>
    <w:qFormat/>
    <w:uiPriority w:val="0"/>
    <w:rPr>
      <w:rFonts w:ascii="宋体" w:hAnsi="宋体" w:eastAsia="宋体" w:cs="宋体"/>
      <w:sz w:val="22"/>
      <w:szCs w:val="22"/>
      <w:u w:val="none"/>
      <w:shd w:val="clear" w:color="auto" w:fill="auto"/>
      <w:lang w:val="zh-TW" w:eastAsia="zh-TW" w:bidi="zh-TW"/>
    </w:rPr>
  </w:style>
  <w:style w:type="paragraph" w:customStyle="1" w:styleId="17">
    <w:name w:val="Body text|2"/>
    <w:basedOn w:val="1"/>
    <w:link w:val="16"/>
    <w:autoRedefine/>
    <w:qFormat/>
    <w:uiPriority w:val="0"/>
    <w:pPr>
      <w:spacing w:after="240"/>
    </w:pPr>
    <w:rPr>
      <w:rFonts w:ascii="宋体" w:hAnsi="宋体" w:eastAsia="宋体" w:cs="宋体"/>
      <w:sz w:val="22"/>
      <w:szCs w:val="22"/>
      <w:lang w:val="zh-TW" w:eastAsia="zh-TW" w:bidi="zh-TW"/>
    </w:rPr>
  </w:style>
  <w:style w:type="character" w:customStyle="1" w:styleId="18">
    <w:name w:val="Other|1_"/>
    <w:basedOn w:val="7"/>
    <w:link w:val="19"/>
    <w:autoRedefine/>
    <w:qFormat/>
    <w:uiPriority w:val="0"/>
    <w:rPr>
      <w:rFonts w:ascii="宋体" w:hAnsi="宋体" w:eastAsia="宋体" w:cs="宋体"/>
      <w:sz w:val="28"/>
      <w:szCs w:val="28"/>
      <w:u w:val="none"/>
      <w:shd w:val="clear" w:color="auto" w:fill="auto"/>
      <w:lang w:val="zh-TW" w:eastAsia="zh-TW" w:bidi="zh-TW"/>
    </w:rPr>
  </w:style>
  <w:style w:type="paragraph" w:customStyle="1" w:styleId="19">
    <w:name w:val="Other|1"/>
    <w:basedOn w:val="1"/>
    <w:link w:val="18"/>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0">
    <w:name w:val="Other|2_"/>
    <w:basedOn w:val="7"/>
    <w:link w:val="21"/>
    <w:autoRedefine/>
    <w:qFormat/>
    <w:uiPriority w:val="0"/>
    <w:rPr>
      <w:rFonts w:ascii="宋体" w:hAnsi="宋体" w:eastAsia="宋体" w:cs="宋体"/>
      <w:sz w:val="15"/>
      <w:szCs w:val="15"/>
      <w:u w:val="none"/>
      <w:shd w:val="clear" w:color="auto" w:fill="auto"/>
      <w:lang w:val="zh-TW" w:eastAsia="zh-TW" w:bidi="zh-TW"/>
    </w:rPr>
  </w:style>
  <w:style w:type="paragraph" w:customStyle="1" w:styleId="21">
    <w:name w:val="Other|2"/>
    <w:basedOn w:val="1"/>
    <w:link w:val="20"/>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2">
    <w:name w:val="Body text|3_"/>
    <w:basedOn w:val="7"/>
    <w:link w:val="23"/>
    <w:autoRedefine/>
    <w:qFormat/>
    <w:uiPriority w:val="0"/>
    <w:rPr>
      <w:rFonts w:ascii="宋体" w:hAnsi="宋体" w:eastAsia="宋体" w:cs="宋体"/>
      <w:sz w:val="15"/>
      <w:szCs w:val="15"/>
      <w:u w:val="none"/>
      <w:shd w:val="clear" w:color="auto" w:fill="auto"/>
      <w:lang w:val="zh-TW" w:eastAsia="zh-TW" w:bidi="zh-TW"/>
    </w:rPr>
  </w:style>
  <w:style w:type="paragraph" w:customStyle="1" w:styleId="23">
    <w:name w:val="Body text|3"/>
    <w:basedOn w:val="1"/>
    <w:link w:val="22"/>
    <w:autoRedefine/>
    <w:qFormat/>
    <w:uiPriority w:val="0"/>
    <w:rPr>
      <w:rFonts w:ascii="宋体" w:hAnsi="宋体" w:eastAsia="宋体" w:cs="宋体"/>
      <w:sz w:val="15"/>
      <w:szCs w:val="15"/>
      <w:lang w:val="zh-TW" w:eastAsia="zh-TW" w:bidi="zh-TW"/>
    </w:rPr>
  </w:style>
  <w:style w:type="character" w:customStyle="1" w:styleId="24">
    <w:name w:val="Picture caption|1_"/>
    <w:basedOn w:val="7"/>
    <w:link w:val="25"/>
    <w:autoRedefine/>
    <w:qFormat/>
    <w:uiPriority w:val="0"/>
    <w:rPr>
      <w:rFonts w:ascii="宋体" w:hAnsi="宋体" w:eastAsia="宋体" w:cs="宋体"/>
      <w:sz w:val="20"/>
      <w:szCs w:val="20"/>
      <w:u w:val="none"/>
      <w:shd w:val="clear" w:color="auto" w:fill="auto"/>
      <w:lang w:val="zh-TW" w:eastAsia="zh-TW" w:bidi="zh-TW"/>
    </w:rPr>
  </w:style>
  <w:style w:type="paragraph" w:customStyle="1" w:styleId="25">
    <w:name w:val="Picture caption|1"/>
    <w:basedOn w:val="1"/>
    <w:link w:val="24"/>
    <w:autoRedefine/>
    <w:qFormat/>
    <w:uiPriority w:val="0"/>
    <w:pPr>
      <w:jc w:val="center"/>
    </w:pPr>
    <w:rPr>
      <w:rFonts w:ascii="宋体" w:hAnsi="宋体" w:eastAsia="宋体" w:cs="宋体"/>
      <w:sz w:val="20"/>
      <w:szCs w:val="20"/>
      <w:lang w:val="zh-TW" w:eastAsia="zh-TW" w:bidi="zh-TW"/>
    </w:rPr>
  </w:style>
  <w:style w:type="paragraph" w:styleId="26">
    <w:name w:val="List Paragraph"/>
    <w:basedOn w:val="1"/>
    <w:autoRedefine/>
    <w:qFormat/>
    <w:uiPriority w:val="34"/>
    <w:pPr>
      <w:ind w:firstLine="420" w:firstLineChars="200"/>
    </w:pPr>
  </w:style>
  <w:style w:type="character" w:customStyle="1" w:styleId="27">
    <w:name w:val="页眉 Char"/>
    <w:basedOn w:val="7"/>
    <w:link w:val="4"/>
    <w:autoRedefine/>
    <w:qFormat/>
    <w:uiPriority w:val="0"/>
    <w:rPr>
      <w:rFonts w:eastAsia="Times New Roman"/>
      <w:color w:val="000000"/>
      <w:sz w:val="18"/>
      <w:szCs w:val="18"/>
      <w:lang w:eastAsia="en-US" w:bidi="en-US"/>
    </w:rPr>
  </w:style>
  <w:style w:type="character" w:customStyle="1" w:styleId="28">
    <w:name w:val="页脚 Char"/>
    <w:basedOn w:val="7"/>
    <w:link w:val="3"/>
    <w:autoRedefine/>
    <w:qFormat/>
    <w:uiPriority w:val="0"/>
    <w:rPr>
      <w:rFonts w:eastAsia="Times New Roman"/>
      <w:color w:val="000000"/>
      <w:sz w:val="18"/>
      <w:szCs w:val="18"/>
      <w:lang w:eastAsia="en-US" w:bidi="en-US"/>
    </w:rPr>
  </w:style>
  <w:style w:type="character" w:customStyle="1" w:styleId="29">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3538c20a-d5b3-479e-b7a3-5ec0aa18d065</errorID>
      <errorWord>公共事物</errorWord>
      <group>L1_Word</group>
      <groupName>字词问题</groupName>
      <ability>L2_Typo</ability>
      <abilityName>字词错误</abilityName>
      <candidateList>
        <item>公共事务</item>
      </candidateList>
      <explain/>
      <paraID>69A01088</paraID>
      <start>5</start>
      <end>9</end>
      <status>modified</status>
      <modifiedWord>公共事务</modifiedWord>
      <trackRevisions>false</trackRevisions>
    </reviewItem>
    <reviewItem>
      <errorID>ae9820f3-7212-4573-8f21-3c7ee3adf9cf</errorID>
      <errorWord>做出</errorWord>
      <group>L1_Word</group>
      <groupName>字词问题</groupName>
      <ability>L2_Typo</ability>
      <abilityName>字词错误</abilityName>
      <candidateList>
        <item>作出</item>
      </candidateList>
      <explain/>
      <paraID>7E802BA6</paraID>
      <start>160</start>
      <end>162</end>
      <status>modified</status>
      <modifiedWord>作出</modifiedWord>
      <trackRevisions>false</trackRevisions>
    </reviewItem>
    <reviewItem>
      <errorID>8ebddb49-1e96-4b7b-bf27-9387d12d2ed2</errorID>
      <errorWord>对于</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44316D74</paraID>
      <start>64</start>
      <end>65</end>
      <status>modified</status>
      <modifiedWord>对</modifiedWord>
      <trackRevisions>false</trackRevisions>
    </reviewItem>
    <reviewItem>
      <errorID>ecd9af82-4a8b-46b5-b44f-9b37faa4a131</errorID>
      <errorWord>党</errorWord>
      <group>L1_Word</group>
      <groupName>字词问题</groupName>
      <ability>L2_Typo</ability>
      <abilityName>字词错误</abilityName>
      <candidateList>
        <item>党建</item>
      </candidateList>
      <explain/>
      <paraID>237DEFB7</paraID>
      <start>78</start>
      <end>80</end>
      <status>modified</status>
      <modifiedWord>党建</modifiedWord>
      <trackRevisions>false</trackRevisions>
    </reviewItem>
    <reviewItem>
      <errorID>72b52ff3-fd05-4d0c-842d-320b796df6be</errorID>
      <errorWord>满意度都</errorWord>
      <group>L1_Word</group>
      <groupName>字词问题</groupName>
      <ability>L2_Typo</ability>
      <abilityName>字词错误</abilityName>
      <candidateList>
        <item>满意度</item>
      </candidateList>
      <explain/>
      <paraID>586F63BA</paraID>
      <start>35</start>
      <end>38</end>
      <status>modified</status>
      <modifiedWord>满意度</modifiedWord>
      <trackRevisions>false</trackRevisions>
    </reviewItem>
    <reviewItem>
      <errorID>d4caf439-b90a-4fac-b415-deea70ee0898</errorID>
      <errorWord>-</errorWord>
      <group>L1_Format</group>
      <groupName>格式问题</groupName>
      <ability>L2_HalfPunc</ability>
      <abilityName>全半角检查</abilityName>
      <candidateList>
        <item>－</item>
      </candidateList>
      <explain>文本全半角错误。</explain>
      <paraID> 62D5F5C</paraID>
      <start>106</start>
      <end>107</end>
      <status>modified</status>
      <modifiedWord>－</modifiedWord>
      <trackRevisions>false</trackRevisions>
    </reviewItem>
    <reviewItem>
      <errorID>01dbf5c8-d410-43e8-ba37-557ef29cf7ab</errorID>
      <errorWord>-</errorWord>
      <group>L1_Format</group>
      <groupName>格式问题</groupName>
      <ability>L2_HalfPunc</ability>
      <abilityName>全半角检查</abilityName>
      <candidateList>
        <item>－</item>
      </candidateList>
      <explain>文本全半角错误。</explain>
      <paraID> 62D5F5C</paraID>
      <start>109</start>
      <end>110</end>
      <status>modified</status>
      <modifiedWord>－</modifiedWord>
      <trackRevisions>false</trackRevisions>
    </reviewItem>
    <reviewItem>
      <errorID>d6f4894d-f09a-4424-a952-5099c05f673a</errorID>
      <errorWord>-</errorWord>
      <group>L1_Format</group>
      <groupName>格式问题</groupName>
      <ability>L2_HalfPunc</ability>
      <abilityName>全半角检查</abilityName>
      <candidateList>
        <item>－</item>
      </candidateList>
      <explain>文本全半角错误。</explain>
      <paraID>3C4BDCEA</paraID>
      <start>49</start>
      <end>50</end>
      <status>modified</status>
      <modifiedWord>－</modifiedWord>
      <trackRevisions>false</trackRevisions>
    </reviewItem>
    <reviewItem>
      <errorID>540b6b17-410f-4632-9806-c705ffde4c73</errorID>
      <errorWord>置</errorWord>
      <group>L1_Word</group>
      <groupName>字词问题</groupName>
      <ability>L2_Typo</ability>
      <abilityName>字词错误</abilityName>
      <candidateList>
        <item>置有</item>
      </candidateList>
      <explain/>
      <paraID>3F6FCACB</paraID>
      <start>18</start>
      <end>20</end>
      <status>modified</status>
      <modifiedWord>置有</modifiedWord>
      <trackRevisions>false</trackRevisions>
    </reviewItem>
    <reviewItem>
      <errorID>935776aa-bd31-475a-9126-daff09c9080b</errorID>
      <errorWord>文</errorWord>
      <group>L1_Word</group>
      <groupName>字词问题</groupName>
      <ability>L2_Typo</ability>
      <abilityName>字词错误</abilityName>
      <candidateList>
        <item>凌</item>
      </candidateList>
      <explain/>
      <paraID>2B61B06E</paraID>
      <start>183</start>
      <end>184</end>
      <status>ignored</status>
      <modifiedWord/>
      <trackRevisions>false</trackRevisions>
    </reviewItem>
    <reviewItem>
      <errorID>a957a1fe-bfaa-4148-aabb-a5024a97bc0a</errorID>
      <errorWord>-</errorWord>
      <group>L1_Format</group>
      <groupName>格式问题</groupName>
      <ability>L2_HalfPunc</ability>
      <abilityName>全半角检查</abilityName>
      <candidateList>
        <item>－</item>
      </candidateList>
      <explain>文本全半角错误。</explain>
      <paraID>366D6286</paraID>
      <start>188</start>
      <end>189</end>
      <status>modified</status>
      <modifiedWord>－</modifiedWord>
      <trackRevisions>false</trackRevisions>
    </reviewItem>
    <reviewItem>
      <errorID>bc9cc954-6d23-461b-9a91-aa7fb98c97c9</errorID>
      <errorWord>-</errorWord>
      <group>L1_Format</group>
      <groupName>格式问题</groupName>
      <ability>L2_HalfPunc</ability>
      <abilityName>全半角检查</abilityName>
      <candidateList>
        <item>－</item>
      </candidateList>
      <explain>文本全半角错误。</explain>
      <paraID>366D6286</paraID>
      <start>192</start>
      <end>193</end>
      <status>modified</status>
      <modifiedWord>－</modifiedWord>
      <trackRevisions>false</trackRevisions>
    </reviewItem>
    <reviewItem>
      <errorID>017c4aea-d413-4e44-b442-7bf13a57478a</errorID>
      <errorWord>-</errorWord>
      <group>L1_Format</group>
      <groupName>格式问题</groupName>
      <ability>L2_HalfPunc</ability>
      <abilityName>全半角检查</abilityName>
      <candidateList>
        <item>－</item>
      </candidateList>
      <explain>文本全半角错误。</explain>
      <paraID>366D6286</paraID>
      <start>196</start>
      <end>197</end>
      <status>modified</status>
      <modifiedWord>－</modifiedWord>
      <trackRevisions>false</trackRevisions>
    </reviewItem>
    <reviewItem>
      <errorID>febeb5de-e8f1-451c-a94a-e6a2b4dfaff9</errorID>
      <errorWord>开展的</errorWord>
      <group>L1_Word</group>
      <groupName>字词问题</groupName>
      <ability>L2_Typo</ability>
      <abilityName>字词错误</abilityName>
      <candidateList>
        <item>开展</item>
      </candidateList>
      <explain>〈动〉展览会开始展出：一年一度的春节花展明天～。</explain>
      <paraID> A927B02</paraID>
      <start>163</start>
      <end>165</end>
      <status>modified</status>
      <modifiedWord>开展</modifiedWord>
      <trackRevisions>false</trackRevisions>
    </reviewItem>
    <reviewItem>
      <errorID>f6407fc7-d33d-4f25-9295-b19a520f090d</errorID>
      <errorWord>达</errorWord>
      <group>L1_Word</group>
      <groupName>字词问题</groupName>
      <ability>L2_Typo</ability>
      <abilityName>字词错误</abilityName>
      <candidateList>
        <item>达到</item>
      </candidateList>
      <explain>〈动〉到（多指抽象事物或程度）：达得到｜达不到｜目的没有～｜～国际水平。</explain>
      <paraID>68F8D527</paraID>
      <start>76</start>
      <end>78</end>
      <status>modified</status>
      <modifiedWord>达到</modifiedWord>
      <trackRevisions>false</trackRevisions>
    </reviewItem>
    <reviewItem>
      <errorID>eb268a35-afd8-4787-a778-55492edb0374</errorID>
      <errorWord>达</errorWord>
      <group>L1_Word</group>
      <groupName>字词问题</groupName>
      <ability>L2_Typo</ability>
      <abilityName>字词错误</abilityName>
      <candidateList>
        <item>达到</item>
      </candidateList>
      <explain>〈动〉到（多指抽象事物或程度）：达得到｜达不到｜目的没有～｜～国际水平。</explain>
      <paraID>68F8D527</paraID>
      <start>103</start>
      <end>105</end>
      <status>modified</status>
      <modifiedWord>达到</modifiedWord>
      <trackRevisions>false</trackRevisions>
    </reviewItem>
    <reviewItem>
      <errorID>22cf6a58-6cdd-4b00-9fae-f8fc45c3dfd0</errorID>
      <errorWord>达</errorWord>
      <group>L1_Word</group>
      <groupName>字词问题</groupName>
      <ability>L2_Typo</ability>
      <abilityName>字词错误</abilityName>
      <candidateList>
        <item>达到</item>
      </candidateList>
      <explain>〈动〉到（多指抽象事物或程度）：达得到｜达不到｜目的没有～｜～国际水平。</explain>
      <paraID>2B6A5EE9</paraID>
      <start>75</start>
      <end>77</end>
      <status>modified</status>
      <modifiedWord>达到</modifiedWord>
      <trackRevisions>false</trackRevisions>
    </reviewItem>
    <reviewItem>
      <errorID>b5d54a13-09eb-4a61-bfec-1b9dfd6c910c</errorID>
      <errorWord>率</errorWord>
      <group>L1_Word</group>
      <groupName>字词问题</groupName>
      <ability>L2_Typo</ability>
      <abilityName>字词错误</abilityName>
      <candidateList>
        <item>率有</item>
      </candidateList>
      <explain/>
      <paraID>57897CDA</paraID>
      <start>113</start>
      <end>115</end>
      <status>modified</status>
      <modifiedWord>率有</modifiedWord>
      <trackRevisions>false</trackRevisions>
    </reviewItem>
    <reviewItem>
      <errorID>04d95bf5-da27-4269-befa-0cb989a13221</errorID>
      <errorWord>系</errorWord>
      <group>L1_Word</group>
      <groupName>字词问题</groupName>
      <ability>L2_Typo</ability>
      <abilityName>字词错误</abilityName>
      <candidateList>
        <item>系尚</item>
      </candidateList>
      <explain/>
      <paraID>477F0945</paraID>
      <start>100</start>
      <end>102</end>
      <status>modified</status>
      <modifiedWord>系尚</modifiedWord>
      <trackRevisions>false</trackRevisions>
    </reviewItem>
    <reviewItem>
      <errorID>3da3e9d5-4c46-4f4f-babd-58e6af69f039</errorID>
      <errorWord>目</errorWord>
      <group>L1_Word</group>
      <groupName>字词问题</groupName>
      <ability>L2_Typo</ability>
      <abilityName>字词错误</abilityName>
      <candidateList>
        <item>目在</item>
      </candidateList>
      <explain/>
      <paraID>5A813197</paraID>
      <start>42</start>
      <end>44</end>
      <status>modified</status>
      <modifiedWord>目在</modifiedWord>
      <trackRevisions>false</trackRevisions>
    </reviewItem>
    <reviewItem>
      <errorID>588b9644-a5e1-4476-8498-9f1566fed541</errorID>
      <errorWord>布布</errorWord>
      <group>L1_Word</group>
      <groupName>字词问题</groupName>
      <ability>L2_Typo</ability>
      <abilityName>字词错误</abilityName>
      <candidateList>
        <item>布</item>
      </candidateList>
      <explain/>
      <paraID>4D0A40FD</paraID>
      <start>28</start>
      <end>29</end>
      <status>modified</status>
      <modifiedWord>布</modifiedWord>
      <trackRevisions>false</trackRevisions>
    </reviewItem>
    <reviewItem>
      <errorID>99611ff8-8316-4c0b-ba0a-0b1151cd2127</errorID>
      <errorWord>目</errorWord>
      <group>L1_Word</group>
      <groupName>字词问题</groupName>
      <ability>L2_Typo</ability>
      <abilityName>字词错误</abilityName>
      <candidateList>
        <item>目在</item>
      </candidateList>
      <explain/>
      <paraID>4F3794C0</paraID>
      <start>39</start>
      <end>41</end>
      <status>modified</status>
      <modifiedWord>目在</modifiedWord>
      <trackRevisions>false</trackRevisions>
    </reviewItem>
    <reviewItem>
      <errorID>636483c0-a191-4228-9b70-cafebd8edf05</errorID>
      <errorWord>布布</errorWord>
      <group>L1_Word</group>
      <groupName>字词问题</groupName>
      <ability>L2_Typo</ability>
      <abilityName>字词错误</abilityName>
      <candidateList>
        <item>布</item>
      </candidateList>
      <explain/>
      <paraID>1F990BE0</paraID>
      <start>28</start>
      <end>29</end>
      <status>modified</status>
      <modifiedWord>布</modifiedWord>
      <trackRevisions>false</trackRevisions>
    </reviewItem>
    <reviewItem>
      <errorID>06ae952f-fb26-4c1e-a0f4-538ee1d61238</errorID>
      <errorWord>目</errorWord>
      <group>L1_Word</group>
      <groupName>字词问题</groupName>
      <ability>L2_Typo</ability>
      <abilityName>字词错误</abilityName>
      <candidateList>
        <item>目在</item>
      </candidateList>
      <explain/>
      <paraID> 75DD368</paraID>
      <start>39</start>
      <end>41</end>
      <status>modified</status>
      <modifiedWord>目在</modifiedWord>
      <trackRevisions>false</trackRevisions>
    </reviewItem>
    <reviewItem>
      <errorID>8a793971-799b-4ebb-af3a-6eab453d9cc6</errorID>
      <errorWord>链接</errorWord>
      <group>L1_Word</group>
      <groupName>字词问题</groupName>
      <ability>L2_Typo</ability>
      <abilityName>字词错误</abilityName>
      <candidateList>
        <item>连接</item>
      </candidateList>
      <explain>（联接）liánjiē〈动〉❶（事物）互相衔接：山岭～。❷使连接：～线路。</explain>
      <paraID>3777C7AE</paraID>
      <start>113</start>
      <end>115</end>
      <status>ignored</status>
      <modifiedWord/>
      <trackRevisions>false</trackRevisions>
    </reviewItem>
    <reviewItem>
      <errorID>6ce162fe-3dec-4cc7-a011-77db826536e4</errorID>
      <errorWord>度</errorWord>
      <group>L1_Word</group>
      <groupName>字词问题</groupName>
      <ability>L2_Typo</ability>
      <abilityName>字词错误</abilityName>
      <candidateList>
        <item>度有</item>
      </candidateList>
      <explain/>
      <paraID>1EB2085E</paraID>
      <start>21</start>
      <end>23</end>
      <status>modified</status>
      <modifiedWord>度有</modifiedWord>
      <trackRevisions>false</trackRevisions>
    </reviewItem>
    <reviewItem>
      <errorID>09d5b106-4149-4424-986d-89093e1f783f</errorID>
      <errorWord>图地</errorWord>
      <group>L1_Word</group>
      <groupName>字词问题</groupName>
      <ability>L2_Typo</ability>
      <abilityName>字词错误</abilityName>
      <candidateList>
        <item>地图</item>
      </candidateList>
      <explain/>
      <paraID>4C1EBF4A</paraID>
      <start>69</start>
      <end>71</end>
      <status>modified</status>
      <modifiedWord>地图</modifiedWord>
      <trackRevisions>false</trackRevisions>
    </reviewItem>
    <reviewItem>
      <errorID>5c940d08-c4d2-48aa-b420-df53c79b9c5d</errorID>
      <errorWord>用用</errorWord>
      <group>L1_Word</group>
      <groupName>字词问题</groupName>
      <ability>L2_Typo</ability>
      <abilityName>字词错误</abilityName>
      <candidateList>
        <item>用</item>
      </candidateList>
      <explain/>
      <paraID>4C1EBF4A</paraID>
      <start>72</start>
      <end>73</end>
      <status>modified</status>
      <modifiedWord>用</modifiedWord>
      <trackRevisions>false</trackRevisions>
    </reviewItem>
    <reviewItem>
      <errorID>6cdcf1d2-6aa5-4252-907f-32dc280d4e7a</errorID>
      <errorWord>-</errorWord>
      <group>L1_Format</group>
      <groupName>格式问题</groupName>
      <ability>L2_HalfPunc</ability>
      <abilityName>全半角检查</abilityName>
      <candidateList>
        <item>－</item>
      </candidateList>
      <explain>文本全半角错误。</explain>
      <paraID>4C1EBF4A</paraID>
      <start>304</start>
      <end>305</end>
      <status>modified</status>
      <modifiedWord>－</modifiedWord>
      <trackRevisions>false</trackRevisions>
    </reviewItem>
    <reviewItem>
      <errorID>d790cc55-a07b-4d1e-9d43-31cd0c5f9bd2</errorID>
      <errorWord>-</errorWord>
      <group>L1_Format</group>
      <groupName>格式问题</groupName>
      <ability>L2_HalfPunc</ability>
      <abilityName>全半角检查</abilityName>
      <candidateList>
        <item>－</item>
      </candidateList>
      <explain>文本全半角错误。</explain>
      <paraID>4C1EBF4A</paraID>
      <start>309</start>
      <end>310</end>
      <status>modified</status>
      <modifiedWord>－</modifiedWord>
      <trackRevisions>false</trackRevisions>
    </reviewItem>
    <reviewItem>
      <errorID>b56cb4dc-e3aa-4e1e-9012-212fd7b9d4e9</errorID>
      <errorWord>更</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2FF28099</paraID>
      <start>160</start>
      <end>162</end>
      <status>modified</status>
      <modifiedWord>更加</modifiedWord>
      <trackRevisions>false</trackRevisions>
    </reviewItem>
    <reviewItem>
      <errorID>15d54bb8-17c1-4576-8c1d-9cba7ad143cf</errorID>
      <errorWord>晰</errorWord>
      <group>L1_Word</group>
      <groupName>字词问题</groupName>
      <ability>L2_Typo</ability>
      <abilityName>字词错误</abilityName>
      <candidateList>
        <item>晰地</item>
      </candidateList>
      <explain/>
      <paraID>2FF28099</paraID>
      <start>163</start>
      <end>165</end>
      <status>modified</status>
      <modifiedWord>晰地</modifiedWord>
      <trackRevisions>false</trackRevisions>
    </reviewItem>
    <reviewItem>
      <errorID>d5a25cba-6f98-4dbc-9fe1-316b314ece19</errorID>
      <errorWord>目</errorWord>
      <group>L1_Word</group>
      <groupName>字词问题</groupName>
      <ability>L2_Typo</ability>
      <abilityName>字词错误</abilityName>
      <candidateList>
        <item>目在</item>
      </candidateList>
      <explain/>
      <paraID>7A3F8F23</paraID>
      <start>42</start>
      <end>44</end>
      <status>modified</status>
      <modifiedWord>目在</modifiedWord>
      <trackRevisions>false</trackRevisions>
    </reviewItem>
    <reviewItem>
      <errorID>c2af157e-ffd7-4f43-a423-f1f7402267e0</errorID>
      <errorWord>，</errorWord>
      <group>L1_Word</group>
      <groupName>字词问题</groupName>
      <ability>L2_Typo</ability>
      <abilityName>字词错误</abilityName>
      <candidateList>
        <item>，具</item>
      </candidateList>
      <explain/>
      <paraID>36E664B5</paraID>
      <start>169</start>
      <end>171</end>
      <status>modified</status>
      <modifiedWord>，具</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0e6a32-c129-4843-91a6-548ce6230987}">
  <ds:schemaRefs/>
</ds:datastoreItem>
</file>

<file path=docProps/app.xml><?xml version="1.0" encoding="utf-8"?>
<Properties xmlns="http://schemas.openxmlformats.org/officeDocument/2006/extended-properties" xmlns:vt="http://schemas.openxmlformats.org/officeDocument/2006/docPropsVTypes">
  <Template>Normal</Template>
  <Pages>24</Pages>
  <Words>14721</Words>
  <Characters>15134</Characters>
  <Lines>75</Lines>
  <Paragraphs>21</Paragraphs>
  <TotalTime>133</TotalTime>
  <ScaleCrop>false</ScaleCrop>
  <LinksUpToDate>false</LinksUpToDate>
  <CharactersWithSpaces>15192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2023-07-27T19:06:00Z</dcterms:created>
  <dc:creator>WPS Office</dc:creator>
  <cp:lastModifiedBy>番禺区社联会</cp:lastModifiedBy>
  <dcterms:modified xsi:type="dcterms:W3CDTF">2026-03-25T10:27:04Z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A54C0C79070A42DAB8C31F834B38B593_13</vt:lpwstr>
  </property>
  <property fmtid="{D5CDD505-2E9C-101B-9397-08002B2CF9AE}" pid="4" name="KSOTemplateDocerSaveRecord">
    <vt:lpwstr>eyJoZGlkIjoiZDZhZGYwNTVjNmEwZDlmYmM0M2UzYmUxZTMyY2ZhNTgiLCJ1c2VySWQiOiIyOTU1NTMyNTMifQ==</vt:lpwstr>
  </property>
</Properties>
</file>