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0C46FD">
      <w:pPr>
        <w:pStyle w:val="11"/>
        <w:keepNext/>
        <w:keepLines/>
        <w:spacing w:before="0" w:after="0" w:line="560" w:lineRule="exact"/>
        <w:rPr>
          <w:rFonts w:ascii="方正小标宋简体" w:eastAsia="方正小标宋简体"/>
          <w:color w:val="auto"/>
          <w:lang w:val="en-US"/>
        </w:rPr>
      </w:pPr>
      <w:bookmarkStart w:id="0" w:name="bookmark1"/>
      <w:bookmarkStart w:id="1" w:name="bookmark0"/>
      <w:bookmarkStart w:id="2" w:name="bookmark2"/>
    </w:p>
    <w:p w14:paraId="5112F2A3">
      <w:pPr>
        <w:pStyle w:val="11"/>
        <w:keepNext/>
        <w:keepLines/>
        <w:spacing w:before="0" w:after="0" w:line="560" w:lineRule="exact"/>
        <w:rPr>
          <w:rFonts w:ascii="方正小标宋简体" w:eastAsia="PMingLiU"/>
          <w:color w:val="auto"/>
          <w:lang w:val="en-US"/>
        </w:rPr>
      </w:pPr>
    </w:p>
    <w:p w14:paraId="5BF0B784">
      <w:pPr>
        <w:pStyle w:val="11"/>
        <w:keepNext/>
        <w:keepLines/>
        <w:spacing w:before="0" w:after="0" w:line="560" w:lineRule="exact"/>
        <w:rPr>
          <w:rFonts w:ascii="方正小标宋简体" w:eastAsia="PMingLiU"/>
          <w:color w:val="auto"/>
          <w:lang w:val="en-US"/>
        </w:rPr>
      </w:pPr>
    </w:p>
    <w:p w14:paraId="2F84269C">
      <w:pPr>
        <w:pStyle w:val="11"/>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小谷围街</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14:paraId="664CD093">
      <w:pPr>
        <w:pStyle w:val="11"/>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（协议期：202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w:t>
      </w:r>
      <w:r>
        <w:rPr>
          <w:rFonts w:hint="eastAsia" w:ascii="方正小标宋简体" w:eastAsia="方正小标宋简体"/>
          <w:b/>
          <w:bCs/>
          <w:color w:val="auto"/>
          <w:sz w:val="44"/>
          <w:szCs w:val="44"/>
          <w:lang w:val="en-US" w:eastAsia="zh-CN"/>
        </w:rPr>
        <w:t>8</w:t>
      </w:r>
      <w:r>
        <w:rPr>
          <w:rFonts w:hint="eastAsia" w:ascii="方正小标宋简体" w:eastAsia="方正小标宋简体"/>
          <w:b/>
          <w:bCs/>
          <w:color w:val="auto"/>
          <w:sz w:val="44"/>
          <w:szCs w:val="44"/>
          <w:lang w:eastAsia="zh-CN"/>
        </w:rPr>
        <w:t>月</w:t>
      </w:r>
      <w:r>
        <w:rPr>
          <w:rFonts w:hint="eastAsia" w:ascii="方正小标宋简体" w:eastAsia="方正小标宋简体"/>
          <w:b/>
          <w:bCs/>
          <w:color w:val="auto"/>
          <w:sz w:val="44"/>
          <w:szCs w:val="44"/>
          <w:lang w:val="en-US" w:eastAsia="zh-CN"/>
        </w:rPr>
        <w:t>15</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6</w:t>
      </w:r>
      <w:r>
        <w:rPr>
          <w:rFonts w:hint="eastAsia" w:ascii="方正小标宋简体" w:eastAsia="方正小标宋简体"/>
          <w:b/>
          <w:bCs/>
          <w:color w:val="auto"/>
          <w:sz w:val="44"/>
          <w:szCs w:val="44"/>
          <w:lang w:eastAsia="zh-CN"/>
        </w:rPr>
        <w:t>年</w:t>
      </w:r>
      <w:r>
        <w:rPr>
          <w:rFonts w:hint="eastAsia" w:ascii="方正小标宋简体" w:eastAsia="方正小标宋简体"/>
          <w:b/>
          <w:bCs/>
          <w:color w:val="auto"/>
          <w:sz w:val="44"/>
          <w:szCs w:val="44"/>
          <w:lang w:val="en-US" w:eastAsia="zh-CN"/>
        </w:rPr>
        <w:t>8</w:t>
      </w:r>
      <w:r>
        <w:rPr>
          <w:rFonts w:hint="eastAsia" w:ascii="方正小标宋简体" w:eastAsia="方正小标宋简体"/>
          <w:b/>
          <w:bCs/>
          <w:color w:val="auto"/>
          <w:sz w:val="44"/>
          <w:szCs w:val="44"/>
          <w:lang w:eastAsia="zh-CN"/>
        </w:rPr>
        <w:t>月</w:t>
      </w:r>
      <w:r>
        <w:rPr>
          <w:rFonts w:hint="eastAsia" w:ascii="方正小标宋简体" w:eastAsia="方正小标宋简体"/>
          <w:b/>
          <w:bCs/>
          <w:color w:val="auto"/>
          <w:sz w:val="44"/>
          <w:szCs w:val="44"/>
          <w:lang w:val="en-US" w:eastAsia="zh-CN"/>
        </w:rPr>
        <w:t>14</w:t>
      </w:r>
      <w:r>
        <w:rPr>
          <w:rFonts w:hint="eastAsia" w:ascii="方正小标宋简体" w:eastAsia="方正小标宋简体"/>
          <w:b/>
          <w:bCs/>
          <w:color w:val="auto"/>
          <w:sz w:val="44"/>
          <w:szCs w:val="44"/>
          <w:lang w:eastAsia="zh-CN"/>
        </w:rPr>
        <w:t>日）</w:t>
      </w:r>
    </w:p>
    <w:p w14:paraId="3905504A">
      <w:pPr>
        <w:pStyle w:val="13"/>
        <w:spacing w:after="0" w:line="560" w:lineRule="exact"/>
        <w:ind w:firstLine="2522" w:firstLineChars="900"/>
        <w:jc w:val="both"/>
        <w:rPr>
          <w:rFonts w:ascii="仿宋_GB2312" w:eastAsia="PMingLiU"/>
          <w:b/>
          <w:color w:val="auto"/>
        </w:rPr>
      </w:pPr>
      <w:bookmarkStart w:id="3" w:name="bookmark3"/>
      <w:bookmarkStart w:id="4" w:name="bookmark4"/>
      <w:bookmarkStart w:id="5" w:name="bookmark5"/>
    </w:p>
    <w:p w14:paraId="0EA11725">
      <w:pPr>
        <w:pStyle w:val="13"/>
        <w:spacing w:after="0" w:line="560" w:lineRule="exact"/>
        <w:ind w:firstLine="2522" w:firstLineChars="900"/>
        <w:jc w:val="both"/>
        <w:rPr>
          <w:rFonts w:ascii="仿宋_GB2312" w:eastAsia="PMingLiU"/>
          <w:b/>
          <w:color w:val="auto"/>
        </w:rPr>
      </w:pPr>
    </w:p>
    <w:p w14:paraId="7F6BE852">
      <w:pPr>
        <w:pStyle w:val="13"/>
        <w:spacing w:after="0" w:line="560" w:lineRule="exact"/>
        <w:ind w:firstLine="2522" w:firstLineChars="900"/>
        <w:jc w:val="both"/>
        <w:rPr>
          <w:rFonts w:ascii="仿宋_GB2312" w:eastAsia="PMingLiU"/>
          <w:b/>
          <w:color w:val="auto"/>
        </w:rPr>
      </w:pPr>
    </w:p>
    <w:p w14:paraId="48C0AB84">
      <w:pPr>
        <w:pStyle w:val="13"/>
        <w:spacing w:after="0" w:line="560" w:lineRule="exact"/>
        <w:ind w:firstLine="2522" w:firstLineChars="900"/>
        <w:jc w:val="both"/>
        <w:rPr>
          <w:rFonts w:ascii="仿宋_GB2312" w:eastAsia="PMingLiU"/>
          <w:b/>
          <w:color w:val="auto"/>
        </w:rPr>
      </w:pPr>
    </w:p>
    <w:p w14:paraId="62C49376">
      <w:pPr>
        <w:pStyle w:val="13"/>
        <w:spacing w:after="0" w:line="560" w:lineRule="exact"/>
        <w:ind w:firstLine="2522" w:firstLineChars="900"/>
        <w:jc w:val="both"/>
        <w:rPr>
          <w:rFonts w:ascii="仿宋_GB2312" w:eastAsia="PMingLiU"/>
          <w:b/>
          <w:color w:val="auto"/>
        </w:rPr>
      </w:pPr>
    </w:p>
    <w:p w14:paraId="6BC6D949">
      <w:pPr>
        <w:pStyle w:val="13"/>
        <w:spacing w:after="0" w:line="560" w:lineRule="exact"/>
        <w:ind w:firstLine="2522" w:firstLineChars="900"/>
        <w:jc w:val="both"/>
        <w:rPr>
          <w:rFonts w:ascii="仿宋_GB2312" w:eastAsia="PMingLiU"/>
          <w:b/>
          <w:color w:val="auto"/>
        </w:rPr>
      </w:pPr>
    </w:p>
    <w:p w14:paraId="61989B40">
      <w:pPr>
        <w:pStyle w:val="13"/>
        <w:spacing w:after="0" w:line="560" w:lineRule="exact"/>
        <w:ind w:firstLine="2522" w:firstLineChars="900"/>
        <w:jc w:val="both"/>
        <w:rPr>
          <w:rFonts w:ascii="仿宋_GB2312" w:eastAsia="PMingLiU"/>
          <w:b/>
          <w:color w:val="auto"/>
        </w:rPr>
      </w:pPr>
    </w:p>
    <w:p w14:paraId="37D528CD">
      <w:pPr>
        <w:pStyle w:val="13"/>
        <w:spacing w:after="0" w:line="560" w:lineRule="exact"/>
        <w:ind w:firstLine="2522" w:firstLineChars="900"/>
        <w:jc w:val="both"/>
        <w:rPr>
          <w:rFonts w:ascii="仿宋_GB2312" w:eastAsia="PMingLiU"/>
          <w:b/>
          <w:color w:val="auto"/>
        </w:rPr>
      </w:pPr>
    </w:p>
    <w:p w14:paraId="159F3B0A">
      <w:pPr>
        <w:pStyle w:val="13"/>
        <w:spacing w:after="0" w:line="560" w:lineRule="exact"/>
        <w:ind w:firstLine="2522" w:firstLineChars="900"/>
        <w:jc w:val="both"/>
        <w:rPr>
          <w:rFonts w:ascii="仿宋_GB2312" w:eastAsia="PMingLiU"/>
          <w:b/>
          <w:color w:val="auto"/>
        </w:rPr>
      </w:pPr>
    </w:p>
    <w:p w14:paraId="29C80798">
      <w:pPr>
        <w:pStyle w:val="13"/>
        <w:spacing w:after="0" w:line="560" w:lineRule="exact"/>
        <w:ind w:firstLine="2522" w:firstLineChars="900"/>
        <w:jc w:val="both"/>
        <w:rPr>
          <w:rFonts w:ascii="仿宋_GB2312" w:eastAsia="PMingLiU"/>
          <w:b/>
          <w:color w:val="auto"/>
        </w:rPr>
      </w:pPr>
    </w:p>
    <w:p w14:paraId="4824AD5E">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14:paraId="13AEB5AF">
      <w:pPr>
        <w:pStyle w:val="13"/>
        <w:spacing w:after="0" w:line="560" w:lineRule="exact"/>
        <w:ind w:firstLine="2086" w:firstLineChars="742"/>
        <w:jc w:val="both"/>
        <w:rPr>
          <w:rFonts w:hint="default" w:ascii="仿宋_GB2312" w:eastAsia="仿宋_GB2312"/>
          <w:b/>
          <w:color w:val="auto"/>
          <w:lang w:val="en-US"/>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小谷围街道办事处</w:t>
      </w:r>
    </w:p>
    <w:p w14:paraId="7661B183">
      <w:pPr>
        <w:pStyle w:val="13"/>
        <w:spacing w:after="0" w:line="560" w:lineRule="exact"/>
        <w:ind w:firstLine="2086" w:firstLineChars="742"/>
        <w:jc w:val="both"/>
        <w:rPr>
          <w:rFonts w:hint="default" w:ascii="仿宋_GB2312" w:eastAsia="仿宋_GB2312"/>
          <w:b/>
          <w:color w:val="auto"/>
          <w:lang w:val="en-US" w:eastAsia="zh-CN"/>
        </w:rPr>
      </w:pPr>
      <w:r>
        <w:rPr>
          <w:rFonts w:hint="eastAsia" w:ascii="仿宋_GB2312" w:eastAsia="仿宋_GB2312"/>
          <w:b/>
          <w:color w:val="auto"/>
        </w:rPr>
        <w:t>项目承办方：广州市</w:t>
      </w:r>
      <w:r>
        <w:rPr>
          <w:rFonts w:hint="eastAsia" w:ascii="仿宋_GB2312" w:eastAsia="仿宋_GB2312"/>
          <w:b/>
          <w:color w:val="auto"/>
          <w:lang w:eastAsia="zh-CN"/>
        </w:rPr>
        <w:t>番禺区正阳</w:t>
      </w:r>
      <w:r>
        <w:rPr>
          <w:rFonts w:hint="eastAsia" w:ascii="仿宋_GB2312" w:eastAsia="仿宋_GB2312"/>
          <w:b/>
          <w:color w:val="auto"/>
        </w:rPr>
        <w:t>社会工作服务中心</w:t>
      </w:r>
    </w:p>
    <w:p w14:paraId="7B9A8B9D">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14:paraId="653BD74D">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2026年2</w:t>
      </w:r>
      <w:r>
        <w:rPr>
          <w:rFonts w:hint="eastAsia" w:ascii="仿宋_GB2312" w:eastAsia="仿宋_GB2312"/>
          <w:b/>
          <w:color w:val="auto"/>
          <w:lang w:val="en-US"/>
        </w:rPr>
        <w:t>月</w:t>
      </w:r>
      <w:r>
        <w:rPr>
          <w:rFonts w:hint="eastAsia" w:ascii="仿宋_GB2312" w:eastAsia="仿宋_GB2312"/>
          <w:b/>
          <w:color w:val="auto"/>
          <w:lang w:val="en-US" w:eastAsia="zh-CN"/>
        </w:rPr>
        <w:t>14</w:t>
      </w:r>
      <w:r>
        <w:rPr>
          <w:rFonts w:hint="eastAsia" w:ascii="仿宋_GB2312" w:eastAsia="仿宋_GB2312"/>
          <w:b/>
          <w:color w:val="auto"/>
          <w:lang w:val="en-US"/>
        </w:rPr>
        <w:t>日</w:t>
      </w:r>
    </w:p>
    <w:p w14:paraId="6A6AC279">
      <w:pPr>
        <w:pStyle w:val="13"/>
        <w:spacing w:after="0" w:line="240" w:lineRule="auto"/>
        <w:ind w:firstLine="0"/>
        <w:rPr>
          <w:color w:val="auto"/>
        </w:rPr>
      </w:pPr>
    </w:p>
    <w:p w14:paraId="1D321848">
      <w:pPr>
        <w:pStyle w:val="13"/>
        <w:spacing w:after="0" w:line="240" w:lineRule="auto"/>
        <w:ind w:firstLine="0"/>
        <w:rPr>
          <w:color w:val="auto"/>
        </w:rPr>
      </w:pPr>
    </w:p>
    <w:p w14:paraId="6B56F931">
      <w:pPr>
        <w:pStyle w:val="13"/>
        <w:spacing w:after="0" w:line="240" w:lineRule="auto"/>
        <w:ind w:firstLine="0"/>
        <w:rPr>
          <w:color w:val="auto"/>
        </w:rPr>
      </w:pPr>
    </w:p>
    <w:p w14:paraId="702A8789">
      <w:pPr>
        <w:pStyle w:val="13"/>
        <w:spacing w:after="0" w:line="240" w:lineRule="auto"/>
        <w:ind w:firstLine="0"/>
        <w:rPr>
          <w:color w:val="auto"/>
        </w:rPr>
      </w:pPr>
    </w:p>
    <w:p w14:paraId="05D90946">
      <w:pPr>
        <w:pStyle w:val="13"/>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14:paraId="10300385">
      <w:pPr>
        <w:pStyle w:val="13"/>
        <w:spacing w:after="0" w:line="240" w:lineRule="auto"/>
        <w:ind w:firstLine="0"/>
        <w:rPr>
          <w:color w:val="auto"/>
        </w:rPr>
      </w:pPr>
    </w:p>
    <w:bookmarkEnd w:id="3"/>
    <w:bookmarkEnd w:id="4"/>
    <w:bookmarkEnd w:id="5"/>
    <w:p w14:paraId="64DF9E6A">
      <w:pPr>
        <w:pStyle w:val="13"/>
        <w:spacing w:after="0" w:line="560" w:lineRule="exact"/>
        <w:ind w:firstLine="0"/>
        <w:jc w:val="center"/>
        <w:rPr>
          <w:rFonts w:hint="eastAsia" w:ascii="方正小标宋简体" w:eastAsia="方正小标宋简体"/>
          <w:b/>
          <w:bCs/>
          <w:color w:val="auto"/>
          <w:sz w:val="44"/>
          <w:szCs w:val="44"/>
          <w:lang w:val="en-US" w:eastAsia="zh-CN"/>
        </w:rPr>
      </w:pPr>
      <w:r>
        <w:rPr>
          <w:rFonts w:hint="eastAsia" w:ascii="方正小标宋简体" w:eastAsia="方正小标宋简体"/>
          <w:b/>
          <w:bCs/>
          <w:color w:val="auto"/>
          <w:sz w:val="44"/>
          <w:szCs w:val="44"/>
          <w:lang w:val="en-US" w:eastAsia="zh-CN"/>
        </w:rPr>
        <w:t>小谷围街社工服务站中期评估报告</w:t>
      </w:r>
    </w:p>
    <w:p w14:paraId="67C68EA8">
      <w:pPr>
        <w:pStyle w:val="13"/>
        <w:spacing w:after="0" w:line="560" w:lineRule="exact"/>
        <w:ind w:firstLine="0"/>
        <w:jc w:val="center"/>
        <w:rPr>
          <w:rFonts w:hint="eastAsia" w:ascii="方正小标宋简体" w:eastAsia="方正小标宋简体"/>
          <w:b/>
          <w:bCs/>
          <w:color w:val="auto"/>
          <w:sz w:val="44"/>
          <w:szCs w:val="44"/>
          <w:lang w:val="en-US" w:eastAsia="zh-CN"/>
        </w:rPr>
      </w:pPr>
      <w:r>
        <w:rPr>
          <w:rFonts w:hint="eastAsia" w:ascii="方正小标宋简体" w:eastAsia="方正小标宋简体"/>
          <w:b/>
          <w:bCs/>
          <w:color w:val="auto"/>
          <w:sz w:val="44"/>
          <w:szCs w:val="44"/>
          <w:lang w:val="en-US" w:eastAsia="zh-CN"/>
        </w:rPr>
        <w:t>（协议期：2025年8月15日—2026年8月14日）</w:t>
      </w:r>
    </w:p>
    <w:p w14:paraId="799A3E2A">
      <w:pPr>
        <w:pStyle w:val="13"/>
        <w:spacing w:after="0" w:line="560" w:lineRule="exact"/>
        <w:ind w:firstLine="0"/>
        <w:rPr>
          <w:rFonts w:hint="eastAsia" w:ascii="方正小标宋简体" w:eastAsia="方正小标宋简体"/>
          <w:b/>
          <w:bCs/>
          <w:color w:val="auto"/>
          <w:sz w:val="44"/>
          <w:szCs w:val="44"/>
          <w:lang w:val="en-US" w:eastAsia="zh-CN"/>
        </w:rPr>
      </w:pPr>
    </w:p>
    <w:p w14:paraId="3F4D9FFE">
      <w:pPr>
        <w:pStyle w:val="13"/>
        <w:pageBreakBefore w:val="0"/>
        <w:widowControl w:val="0"/>
        <w:kinsoku/>
        <w:wordWrap/>
        <w:overflowPunct/>
        <w:topLinePunct w:val="0"/>
        <w:autoSpaceDE/>
        <w:autoSpaceDN/>
        <w:bidi w:val="0"/>
        <w:adjustRightInd/>
        <w:snapToGrid/>
        <w:spacing w:after="0" w:line="52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小谷围街社工服务站</w:t>
      </w:r>
      <w:r>
        <w:rPr>
          <w:rFonts w:hint="eastAsia" w:ascii="仿宋_GB2312" w:eastAsia="仿宋_GB2312"/>
          <w:color w:val="auto"/>
          <w:sz w:val="32"/>
          <w:szCs w:val="32"/>
        </w:rPr>
        <w:t>（简称</w:t>
      </w:r>
      <w:r>
        <w:rPr>
          <w:rFonts w:hint="eastAsia" w:ascii="仿宋_GB2312" w:eastAsia="仿宋_GB2312"/>
          <w:color w:val="auto"/>
          <w:sz w:val="32"/>
          <w:szCs w:val="32"/>
          <w:lang w:val="en-US" w:eastAsia="zh-CN"/>
        </w:rPr>
        <w:t>小谷围街</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小谷围街</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小谷围街</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w:t>
      </w:r>
      <w:r>
        <w:rPr>
          <w:rFonts w:hint="eastAsia" w:ascii="仿宋_GB2312" w:eastAsia="仿宋_GB2312"/>
          <w:color w:val="auto"/>
          <w:sz w:val="32"/>
          <w:szCs w:val="32"/>
        </w:rPr>
        <w:t>实服务基础，拓展服务面，提升服务的专业化水平。本报告尽量呈现社工站的实际情况，因评估时间较短的关系，社工站部分服务成效不完全体现在报告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14:paraId="2405260C">
      <w:pPr>
        <w:pStyle w:val="11"/>
        <w:keepNext/>
        <w:keepLines/>
        <w:pageBreakBefore w:val="0"/>
        <w:widowControl w:val="0"/>
        <w:kinsoku/>
        <w:wordWrap/>
        <w:overflowPunct/>
        <w:topLinePunct w:val="0"/>
        <w:autoSpaceDE/>
        <w:autoSpaceDN/>
        <w:bidi w:val="0"/>
        <w:adjustRightInd/>
        <w:snapToGrid/>
        <w:spacing w:before="0" w:after="0" w:line="52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14:paraId="08CA6CF7">
      <w:pPr>
        <w:pStyle w:val="13"/>
        <w:pageBreakBefore w:val="0"/>
        <w:widowControl w:val="0"/>
        <w:kinsoku/>
        <w:wordWrap/>
        <w:overflowPunct/>
        <w:topLinePunct w:val="0"/>
        <w:autoSpaceDE/>
        <w:autoSpaceDN/>
        <w:bidi w:val="0"/>
        <w:adjustRightInd/>
        <w:snapToGrid/>
        <w:spacing w:after="0" w:line="52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2026年2月14日，番禺区社会组织联合会5位评委及2名工作人员对小谷围街社工站展开了中期评估工作。评估为期1天，主要通过听取社工站介绍、实地考察、查阅资料、面谈（访谈）、填写问卷、电访困难群众询问等形式，对小谷围街社工站的项目管理、服务开展情况以及项目成效等方面进行评估。评估团队主要完成了以下几方面的工作：</w:t>
      </w:r>
    </w:p>
    <w:p w14:paraId="59B73D9C">
      <w:pPr>
        <w:pStyle w:val="13"/>
        <w:keepNext w:val="0"/>
        <w:keepLines w:val="0"/>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sz w:val="32"/>
          <w:szCs w:val="32"/>
        </w:rPr>
      </w:pPr>
      <w:bookmarkStart w:id="6" w:name="bookmark6"/>
      <w:bookmarkEnd w:id="6"/>
      <w:bookmarkStart w:id="7" w:name="bookmark13"/>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14:paraId="7C54141E">
      <w:pPr>
        <w:pStyle w:val="13"/>
        <w:keepNext w:val="0"/>
        <w:keepLines w:val="0"/>
        <w:pageBreakBefore w:val="0"/>
        <w:widowControl w:val="0"/>
        <w:tabs>
          <w:tab w:val="left" w:pos="981"/>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sz w:val="32"/>
          <w:szCs w:val="32"/>
        </w:rPr>
      </w:pPr>
      <w:bookmarkStart w:id="8" w:name="bookmark7"/>
      <w:bookmarkEnd w:id="8"/>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14:paraId="0EC3D9C1">
      <w:pPr>
        <w:pStyle w:val="13"/>
        <w:keepNext w:val="0"/>
        <w:keepLines w:val="0"/>
        <w:pageBreakBefore w:val="0"/>
        <w:widowControl w:val="0"/>
        <w:tabs>
          <w:tab w:val="left" w:pos="976"/>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sz w:val="32"/>
          <w:szCs w:val="32"/>
        </w:rPr>
      </w:pPr>
      <w:bookmarkStart w:id="9" w:name="bookmark8"/>
      <w:bookmarkEnd w:id="9"/>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14:paraId="0B32A82D">
      <w:pPr>
        <w:pStyle w:val="13"/>
        <w:keepNext w:val="0"/>
        <w:keepLines w:val="0"/>
        <w:pageBreakBefore w:val="0"/>
        <w:widowControl w:val="0"/>
        <w:tabs>
          <w:tab w:val="left" w:pos="986"/>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sz w:val="32"/>
          <w:szCs w:val="32"/>
        </w:rPr>
      </w:pPr>
      <w:bookmarkStart w:id="10" w:name="bookmark9"/>
      <w:bookmarkEnd w:id="10"/>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14:paraId="5751B1AF">
      <w:pPr>
        <w:pStyle w:val="13"/>
        <w:keepNext w:val="0"/>
        <w:keepLines w:val="0"/>
        <w:pageBreakBefore w:val="0"/>
        <w:widowControl w:val="0"/>
        <w:tabs>
          <w:tab w:val="left" w:pos="986"/>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sz w:val="32"/>
          <w:szCs w:val="32"/>
        </w:rPr>
      </w:pPr>
      <w:bookmarkStart w:id="11" w:name="bookmark10"/>
      <w:bookmarkEnd w:id="11"/>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14:paraId="79413B0D">
      <w:pPr>
        <w:pStyle w:val="13"/>
        <w:keepNext w:val="0"/>
        <w:keepLines w:val="0"/>
        <w:pageBreakBefore w:val="0"/>
        <w:widowControl w:val="0"/>
        <w:tabs>
          <w:tab w:val="left" w:pos="952"/>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sz w:val="32"/>
          <w:szCs w:val="32"/>
        </w:rPr>
      </w:pPr>
      <w:bookmarkStart w:id="12" w:name="bookmark11"/>
      <w:bookmarkEnd w:id="12"/>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14:paraId="63F2313C">
      <w:pPr>
        <w:pStyle w:val="13"/>
        <w:keepNext w:val="0"/>
        <w:keepLines w:val="0"/>
        <w:pageBreakBefore w:val="0"/>
        <w:widowControl w:val="0"/>
        <w:tabs>
          <w:tab w:val="left" w:pos="986"/>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sz w:val="32"/>
          <w:szCs w:val="32"/>
        </w:rPr>
      </w:pPr>
      <w:bookmarkStart w:id="13" w:name="bookmark12"/>
      <w:bookmarkEnd w:id="13"/>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14:paraId="107530DC">
      <w:pPr>
        <w:pStyle w:val="13"/>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7"/>
      <w:r>
        <w:rPr>
          <w:rFonts w:hint="eastAsia" w:ascii="仿宋_GB2312" w:hAnsi="仿宋_GB2312" w:eastAsia="仿宋_GB2312" w:cs="仿宋_GB2312"/>
          <w:b/>
          <w:sz w:val="32"/>
          <w:szCs w:val="32"/>
        </w:rPr>
        <w:t>一）评估依据</w:t>
      </w:r>
    </w:p>
    <w:p w14:paraId="481F39A0">
      <w:pPr>
        <w:pStyle w:val="13"/>
        <w:pageBreakBefore w:val="0"/>
        <w:widowControl w:val="0"/>
        <w:numPr>
          <w:ilvl w:val="0"/>
          <w:numId w:val="1"/>
        </w:numPr>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sz w:val="32"/>
          <w:szCs w:val="32"/>
        </w:rPr>
      </w:pPr>
      <w:bookmarkStart w:id="14" w:name="bookmark14"/>
      <w:bookmarkEnd w:id="14"/>
      <w:r>
        <w:rPr>
          <w:rFonts w:hint="eastAsia" w:ascii="仿宋_GB2312" w:hAnsi="仿宋_GB2312" w:eastAsia="仿宋_GB2312" w:cs="仿宋_GB2312"/>
          <w:b/>
          <w:bCs/>
          <w:sz w:val="32"/>
          <w:szCs w:val="32"/>
        </w:rPr>
        <w:t>政策依据：</w:t>
      </w:r>
      <w:r>
        <w:rPr>
          <w:rFonts w:hint="eastAsia" w:ascii="仿宋_GB2312" w:hAnsi="仿宋_GB2312" w:eastAsia="仿宋_GB2312" w:cs="仿宋_GB2312"/>
          <w:sz w:val="32"/>
          <w:szCs w:val="32"/>
        </w:rPr>
        <w:t>《社会工作服务项目绩效评估指南》《广州市社工服务站管理办法》《广州市社工站购买服务项目评估办法》《广州市社工站岗位职责》《广州市社会工作服务条例》《广州市社工站购买服务项目服务清单（民政领域社会工作）》《广州市社工站购买服务项目服务标准》等。</w:t>
      </w:r>
    </w:p>
    <w:p w14:paraId="45719108">
      <w:pPr>
        <w:pStyle w:val="13"/>
        <w:keepNext w:val="0"/>
        <w:keepLines w:val="0"/>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hint="eastAsia" w:ascii="仿宋_GB2312" w:hAnsi="仿宋_GB2312" w:eastAsia="仿宋_GB2312" w:cs="仿宋_GB2312"/>
          <w:sz w:val="32"/>
          <w:szCs w:val="32"/>
        </w:rPr>
      </w:pPr>
      <w:bookmarkStart w:id="15" w:name="bookmark15"/>
      <w:bookmarkEnd w:id="15"/>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评估标准依据：</w:t>
      </w:r>
      <w:r>
        <w:rPr>
          <w:rFonts w:hint="eastAsia" w:ascii="仿宋_GB2312" w:hAnsi="仿宋_GB2312" w:eastAsia="仿宋_GB2312" w:cs="仿宋_GB2312"/>
          <w:sz w:val="32"/>
          <w:szCs w:val="32"/>
        </w:rPr>
        <w:t>《广州市社工站购买服务项目评估指标体系》。</w:t>
      </w:r>
    </w:p>
    <w:p w14:paraId="178EC1BE">
      <w:pPr>
        <w:pStyle w:val="13"/>
        <w:keepNext w:val="0"/>
        <w:keepLines w:val="0"/>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14:paraId="4B4D501D">
      <w:pPr>
        <w:pStyle w:val="13"/>
        <w:keepNext w:val="0"/>
        <w:keepLines w:val="0"/>
        <w:pageBreakBefore w:val="0"/>
        <w:widowControl w:val="0"/>
        <w:tabs>
          <w:tab w:val="left" w:pos="986"/>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sz w:val="32"/>
          <w:szCs w:val="32"/>
        </w:rPr>
      </w:pPr>
      <w:bookmarkStart w:id="16" w:name="bookmark17"/>
      <w:bookmarkEnd w:id="16"/>
      <w:bookmarkStart w:id="17" w:name="bookmark23"/>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14:paraId="00ACAF8B">
      <w:pPr>
        <w:pStyle w:val="13"/>
        <w:keepNext w:val="0"/>
        <w:keepLines w:val="0"/>
        <w:pageBreakBefore w:val="0"/>
        <w:widowControl w:val="0"/>
        <w:tabs>
          <w:tab w:val="left" w:pos="991"/>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sz w:val="32"/>
          <w:szCs w:val="32"/>
        </w:rPr>
      </w:pPr>
      <w:bookmarkStart w:id="18" w:name="bookmark18"/>
      <w:bookmarkEnd w:id="18"/>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14:paraId="7D9E10CD">
      <w:pPr>
        <w:pStyle w:val="13"/>
        <w:keepNext w:val="0"/>
        <w:keepLines w:val="0"/>
        <w:pageBreakBefore w:val="0"/>
        <w:widowControl w:val="0"/>
        <w:tabs>
          <w:tab w:val="left" w:pos="976"/>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sz w:val="32"/>
          <w:szCs w:val="32"/>
        </w:rPr>
      </w:pPr>
      <w:bookmarkStart w:id="19" w:name="bookmark19"/>
      <w:bookmarkEnd w:id="19"/>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14:paraId="17A35964">
      <w:pPr>
        <w:pStyle w:val="13"/>
        <w:keepNext w:val="0"/>
        <w:keepLines w:val="0"/>
        <w:pageBreakBefore w:val="0"/>
        <w:widowControl w:val="0"/>
        <w:tabs>
          <w:tab w:val="left" w:pos="981"/>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sz w:val="32"/>
          <w:szCs w:val="32"/>
        </w:rPr>
      </w:pPr>
      <w:bookmarkStart w:id="20" w:name="bookmark20"/>
      <w:bookmarkEnd w:id="20"/>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14:paraId="58B57742">
      <w:pPr>
        <w:pStyle w:val="13"/>
        <w:keepNext w:val="0"/>
        <w:keepLines w:val="0"/>
        <w:pageBreakBefore w:val="0"/>
        <w:widowControl w:val="0"/>
        <w:tabs>
          <w:tab w:val="left" w:pos="991"/>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sz w:val="32"/>
          <w:szCs w:val="32"/>
        </w:rPr>
      </w:pPr>
      <w:bookmarkStart w:id="21" w:name="bookmark21"/>
      <w:bookmarkEnd w:id="21"/>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14:paraId="39336BD6">
      <w:pPr>
        <w:pStyle w:val="13"/>
        <w:keepNext w:val="0"/>
        <w:keepLines w:val="0"/>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hint="eastAsia" w:ascii="仿宋_GB2312" w:eastAsia="仿宋_GB2312"/>
          <w:sz w:val="32"/>
          <w:szCs w:val="32"/>
        </w:rPr>
      </w:pPr>
      <w:bookmarkStart w:id="22" w:name="bookmark22"/>
      <w:bookmarkEnd w:id="22"/>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14:paraId="7ADA4950">
      <w:pPr>
        <w:pStyle w:val="13"/>
        <w:keepNext w:val="0"/>
        <w:keepLines w:val="0"/>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w:t>
      </w:r>
      <w:bookmarkEnd w:id="17"/>
      <w:r>
        <w:rPr>
          <w:rFonts w:hint="eastAsia" w:ascii="仿宋_GB2312" w:eastAsia="仿宋_GB2312"/>
          <w:b/>
          <w:sz w:val="32"/>
          <w:szCs w:val="32"/>
        </w:rPr>
        <w:t>三）评估阶段</w:t>
      </w:r>
    </w:p>
    <w:p w14:paraId="1C0C03C1">
      <w:pPr>
        <w:pStyle w:val="13"/>
        <w:keepNext w:val="0"/>
        <w:keepLines w:val="0"/>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hint="eastAsia" w:ascii="仿宋_GB2312" w:eastAsia="仿宋_GB2312"/>
          <w:b/>
          <w:sz w:val="32"/>
          <w:szCs w:val="32"/>
          <w:lang w:eastAsia="zh-CN"/>
        </w:rPr>
      </w:pPr>
      <w:bookmarkStart w:id="23" w:name="bookmark24"/>
      <w:bookmarkEnd w:id="23"/>
      <w:bookmarkStart w:id="24"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14:paraId="69DD9410">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w:t>
      </w:r>
      <w:r>
        <w:rPr>
          <w:rFonts w:hint="eastAsia" w:ascii="仿宋_GB2312" w:eastAsia="仿宋_GB2312"/>
          <w:sz w:val="32"/>
          <w:szCs w:val="32"/>
          <w:lang w:val="en-US" w:eastAsia="zh-CN"/>
        </w:rPr>
        <w:t>小谷围街</w:t>
      </w:r>
      <w:r>
        <w:rPr>
          <w:rFonts w:hint="eastAsia" w:ascii="仿宋_GB2312" w:eastAsia="仿宋_GB2312"/>
          <w:sz w:val="32"/>
          <w:szCs w:val="32"/>
          <w:lang w:eastAsia="zh-CN"/>
        </w:rPr>
        <w:t>社工站项目合同期限确定评估时间，制定好评估计划和评估通知。</w:t>
      </w:r>
    </w:p>
    <w:p w14:paraId="6DB11716">
      <w:pPr>
        <w:pStyle w:val="13"/>
        <w:keepNext w:val="0"/>
        <w:keepLines w:val="0"/>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14:paraId="421B30E4">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小谷围街</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14:paraId="5CF3D05E">
      <w:pPr>
        <w:pStyle w:val="13"/>
        <w:keepNext w:val="0"/>
        <w:keepLines w:val="0"/>
        <w:pageBreakBefore w:val="0"/>
        <w:widowControl w:val="0"/>
        <w:tabs>
          <w:tab w:val="left" w:pos="1001"/>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b/>
          <w:sz w:val="32"/>
          <w:szCs w:val="32"/>
          <w:lang w:eastAsia="zh-CN"/>
        </w:rPr>
      </w:pPr>
      <w:bookmarkStart w:id="25" w:name="bookmark25"/>
      <w:bookmarkEnd w:id="25"/>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14:paraId="412D9726">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w:t>
      </w:r>
      <w:r>
        <w:rPr>
          <w:rFonts w:hint="eastAsia" w:ascii="仿宋_GB2312" w:eastAsia="仿宋_GB2312"/>
          <w:sz w:val="32"/>
          <w:szCs w:val="32"/>
          <w:lang w:val="en-US" w:eastAsia="zh-CN"/>
        </w:rPr>
        <w:t>小谷围街</w:t>
      </w:r>
      <w:r>
        <w:rPr>
          <w:rFonts w:hint="eastAsia" w:ascii="仿宋_GB2312" w:eastAsia="仿宋_GB2312"/>
          <w:sz w:val="32"/>
          <w:szCs w:val="32"/>
          <w:lang w:eastAsia="zh-CN"/>
        </w:rPr>
        <w:t>社工站提供的材料进行审阅，实地考察，进行现场评估并打分。评估小组根据公平、公正的原则，严格按照评估要求，对</w:t>
      </w:r>
      <w:r>
        <w:rPr>
          <w:rFonts w:hint="eastAsia" w:ascii="仿宋_GB2312" w:eastAsia="仿宋_GB2312"/>
          <w:sz w:val="32"/>
          <w:szCs w:val="32"/>
          <w:lang w:val="en-US" w:eastAsia="zh-CN"/>
        </w:rPr>
        <w:t>小谷围街</w:t>
      </w:r>
      <w:r>
        <w:rPr>
          <w:rFonts w:hint="eastAsia" w:ascii="仿宋_GB2312" w:eastAsia="仿宋_GB2312"/>
          <w:sz w:val="32"/>
          <w:szCs w:val="32"/>
          <w:lang w:eastAsia="zh-CN"/>
        </w:rPr>
        <w:t>社工站进行评估工作。</w:t>
      </w:r>
    </w:p>
    <w:p w14:paraId="554A89D5">
      <w:pPr>
        <w:pStyle w:val="13"/>
        <w:keepNext w:val="0"/>
        <w:keepLines w:val="0"/>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14:paraId="38EF954C">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综合评委专家、监督方、购买方、市督导中心的意见和建议，在评估工作结束后5个工作日内，向番禺区民政局、</w:t>
      </w:r>
      <w:r>
        <w:rPr>
          <w:rFonts w:hint="eastAsia" w:ascii="仿宋_GB2312" w:eastAsia="仿宋_GB2312"/>
          <w:sz w:val="32"/>
          <w:szCs w:val="32"/>
          <w:lang w:val="en-US" w:eastAsia="zh-CN"/>
        </w:rPr>
        <w:t>小谷围街</w:t>
      </w:r>
      <w:r>
        <w:rPr>
          <w:rFonts w:hint="eastAsia" w:ascii="仿宋_GB2312" w:eastAsia="仿宋_GB2312"/>
          <w:sz w:val="32"/>
          <w:szCs w:val="32"/>
          <w:lang w:eastAsia="zh-CN"/>
        </w:rPr>
        <w:t>道办事处及</w:t>
      </w:r>
      <w:r>
        <w:rPr>
          <w:rFonts w:hint="eastAsia" w:ascii="仿宋_GB2312" w:eastAsia="仿宋_GB2312"/>
          <w:sz w:val="32"/>
          <w:szCs w:val="32"/>
          <w:lang w:val="en-US" w:eastAsia="zh-CN"/>
        </w:rPr>
        <w:t>小谷围街</w:t>
      </w:r>
      <w:r>
        <w:rPr>
          <w:rFonts w:hint="eastAsia" w:ascii="仿宋_GB2312" w:eastAsia="仿宋_GB2312"/>
          <w:sz w:val="32"/>
          <w:szCs w:val="32"/>
          <w:lang w:eastAsia="zh-CN"/>
        </w:rPr>
        <w:t>社工服务站反馈初评意见，对评估结果、存在问题及改进建议等进行沟通确认。</w:t>
      </w:r>
    </w:p>
    <w:p w14:paraId="6E939BD3">
      <w:pPr>
        <w:pStyle w:val="13"/>
        <w:keepNext w:val="0"/>
        <w:keepLines w:val="0"/>
        <w:pageBreakBefore w:val="0"/>
        <w:widowControl w:val="0"/>
        <w:tabs>
          <w:tab w:val="left" w:pos="1006"/>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b/>
          <w:sz w:val="32"/>
          <w:szCs w:val="32"/>
        </w:rPr>
      </w:pPr>
      <w:bookmarkStart w:id="26" w:name="bookmark27"/>
      <w:bookmarkEnd w:id="26"/>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中期</w:t>
      </w:r>
      <w:r>
        <w:rPr>
          <w:rFonts w:hint="eastAsia" w:ascii="仿宋_GB2312" w:eastAsia="仿宋_GB2312"/>
          <w:b/>
          <w:sz w:val="32"/>
          <w:szCs w:val="32"/>
        </w:rPr>
        <w:t>评估报告</w:t>
      </w:r>
    </w:p>
    <w:p w14:paraId="16BB6916">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w:t>
      </w:r>
      <w:r>
        <w:rPr>
          <w:rFonts w:hint="eastAsia" w:ascii="仿宋_GB2312" w:eastAsia="仿宋_GB2312"/>
          <w:sz w:val="32"/>
          <w:szCs w:val="32"/>
          <w:lang w:val="en-US" w:eastAsia="zh-CN"/>
        </w:rPr>
        <w:t>小谷围街</w:t>
      </w:r>
      <w:r>
        <w:rPr>
          <w:rFonts w:hint="eastAsia" w:ascii="仿宋_GB2312" w:eastAsia="仿宋_GB2312"/>
          <w:sz w:val="32"/>
          <w:szCs w:val="32"/>
          <w:lang w:eastAsia="zh-CN"/>
        </w:rPr>
        <w:t>道办事处及</w:t>
      </w:r>
      <w:r>
        <w:rPr>
          <w:rFonts w:hint="eastAsia" w:ascii="仿宋_GB2312" w:eastAsia="仿宋_GB2312"/>
          <w:sz w:val="32"/>
          <w:szCs w:val="32"/>
          <w:lang w:val="en-US" w:eastAsia="zh-CN"/>
        </w:rPr>
        <w:t>小谷围街</w:t>
      </w:r>
      <w:r>
        <w:rPr>
          <w:rFonts w:hint="eastAsia" w:ascii="仿宋_GB2312" w:eastAsia="仿宋_GB2312"/>
          <w:sz w:val="32"/>
          <w:szCs w:val="32"/>
          <w:lang w:eastAsia="zh-CN"/>
        </w:rPr>
        <w:t>社工服务站各出具一份评估报告，提出项目存在的问题及改进建议。</w:t>
      </w:r>
    </w:p>
    <w:p w14:paraId="4694087A">
      <w:pPr>
        <w:pStyle w:val="13"/>
        <w:keepNext w:val="0"/>
        <w:keepLines w:val="0"/>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14:paraId="2FEFA472">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小谷围街</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4"/>
    <w:p w14:paraId="23317573">
      <w:pPr>
        <w:pStyle w:val="13"/>
        <w:keepNext w:val="0"/>
        <w:keepLines w:val="0"/>
        <w:pageBreakBefore w:val="0"/>
        <w:widowControl w:val="0"/>
        <w:kinsoku/>
        <w:wordWrap/>
        <w:overflowPunct/>
        <w:topLinePunct w:val="0"/>
        <w:autoSpaceDE/>
        <w:autoSpaceDN/>
        <w:bidi w:val="0"/>
        <w:adjustRightInd/>
        <w:snapToGrid/>
        <w:spacing w:after="0" w:line="52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14:paraId="6F927C11">
      <w:pPr>
        <w:pStyle w:val="13"/>
        <w:keepNext w:val="0"/>
        <w:keepLines w:val="0"/>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14:paraId="4BE4CCA7">
      <w:pPr>
        <w:pStyle w:val="13"/>
        <w:keepNext w:val="0"/>
        <w:keepLines w:val="0"/>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7" w:name="bookmark29"/>
      <w:bookmarkEnd w:id="27"/>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签订的三方协议规定开展的服务内容开展评估工作，主要从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14:paraId="328CAC57">
      <w:pPr>
        <w:pStyle w:val="13"/>
        <w:keepNext w:val="0"/>
        <w:keepLines w:val="0"/>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rPr>
        <w:t>利益相关方满意度及知晓度访谈：</w:t>
      </w:r>
      <w:r>
        <w:rPr>
          <w:rFonts w:hint="eastAsia" w:ascii="仿宋_GB2312" w:eastAsia="仿宋_GB2312"/>
          <w:color w:val="auto"/>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14:paraId="020A4D10">
      <w:pPr>
        <w:pStyle w:val="13"/>
        <w:keepNext w:val="0"/>
        <w:keepLines w:val="0"/>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14:paraId="4BBDA392">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14:paraId="69E3E9CF">
      <w:pPr>
        <w:pStyle w:val="13"/>
        <w:keepNext w:val="0"/>
        <w:keepLines w:val="0"/>
        <w:pageBreakBefore w:val="0"/>
        <w:widowControl w:val="0"/>
        <w:kinsoku/>
        <w:wordWrap/>
        <w:overflowPunct/>
        <w:topLinePunct w:val="0"/>
        <w:autoSpaceDE/>
        <w:autoSpaceDN/>
        <w:bidi w:val="0"/>
        <w:adjustRightInd/>
        <w:snapToGrid/>
        <w:spacing w:after="0" w:line="52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14:paraId="3D817CA2">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 xml:space="preserve"> 60分至80分（不含80分）为合格，60分以下（不含60分）为不合格。评估中若发现有下列情形之一的，评估结果</w:t>
      </w:r>
      <w:r>
        <w:rPr>
          <w:rFonts w:hint="eastAsia" w:ascii="仿宋_GB2312" w:eastAsia="仿宋_GB2312"/>
          <w:sz w:val="32"/>
          <w:szCs w:val="32"/>
          <w:lang w:eastAsia="zh-CN"/>
        </w:rPr>
        <w:t>也确</w:t>
      </w:r>
      <w:r>
        <w:rPr>
          <w:rFonts w:hint="eastAsia" w:ascii="仿宋_GB2312" w:eastAsia="仿宋_GB2312"/>
          <w:sz w:val="32"/>
          <w:szCs w:val="32"/>
        </w:rPr>
        <w:t>定为不合格：</w:t>
      </w:r>
    </w:p>
    <w:p w14:paraId="64E719F2">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一</w:t>
      </w:r>
      <w:r>
        <w:rPr>
          <w:rFonts w:hint="eastAsia" w:ascii="仿宋_GB2312" w:eastAsia="仿宋_GB2312"/>
          <w:sz w:val="32"/>
          <w:szCs w:val="32"/>
          <w:lang w:eastAsia="zh-CN"/>
        </w:rPr>
        <w:t>）</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14:paraId="7C2CEBAE">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二</w:t>
      </w:r>
      <w:r>
        <w:rPr>
          <w:rFonts w:hint="eastAsia" w:ascii="仿宋_GB2312" w:eastAsia="仿宋_GB2312"/>
          <w:sz w:val="32"/>
          <w:szCs w:val="32"/>
          <w:lang w:eastAsia="zh-CN"/>
        </w:rPr>
        <w:t>）</w:t>
      </w:r>
      <w:r>
        <w:rPr>
          <w:rFonts w:hint="eastAsia" w:ascii="仿宋_GB2312" w:eastAsia="仿宋_GB2312"/>
          <w:sz w:val="32"/>
          <w:szCs w:val="32"/>
        </w:rPr>
        <w:t>社工人员配备不足的，其中中期评估累计缺少5人次或以上，末期评估累计缺少10人次或以上；</w:t>
      </w:r>
    </w:p>
    <w:p w14:paraId="687020B5">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w:t>
      </w:r>
      <w:r>
        <w:rPr>
          <w:rFonts w:hint="eastAsia" w:ascii="仿宋_GB2312" w:eastAsia="仿宋_GB2312"/>
          <w:sz w:val="32"/>
          <w:szCs w:val="32"/>
        </w:rPr>
        <w:t>持证社工比例不达标的，其中中期评估累计缺少3人次或以上，末期评估累计缺少6人次或以上；</w:t>
      </w:r>
    </w:p>
    <w:p w14:paraId="0993DDF4">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四</w:t>
      </w:r>
      <w:r>
        <w:rPr>
          <w:rFonts w:hint="eastAsia" w:ascii="仿宋_GB2312" w:eastAsia="仿宋_GB2312"/>
          <w:sz w:val="32"/>
          <w:szCs w:val="32"/>
          <w:lang w:eastAsia="zh-CN"/>
        </w:rPr>
        <w:t>）</w:t>
      </w:r>
      <w:r>
        <w:rPr>
          <w:rFonts w:hint="eastAsia" w:ascii="仿宋_GB2312" w:eastAsia="仿宋_GB2312"/>
          <w:sz w:val="32"/>
          <w:szCs w:val="32"/>
        </w:rPr>
        <w:t>年度服务期内人员费用支出比例低于80%的；</w:t>
      </w:r>
    </w:p>
    <w:p w14:paraId="5300C6EB">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五</w:t>
      </w:r>
      <w:r>
        <w:rPr>
          <w:rFonts w:hint="eastAsia" w:ascii="仿宋_GB2312" w:eastAsia="仿宋_GB2312"/>
          <w:sz w:val="32"/>
          <w:szCs w:val="32"/>
          <w:lang w:eastAsia="zh-CN"/>
        </w:rPr>
        <w:t>）</w:t>
      </w:r>
      <w:r>
        <w:rPr>
          <w:rFonts w:hint="eastAsia" w:ascii="仿宋_GB2312" w:eastAsia="仿宋_GB2312"/>
          <w:sz w:val="32"/>
          <w:szCs w:val="32"/>
        </w:rPr>
        <w:t>限期内整改不及时、不到位的；</w:t>
      </w:r>
    </w:p>
    <w:p w14:paraId="100ACEBB">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六</w:t>
      </w:r>
      <w:r>
        <w:rPr>
          <w:rFonts w:hint="eastAsia" w:ascii="仿宋_GB2312" w:eastAsia="仿宋_GB2312"/>
          <w:sz w:val="32"/>
          <w:szCs w:val="32"/>
          <w:lang w:eastAsia="zh-CN"/>
        </w:rPr>
        <w:t>）</w:t>
      </w:r>
      <w:r>
        <w:rPr>
          <w:rFonts w:hint="eastAsia" w:ascii="仿宋_GB2312" w:eastAsia="仿宋_GB2312"/>
          <w:sz w:val="32"/>
          <w:szCs w:val="32"/>
        </w:rPr>
        <w:t>专业评估结果为不合格的；</w:t>
      </w:r>
    </w:p>
    <w:p w14:paraId="65E574F1">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七</w:t>
      </w:r>
      <w:r>
        <w:rPr>
          <w:rFonts w:hint="eastAsia" w:ascii="仿宋_GB2312" w:eastAsia="仿宋_GB2312"/>
          <w:sz w:val="32"/>
          <w:szCs w:val="32"/>
          <w:lang w:eastAsia="zh-CN"/>
        </w:rPr>
        <w:t>）</w:t>
      </w:r>
      <w:r>
        <w:rPr>
          <w:rFonts w:hint="eastAsia" w:ascii="仿宋_GB2312" w:eastAsia="仿宋_GB2312"/>
          <w:sz w:val="32"/>
          <w:szCs w:val="32"/>
        </w:rPr>
        <w:t>财务评估结果为不合格的；</w:t>
      </w:r>
    </w:p>
    <w:p w14:paraId="7AD3F6D3">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w:t>
      </w:r>
      <w:r>
        <w:rPr>
          <w:rFonts w:hint="eastAsia" w:ascii="仿宋_GB2312" w:eastAsia="仿宋_GB2312"/>
          <w:sz w:val="32"/>
          <w:szCs w:val="32"/>
        </w:rPr>
        <w:t>八</w:t>
      </w:r>
      <w:r>
        <w:rPr>
          <w:rFonts w:hint="eastAsia" w:ascii="仿宋_GB2312" w:eastAsia="仿宋_GB2312"/>
          <w:sz w:val="32"/>
          <w:szCs w:val="32"/>
          <w:lang w:eastAsia="zh-CN"/>
        </w:rPr>
        <w:t>）</w:t>
      </w:r>
      <w:r>
        <w:rPr>
          <w:rFonts w:hint="eastAsia" w:ascii="仿宋_GB2312" w:eastAsia="仿宋_GB2312"/>
          <w:sz w:val="32"/>
          <w:szCs w:val="32"/>
        </w:rPr>
        <w:t>违反国家法律法规及有关规定的其他情形，情节严重的。</w:t>
      </w:r>
    </w:p>
    <w:p w14:paraId="1D582573">
      <w:pPr>
        <w:pStyle w:val="11"/>
        <w:keepNext/>
        <w:keepLines/>
        <w:pageBreakBefore w:val="0"/>
        <w:widowControl w:val="0"/>
        <w:kinsoku/>
        <w:wordWrap/>
        <w:overflowPunct/>
        <w:topLinePunct w:val="0"/>
        <w:autoSpaceDE/>
        <w:autoSpaceDN/>
        <w:bidi w:val="0"/>
        <w:adjustRightInd/>
        <w:snapToGrid/>
        <w:spacing w:before="0" w:after="0" w:line="52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14:paraId="59B1BAAC">
      <w:pPr>
        <w:pStyle w:val="13"/>
        <w:pageBreakBefore w:val="0"/>
        <w:widowControl w:val="0"/>
        <w:kinsoku/>
        <w:wordWrap/>
        <w:overflowPunct/>
        <w:topLinePunct w:val="0"/>
        <w:autoSpaceDE/>
        <w:autoSpaceDN/>
        <w:bidi w:val="0"/>
        <w:adjustRightInd/>
        <w:snapToGrid/>
        <w:spacing w:after="0" w:line="52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（―）社工站基本情况</w:t>
      </w:r>
    </w:p>
    <w:p w14:paraId="5D506787">
      <w:pPr>
        <w:pStyle w:val="13"/>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highlight w:val="yellow"/>
          <w:lang w:eastAsia="zh-CN"/>
        </w:rPr>
      </w:pPr>
      <w:r>
        <w:rPr>
          <w:rFonts w:hint="eastAsia" w:ascii="仿宋_GB2312" w:eastAsia="仿宋_GB2312"/>
          <w:color w:val="auto"/>
          <w:sz w:val="32"/>
          <w:szCs w:val="32"/>
          <w:lang w:eastAsia="zh-CN"/>
        </w:rPr>
        <w:t>小谷围街</w:t>
      </w:r>
      <w:r>
        <w:rPr>
          <w:rFonts w:hint="eastAsia" w:ascii="仿宋_GB2312" w:eastAsia="仿宋_GB2312"/>
          <w:color w:val="auto"/>
          <w:sz w:val="32"/>
          <w:szCs w:val="32"/>
        </w:rPr>
        <w:t>社工</w:t>
      </w:r>
      <w:r>
        <w:rPr>
          <w:rFonts w:hint="eastAsia" w:ascii="仿宋_GB2312" w:eastAsia="仿宋_GB2312"/>
          <w:color w:val="auto"/>
          <w:sz w:val="32"/>
          <w:szCs w:val="32"/>
          <w:lang w:eastAsia="zh-CN"/>
        </w:rPr>
        <w:t>服务</w:t>
      </w:r>
      <w:r>
        <w:rPr>
          <w:rFonts w:hint="eastAsia" w:ascii="仿宋_GB2312" w:eastAsia="仿宋_GB2312"/>
          <w:color w:val="auto"/>
          <w:sz w:val="32"/>
          <w:szCs w:val="32"/>
        </w:rPr>
        <w:t>站位于</w:t>
      </w:r>
      <w:r>
        <w:rPr>
          <w:rFonts w:hint="eastAsia" w:ascii="仿宋_GB2312" w:eastAsia="仿宋_GB2312"/>
          <w:color w:val="auto"/>
          <w:sz w:val="32"/>
          <w:szCs w:val="32"/>
          <w:lang w:val="en-US" w:eastAsia="zh-CN"/>
        </w:rPr>
        <w:t>番禺区大学城华工南路星汇文华5幢1楼。</w:t>
      </w:r>
      <w:r>
        <w:rPr>
          <w:rFonts w:hint="eastAsia" w:ascii="仿宋_GB2312" w:eastAsia="仿宋_GB2312"/>
          <w:color w:val="auto"/>
          <w:sz w:val="32"/>
          <w:szCs w:val="32"/>
          <w:lang w:eastAsia="zh-CN"/>
        </w:rPr>
        <w:t>小谷围街社工服务站成立于201</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6</w:t>
      </w:r>
      <w:r>
        <w:rPr>
          <w:rFonts w:hint="eastAsia" w:ascii="仿宋_GB2312" w:eastAsia="仿宋_GB2312"/>
          <w:color w:val="auto"/>
          <w:sz w:val="32"/>
          <w:szCs w:val="32"/>
          <w:lang w:eastAsia="zh-CN"/>
        </w:rPr>
        <w:t>月，从2019年11月起至今，由广州市番禺区正阳社会工作服务中心承接运营。</w:t>
      </w:r>
    </w:p>
    <w:p w14:paraId="51C8654A">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rPr>
      </w:pPr>
      <w:r>
        <w:rPr>
          <w:rFonts w:hint="eastAsia" w:ascii="仿宋_GB2312" w:hAnsi="宋体" w:eastAsia="仿宋_GB2312" w:cs="宋体"/>
          <w:sz w:val="32"/>
          <w:szCs w:val="32"/>
          <w:lang w:eastAsia="zh-CN"/>
        </w:rPr>
        <w:t>截至202</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年1月3</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9</w:t>
      </w:r>
      <w:r>
        <w:rPr>
          <w:rFonts w:hint="eastAsia" w:ascii="仿宋_GB2312" w:hAnsi="宋体" w:eastAsia="仿宋_GB2312" w:cs="宋体"/>
          <w:sz w:val="32"/>
          <w:szCs w:val="32"/>
          <w:lang w:eastAsia="zh-CN"/>
        </w:rPr>
        <w:t>名，其中社工专业人员</w:t>
      </w:r>
      <w:r>
        <w:rPr>
          <w:rFonts w:hint="eastAsia" w:ascii="仿宋_GB2312" w:hAnsi="宋体" w:eastAsia="仿宋_GB2312" w:cs="宋体"/>
          <w:sz w:val="32"/>
          <w:szCs w:val="32"/>
          <w:lang w:val="en-US" w:eastAsia="zh-CN"/>
        </w:rPr>
        <w:t>9</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4</w:t>
      </w:r>
      <w:r>
        <w:rPr>
          <w:rFonts w:hint="eastAsia" w:ascii="仿宋_GB2312" w:hAnsi="宋体" w:eastAsia="仿宋_GB2312" w:cs="宋体"/>
          <w:sz w:val="32"/>
          <w:szCs w:val="32"/>
          <w:lang w:eastAsia="zh-CN"/>
        </w:rPr>
        <w:t>人）。上次评估统计截止时间至本次评估统计开始时间期间（202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年</w:t>
      </w:r>
      <w:r>
        <w:rPr>
          <w:rFonts w:hint="eastAsia" w:ascii="仿宋_GB2312" w:hAnsi="宋体" w:eastAsia="仿宋_GB2312" w:cs="宋体"/>
          <w:sz w:val="32"/>
          <w:szCs w:val="32"/>
          <w:lang w:val="en-US" w:eastAsia="zh-CN"/>
        </w:rPr>
        <w:t>7</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31</w:t>
      </w:r>
      <w:r>
        <w:rPr>
          <w:rFonts w:hint="eastAsia" w:ascii="仿宋_GB2312" w:hAnsi="宋体" w:eastAsia="仿宋_GB2312" w:cs="宋体"/>
          <w:sz w:val="32"/>
          <w:szCs w:val="32"/>
          <w:lang w:eastAsia="zh-CN"/>
        </w:rPr>
        <w:t>日—2025年</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15</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10</w:t>
      </w:r>
      <w:r>
        <w:rPr>
          <w:rFonts w:hint="eastAsia" w:ascii="仿宋_GB2312" w:hAnsi="宋体" w:eastAsia="仿宋_GB2312" w:cs="宋体"/>
          <w:sz w:val="32"/>
          <w:szCs w:val="32"/>
          <w:lang w:eastAsia="zh-CN"/>
        </w:rPr>
        <w:t>名，其中社工专业人员</w:t>
      </w:r>
      <w:r>
        <w:rPr>
          <w:rFonts w:hint="eastAsia" w:ascii="仿宋_GB2312" w:hAnsi="宋体" w:eastAsia="仿宋_GB2312" w:cs="宋体"/>
          <w:sz w:val="32"/>
          <w:szCs w:val="32"/>
          <w:lang w:val="en-US" w:eastAsia="zh-CN"/>
        </w:rPr>
        <w:t>9</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4</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其他人员1人</w:t>
      </w:r>
      <w:r>
        <w:rPr>
          <w:rFonts w:hint="eastAsia" w:ascii="仿宋_GB2312" w:hAnsi="宋体" w:eastAsia="仿宋_GB2312" w:cs="宋体"/>
          <w:sz w:val="32"/>
          <w:szCs w:val="32"/>
          <w:lang w:eastAsia="zh-CN"/>
        </w:rPr>
        <w:t>。此外，社工站配备督导</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名，从事社会服务</w:t>
      </w:r>
      <w:r>
        <w:rPr>
          <w:rFonts w:hint="eastAsia" w:ascii="仿宋_GB2312" w:hAnsi="宋体" w:eastAsia="仿宋_GB2312" w:cs="宋体"/>
          <w:sz w:val="32"/>
          <w:szCs w:val="32"/>
          <w:lang w:val="en-US" w:eastAsia="zh-CN"/>
        </w:rPr>
        <w:t>9.5</w:t>
      </w:r>
      <w:r>
        <w:rPr>
          <w:rFonts w:hint="eastAsia" w:ascii="仿宋_GB2312" w:hAnsi="宋体" w:eastAsia="仿宋_GB2312" w:cs="宋体"/>
          <w:sz w:val="32"/>
          <w:szCs w:val="32"/>
          <w:lang w:eastAsia="zh-CN"/>
        </w:rPr>
        <w:t>年以上。</w:t>
      </w:r>
    </w:p>
    <w:p w14:paraId="31C11B64">
      <w:pPr>
        <w:pStyle w:val="13"/>
        <w:pageBreakBefore w:val="0"/>
        <w:widowControl w:val="0"/>
        <w:kinsoku/>
        <w:wordWrap/>
        <w:overflowPunct/>
        <w:topLinePunct w:val="0"/>
        <w:autoSpaceDE/>
        <w:autoSpaceDN/>
        <w:bidi w:val="0"/>
        <w:adjustRightInd/>
        <w:snapToGrid/>
        <w:spacing w:after="0" w:line="52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lang w:eastAsia="zh-CN"/>
        </w:rPr>
        <w:t>小谷围街</w:t>
      </w:r>
      <w:r>
        <w:rPr>
          <w:rFonts w:hint="eastAsia" w:ascii="仿宋_GB2312" w:eastAsia="仿宋_GB2312"/>
          <w:color w:val="auto"/>
          <w:sz w:val="32"/>
          <w:szCs w:val="32"/>
        </w:rPr>
        <w:t>社工站</w:t>
      </w:r>
      <w:r>
        <w:rPr>
          <w:rFonts w:hint="eastAsia" w:ascii="仿宋_GB2312" w:eastAsia="仿宋_GB2312"/>
          <w:sz w:val="32"/>
          <w:szCs w:val="32"/>
          <w:lang w:val="en-US" w:eastAsia="zh-CN"/>
        </w:rPr>
        <w:t>评估期限内</w:t>
      </w:r>
      <w:r>
        <w:rPr>
          <w:rFonts w:hint="eastAsia" w:ascii="仿宋_GB2312" w:eastAsia="仿宋_GB2312"/>
          <w:sz w:val="32"/>
          <w:szCs w:val="32"/>
        </w:rPr>
        <w:t>服务经费</w:t>
      </w:r>
      <w:r>
        <w:rPr>
          <w:rFonts w:hint="eastAsia" w:ascii="仿宋_GB2312" w:eastAsia="仿宋_GB2312"/>
          <w:sz w:val="32"/>
          <w:szCs w:val="32"/>
          <w:lang w:val="en-US" w:eastAsia="zh-CN"/>
        </w:rPr>
        <w:t>108万元，</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6</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14</w:t>
      </w:r>
      <w:r>
        <w:rPr>
          <w:rFonts w:hint="eastAsia" w:ascii="仿宋_GB2312" w:eastAsia="仿宋_GB2312"/>
          <w:color w:val="auto"/>
          <w:sz w:val="32"/>
          <w:szCs w:val="32"/>
        </w:rPr>
        <w:t>日。本次考核期为202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年8月</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日—202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31</w:t>
      </w:r>
      <w:r>
        <w:rPr>
          <w:rFonts w:hint="eastAsia" w:ascii="仿宋_GB2312" w:eastAsia="仿宋_GB2312"/>
          <w:color w:val="auto"/>
          <w:sz w:val="32"/>
          <w:szCs w:val="32"/>
        </w:rPr>
        <w:t>日，考核</w:t>
      </w:r>
      <w:r>
        <w:rPr>
          <w:rFonts w:hint="eastAsia" w:ascii="仿宋_GB2312" w:eastAsia="仿宋_GB2312"/>
          <w:color w:val="auto"/>
          <w:sz w:val="32"/>
          <w:szCs w:val="32"/>
          <w:lang w:val="en-US" w:eastAsia="zh-CN"/>
        </w:rPr>
        <w:t>5.5</w:t>
      </w:r>
      <w:r>
        <w:rPr>
          <w:rFonts w:hint="eastAsia" w:ascii="仿宋_GB2312" w:eastAsia="仿宋_GB2312"/>
          <w:color w:val="auto"/>
          <w:sz w:val="32"/>
          <w:szCs w:val="32"/>
        </w:rPr>
        <w:t>个月。</w:t>
      </w:r>
    </w:p>
    <w:p w14:paraId="53B13EB0">
      <w:pPr>
        <w:pStyle w:val="13"/>
        <w:pageBreakBefore w:val="0"/>
        <w:widowControl w:val="0"/>
        <w:kinsoku/>
        <w:wordWrap/>
        <w:overflowPunct/>
        <w:topLinePunct w:val="0"/>
        <w:autoSpaceDE/>
        <w:autoSpaceDN/>
        <w:bidi w:val="0"/>
        <w:adjustRightInd/>
        <w:snapToGrid/>
        <w:spacing w:after="0" w:line="52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14:paraId="3BF85005">
      <w:pPr>
        <w:pStyle w:val="13"/>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截至2026年1月31日，</w:t>
      </w:r>
      <w:r>
        <w:rPr>
          <w:rFonts w:hint="eastAsia" w:ascii="仿宋_GB2312" w:eastAsia="仿宋_GB2312"/>
          <w:color w:val="auto"/>
          <w:sz w:val="32"/>
          <w:szCs w:val="32"/>
          <w:lang w:val="en-US" w:eastAsia="zh-CN"/>
        </w:rPr>
        <w:t>社工站共完成家访854户，电访601户，分别完成协议指标量的53.38%、60.10%；专业个案接案8人，服务节数48节，分别完成指标量53.33%，64.00%。开展小组3个，完成15节，服务102人次，分别完成指标的100.00%、100.00%、113.33%。完成社区活动11场，服务1137人次，培育老年志愿者队伍3支，分别完成指标的55.00%、153.55%、150.00%。（以上数据由社工站提供，各项目指标完成情况见附件l）</w:t>
      </w:r>
    </w:p>
    <w:p w14:paraId="0AEBDB21">
      <w:pPr>
        <w:pStyle w:val="13"/>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从以上数据可知，小谷围街社工站服务指标完成情况良好，在服务进度方面整体把握到位。</w:t>
      </w:r>
    </w:p>
    <w:p w14:paraId="2E6885D6">
      <w:pPr>
        <w:pStyle w:val="13"/>
        <w:pageBreakBefore w:val="0"/>
        <w:widowControl w:val="0"/>
        <w:kinsoku/>
        <w:wordWrap/>
        <w:overflowPunct/>
        <w:topLinePunct w:val="0"/>
        <w:autoSpaceDE/>
        <w:autoSpaceDN/>
        <w:bidi w:val="0"/>
        <w:adjustRightInd/>
        <w:snapToGrid/>
        <w:spacing w:after="0" w:line="52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14:paraId="69672053">
      <w:pPr>
        <w:pStyle w:val="13"/>
        <w:pageBreakBefore w:val="0"/>
        <w:widowControl w:val="0"/>
        <w:kinsoku/>
        <w:wordWrap/>
        <w:overflowPunct/>
        <w:topLinePunct w:val="0"/>
        <w:autoSpaceDE/>
        <w:autoSpaceDN/>
        <w:bidi w:val="0"/>
        <w:adjustRightInd/>
        <w:snapToGrid/>
        <w:spacing w:after="0" w:line="52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通过与社工站主任、相关行政人员访谈，查阅相关资料等方式了解社工站运营管理情况，汇总成以下几点：</w:t>
      </w:r>
    </w:p>
    <w:p w14:paraId="5744FC42">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1A2F8F1A">
      <w:pPr>
        <w:pStyle w:val="13"/>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bookmarkStart w:id="28" w:name="bookmark31"/>
      <w:bookmarkEnd w:id="28"/>
      <w:r>
        <w:rPr>
          <w:rFonts w:hint="eastAsia" w:ascii="仿宋_GB2312" w:eastAsia="仿宋_GB2312"/>
          <w:color w:val="auto"/>
          <w:sz w:val="32"/>
          <w:szCs w:val="32"/>
          <w:lang w:val="en-US" w:eastAsia="zh-CN"/>
        </w:rPr>
        <w:t xml:space="preserve">（1）人员配备充足。截至2026年1月31日，社工站项目共配备社工9人。社工应到54人次，实到56人次。持证社工9人，持证社工占比100%，持证社工应到36人次，实到54人次。从业三年以上社工9人，占协议社工总人数的100%。持续在岗9人，稳岗率100%。社工继续教育总时数达标。社工站项目负责人自2015年7月开始至今一直从事社会服务，持有中级社会工作职业水平证书，资质和资历符合要求。 </w:t>
      </w:r>
    </w:p>
    <w:p w14:paraId="22CC3015">
      <w:pPr>
        <w:pStyle w:val="13"/>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服务管理制度基本建立。专业伦理价值规范和服务对象权益保障方面，已建立了相应的管理制度，开展了主题培训及知识测验，在社工站日常运营及服务中能有所实践，包括日常安全管理及巡查、服务知情告知等。积极开展服务整改工作，增加了外展活动宣传社工站服务。能通过多种方式收集服务对象的反馈，并持续改善服务开展。</w:t>
      </w:r>
    </w:p>
    <w:p w14:paraId="069732A8">
      <w:pPr>
        <w:pStyle w:val="13"/>
        <w:pageBreakBefore w:val="0"/>
        <w:widowControl w:val="0"/>
        <w:tabs>
          <w:tab w:val="left" w:pos="1355"/>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宣传渠道多样。社工站制定了宣传画册、年报季刊等宣传资料，线上线下开展日常宣传工作。通过外展活动，让居民参与体验服务，并派发宣传资料，不断提高服务知晓度；通过项目展示及案例撰写，积极推广社工站服务，能定期更新微信公众号，发布服务信息，相关活动多次被各级主流媒体报道，较好地扩大宣传范围。</w:t>
      </w:r>
    </w:p>
    <w:p w14:paraId="69811773">
      <w:pPr>
        <w:pStyle w:val="13"/>
        <w:pageBreakBefore w:val="0"/>
        <w:widowControl w:val="0"/>
        <w:tabs>
          <w:tab w:val="left" w:pos="1355"/>
        </w:tabs>
        <w:kinsoku/>
        <w:wordWrap/>
        <w:overflowPunct/>
        <w:topLinePunct w:val="0"/>
        <w:autoSpaceDE/>
        <w:autoSpaceDN/>
        <w:bidi w:val="0"/>
        <w:adjustRightInd/>
        <w:snapToGrid/>
        <w:spacing w:after="0" w:line="520" w:lineRule="exact"/>
        <w:ind w:firstLine="643"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29" w:name="bookmark38"/>
      <w:bookmarkEnd w:id="29"/>
      <w:bookmarkStart w:id="30" w:name="bookmark39"/>
      <w:bookmarkEnd w:id="30"/>
      <w:bookmarkStart w:id="31" w:name="bookmark36"/>
      <w:bookmarkEnd w:id="31"/>
      <w:bookmarkStart w:id="32" w:name="bookmark37"/>
      <w:bookmarkEnd w:id="32"/>
    </w:p>
    <w:p w14:paraId="596CDF24">
      <w:pPr>
        <w:pStyle w:val="13"/>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）建议将项目期内人员长假申请、审批的人事资料做好归档，以呈现项目期内人员在岗情况。</w:t>
      </w:r>
    </w:p>
    <w:p w14:paraId="32F26376">
      <w:pPr>
        <w:pStyle w:val="13"/>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服务内控管理工作仍有不足。在评估期内未针对社工在专业伦理价值规范方面的实践表现进行评价，建议优化该项工作的制度指引及实施。针对上一期评估建议的整改工作不够完善，整改计划的内容不清晰，没有具体的措施；服务内控制度界定了机构监督与指导的内容，但在实施方面仍较薄弱，尤其是针对工作整改给予指导意见这方面未见相关实施材料，机构在进行站点档案更新检查的记录也未能体现其监督指导作用的发挥，建议按相关服务内控制度落实，提升服务整改工作的质量和水平。</w:t>
      </w:r>
    </w:p>
    <w:p w14:paraId="5DC3B5C7">
      <w:pPr>
        <w:pStyle w:val="13"/>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14:paraId="68A11088">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50729B2E">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3" w:name="bookmark40"/>
      <w:bookmarkEnd w:id="33"/>
    </w:p>
    <w:p w14:paraId="4B0DE969">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党的工作覆盖能重点关注困难群众和特殊群体的服务需要，联动开展共建服务。社工站积极收集困难对象的微心愿，积极创新“五结对”的方式开展关爱帮扶服务，并主动与辖内4村1居党委和2个企业党支部、2所高校支委签订共建合作协议，较好地发挥了党的工作覆盖在服务困难对象中的引领作用，值得肯定。</w:t>
      </w:r>
    </w:p>
    <w:p w14:paraId="21DF30CA">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慈善项目积极活化社区慈善资源、持续推进“政社校企”协同服务。社工站结合辖内高校资源丰富的特点，积极与政府、社区、学校和企业共建共联，积极搭建“善行守护”的公益平台，积极筹集了200485元慈善资源，其中，自主链接的社会物资资源折合有180214元，全面发挥了社会慈善资源的破难攻坚成效，值得肯定。</w:t>
      </w:r>
    </w:p>
    <w:p w14:paraId="368598FF">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五社联动”机制健全，能发挥大学生资源优势，积极壮大社区服务力量。社工站积极建立健全“五社联动”机制，本年度联动了10个社区社会组织、4个志愿者队伍，培育了3个老年志愿者队伍持续开展困难群众和特殊群体服务了37场次，服务了801人次；积极与医学院校、工科院校的志愿者队伍联动共建，并多维度发挥大学生志愿者的专长与资源优势，结合“关爱赋能”等方式壮大了“五社”服务社区的技能与力量，为联动解决问题注入活力，值得肯定。服务评价方面，经问卷调查、电访等方式调查服务对象满意度112人参与，其中109人满意度达95%以上，综合满意度较高。</w:t>
      </w:r>
    </w:p>
    <w:p w14:paraId="43D04426">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37313299">
      <w:pPr>
        <w:pStyle w:val="13"/>
        <w:pageBreakBefore w:val="0"/>
        <w:widowControl w:val="0"/>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4" w:name="bookmark44"/>
      <w:bookmarkEnd w:id="34"/>
      <w:bookmarkStart w:id="35" w:name="bookmark43"/>
      <w:bookmarkEnd w:id="35"/>
      <w:bookmarkStart w:id="36" w:name="bookmark45"/>
      <w:bookmarkEnd w:id="36"/>
    </w:p>
    <w:p w14:paraId="3A3FA163">
      <w:pPr>
        <w:pStyle w:val="13"/>
        <w:pageBreakBefore w:val="0"/>
        <w:widowControl w:val="0"/>
        <w:numPr>
          <w:ilvl w:val="0"/>
          <w:numId w:val="0"/>
        </w:numPr>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1）党的组织建设需多关注党员社工的监督、管理和服务。建议社工站依托所属机构党支部，进一步做好党员社工、入党积极分子和社工骨干的管理、监督与社会公益服务，把教育学习的素养提升全面落地在基层先锋模范服务之中。</w:t>
      </w:r>
    </w:p>
    <w:p w14:paraId="49718112">
      <w:pPr>
        <w:pStyle w:val="13"/>
        <w:pageBreakBefore w:val="0"/>
        <w:widowControl w:val="0"/>
        <w:numPr>
          <w:ilvl w:val="0"/>
          <w:numId w:val="0"/>
        </w:numPr>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2）需求调研的交叉分析和服务设计的主题聚焦有待加强。建议社工站结合前期需求调研，及时梳理形成问题清单，深入分析不同需求类型在站、片、点等不同层次的交叉需求，并着力突出服务设计拟回应的主题需求或重点问题。</w:t>
      </w:r>
    </w:p>
    <w:p w14:paraId="44E048FC">
      <w:pPr>
        <w:pStyle w:val="13"/>
        <w:pageBreakBefore w:val="0"/>
        <w:widowControl w:val="0"/>
        <w:numPr>
          <w:ilvl w:val="0"/>
          <w:numId w:val="0"/>
        </w:numPr>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3）特色服务的亮点和专业发挥、慈善服务的资源整合力度有待加强。建议社工站在加强关爱服务、链接社会物资资源的同时，进一步加大对社会工作专业优势在服务中发挥具体作用或角色的结合思考与总结分析，进一步加快协助筹集社区慈善资金的力度与进程，并进一步加强对辖区特色元素鲜明的亮点经验的梳理和提炼。</w:t>
      </w:r>
    </w:p>
    <w:p w14:paraId="4838FEC4">
      <w:pPr>
        <w:pStyle w:val="13"/>
        <w:pageBreakBefore w:val="0"/>
        <w:widowControl w:val="0"/>
        <w:numPr>
          <w:ilvl w:val="0"/>
          <w:numId w:val="0"/>
        </w:numPr>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（4）持续完善广州社工“红棉守护”热线后台服务记录。建议社工站结合困难对象的需求清单，积极做好需求回应的同时，及时填写服务记录，有序呈现服务跟进过程。</w:t>
      </w:r>
    </w:p>
    <w:p w14:paraId="77DBEC10">
      <w:pPr>
        <w:pStyle w:val="13"/>
        <w:pageBreakBefore w:val="0"/>
        <w:widowControl w:val="0"/>
        <w:numPr>
          <w:ilvl w:val="0"/>
          <w:numId w:val="0"/>
        </w:numPr>
        <w:kinsoku/>
        <w:wordWrap/>
        <w:overflowPunct/>
        <w:topLinePunct w:val="0"/>
        <w:autoSpaceDE/>
        <w:autoSpaceDN/>
        <w:bidi w:val="0"/>
        <w:adjustRightInd/>
        <w:snapToGrid/>
        <w:spacing w:after="0" w:line="520" w:lineRule="exact"/>
        <w:ind w:firstLine="643"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14:paraId="331A6BFF">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第一片区：星汇社区</w:t>
      </w:r>
    </w:p>
    <w:p w14:paraId="16D4858C">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14:paraId="33E09CCC">
      <w:pPr>
        <w:pStyle w:val="13"/>
        <w:pageBreakBefore w:val="0"/>
        <w:widowControl w:val="0"/>
        <w:kinsoku/>
        <w:wordWrap/>
        <w:overflowPunct/>
        <w:topLinePunct w:val="0"/>
        <w:autoSpaceDE/>
        <w:autoSpaceDN/>
        <w:bidi w:val="0"/>
        <w:adjustRightInd/>
        <w:snapToGrid/>
        <w:spacing w:after="0" w:line="52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14:paraId="6A87098D">
      <w:pPr>
        <w:pStyle w:val="13"/>
        <w:pageBreakBefore w:val="0"/>
        <w:widowControl w:val="0"/>
        <w:numPr>
          <w:ilvl w:val="0"/>
          <w:numId w:val="2"/>
        </w:numPr>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bookmarkStart w:id="37" w:name="bookmark48"/>
      <w:bookmarkEnd w:id="37"/>
      <w:bookmarkStart w:id="38" w:name="bookmark47"/>
      <w:bookmarkEnd w:id="38"/>
      <w:bookmarkStart w:id="39" w:name="bookmark46"/>
      <w:bookmarkEnd w:id="39"/>
      <w:r>
        <w:rPr>
          <w:rFonts w:hint="eastAsia" w:ascii="仿宋_GB2312" w:eastAsia="仿宋_GB2312"/>
          <w:color w:val="auto"/>
          <w:sz w:val="32"/>
          <w:szCs w:val="32"/>
          <w:lang w:eastAsia="zh-CN"/>
        </w:rPr>
        <w:t>片区的社工能较扎实地构建“一户一档、一人一案”动态管理机制，实现了建档全覆盖、档案动态更新、分级分类跟进等。同时，社工与事务性岗位社工、居委民政干部保持了较高频的联动，半年内定期沟通达49次，确保了政策信息同步、服务衔接顺畅。例如在服务对象残疾证迁移个案中，社工能主动联动残联与居委，逐句讲解政策、陪同现场办理，真正实现从“人找政策”到“政策找人”的转变。</w:t>
      </w:r>
    </w:p>
    <w:p w14:paraId="68053DBE">
      <w:pPr>
        <w:pStyle w:val="13"/>
        <w:pageBreakBefore w:val="0"/>
        <w:widowControl w:val="0"/>
        <w:numPr>
          <w:ilvl w:val="0"/>
          <w:numId w:val="2"/>
        </w:numPr>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 xml:space="preserve">在资源链接方面，片区社工表现出了较好的主动性，能广泛地撬动社会慈善力量参与兜底服务。通过积极联动番禺区慈善会、大学城朝阳幼儿园、普瑞眼科及多支高校志愿团队，半年内为困难群众和特殊群体圆梦微心愿5个，链接物资及资金折合人民币约2.3万元；捐赠物资适配了不同残疾类别与生活场景的实用品，较好回应了个体在通讯、娱乐、健康监测等方面的具体需求。 </w:t>
      </w:r>
    </w:p>
    <w:p w14:paraId="4DBF414A">
      <w:pPr>
        <w:pStyle w:val="13"/>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片区的社工在个案服务的开展中，能够围绕服务对象的复杂困境开展多维帮扶，例如对于困境儿童，社工在政策救助不符的条件下并未止步，而是主动联动了街道政务系统，成功为其申请医疗费用二次报销；在听力残疾长者的服务中，社工不仅协助其申请助听器并全程跟进适配、领取、试用反馈，还针对其血压计损坏问题链接了“健康包”并现场教学使用。此外，社工主动邀请困境儿童担任社区志愿者，使其从“被服务者”转变为“服务参与者”，较好体现了社工服务发展性、赋能性与社区融入的导向。</w:t>
      </w:r>
    </w:p>
    <w:p w14:paraId="1C51395E">
      <w:pPr>
        <w:pStyle w:val="13"/>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33D661D8">
      <w:pPr>
        <w:pStyle w:val="13"/>
        <w:pageBreakBefore w:val="0"/>
        <w:widowControl w:val="0"/>
        <w:kinsoku/>
        <w:wordWrap/>
        <w:overflowPunct/>
        <w:topLinePunct w:val="0"/>
        <w:autoSpaceDE/>
        <w:autoSpaceDN/>
        <w:bidi w:val="0"/>
        <w:adjustRightInd/>
        <w:snapToGrid/>
        <w:spacing w:after="0" w:line="52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14:paraId="5F804830">
      <w:pPr>
        <w:pStyle w:val="13"/>
        <w:pageBreakBefore w:val="0"/>
        <w:widowControl w:val="0"/>
        <w:kinsoku/>
        <w:wordWrap/>
        <w:overflowPunct/>
        <w:topLinePunct w:val="0"/>
        <w:autoSpaceDE/>
        <w:autoSpaceDN/>
        <w:bidi w:val="0"/>
        <w:adjustRightInd/>
        <w:snapToGrid/>
        <w:spacing w:after="0" w:line="520" w:lineRule="exact"/>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当前调研的访谈对象仅为1名社区民政干部，信息来源相对单一，难以全面反映服务对象、社区居民及多元利益相关方的真实诉求。建议适当扩大访谈范围，增加对不同类型困难群众和特殊群体的半结构式访谈，了解其服务体验、未满足需求及接受服务的意愿；同时访谈若干名社区热心志愿者、社区商铺经营者，掌握社区慈善资源参与的意愿及困难。此外，片区“人户分离”也占有一定比例及服务可及性不同，也可考虑针对此情况，在服务清单中予以区分。</w:t>
      </w:r>
    </w:p>
    <w:p w14:paraId="6F73073C">
      <w:pPr>
        <w:pStyle w:val="13"/>
        <w:pageBreakBefore w:val="0"/>
        <w:widowControl w:val="0"/>
        <w:kinsoku/>
        <w:wordWrap/>
        <w:overflowPunct/>
        <w:topLinePunct w:val="0"/>
        <w:autoSpaceDE/>
        <w:autoSpaceDN/>
        <w:bidi w:val="0"/>
        <w:adjustRightInd/>
        <w:snapToGrid/>
        <w:spacing w:after="0" w:line="520" w:lineRule="exact"/>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需求评估清晰归纳了“综合服务、情绪支持、能力提升、社会融入”四大共性需求，但对部分需求的成因、程度及差异化表现挖掘尚显不足。例如，“情绪支持”主要指向照顾者压力，但未分析压力来源是经济负担、照护技能不足还是社交隔离，“能力提升”在困境儿童与残疾人群体中的具体内涵是社交能力、安全意识还是生活自理等，亦需细化。</w:t>
      </w:r>
    </w:p>
    <w:p w14:paraId="103FC4CA">
      <w:pPr>
        <w:pStyle w:val="13"/>
        <w:pageBreakBefore w:val="0"/>
        <w:widowControl w:val="0"/>
        <w:kinsoku/>
        <w:wordWrap/>
        <w:overflowPunct/>
        <w:topLinePunct w:val="0"/>
        <w:autoSpaceDE/>
        <w:autoSpaceDN/>
        <w:bidi w:val="0"/>
        <w:adjustRightInd/>
        <w:snapToGrid/>
        <w:spacing w:after="0" w:line="520" w:lineRule="exact"/>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当前服务分目标均以“提供服务”“开展服务”“联动力量”等过程性表述为主，较缺乏可衡量、可验证的成效指标，较难支撑后续的服务评估及成效检视。建议为每个分目标增设具体的成效陈述与量化指标，不仅能呈现“做了什么”，也能看到“带来了什么改变”。同时，在“基础性民生服务”版块中补充“资源撬动路径”，增强机制化的设计，如培育计划、联动试点等，以能切实看到其是如何回应兜底性民生服务。</w:t>
      </w:r>
    </w:p>
    <w:p w14:paraId="785C24F9">
      <w:pPr>
        <w:pStyle w:val="13"/>
        <w:pageBreakBefore w:val="0"/>
        <w:widowControl w:val="0"/>
        <w:kinsoku/>
        <w:wordWrap/>
        <w:overflowPunct/>
        <w:topLinePunct w:val="0"/>
        <w:autoSpaceDE/>
        <w:autoSpaceDN/>
        <w:bidi w:val="0"/>
        <w:adjustRightInd/>
        <w:snapToGrid/>
        <w:spacing w:after="0" w:line="520" w:lineRule="exact"/>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4）在疑难个案的解决中，社工可加强对于案主家庭动力的挖掘，如增加对于丈夫压力的评估、奶奶角色的清晰化以及家庭会议的使用等，使得社工能真正促成家庭成员之间关于责任、压力、情感支持的对话，而不只是帮助案主说服了家人。同时，在困难群众和特殊群体的建档服务中，可以更加精准、精细，在对服务对象的问题评估中，应尽量避免个人主观性的评判。</w:t>
      </w:r>
    </w:p>
    <w:p w14:paraId="04948852">
      <w:pPr>
        <w:pStyle w:val="13"/>
        <w:pageBreakBefore w:val="0"/>
        <w:widowControl w:val="0"/>
        <w:kinsoku/>
        <w:wordWrap/>
        <w:overflowPunct/>
        <w:topLinePunct w:val="0"/>
        <w:autoSpaceDE/>
        <w:autoSpaceDN/>
        <w:bidi w:val="0"/>
        <w:adjustRightInd/>
        <w:snapToGrid/>
        <w:spacing w:after="0" w:line="520" w:lineRule="exact"/>
        <w:ind w:left="0" w:leftChars="0" w:firstLine="643" w:firstLineChars="200"/>
        <w:jc w:val="both"/>
        <w:textAlignment w:val="auto"/>
        <w:rPr>
          <w:rFonts w:hint="eastAsia" w:ascii="仿宋_GB2312" w:eastAsia="仿宋_GB2312"/>
          <w:b/>
          <w:bCs/>
          <w:color w:val="auto"/>
          <w:sz w:val="32"/>
          <w:szCs w:val="32"/>
          <w:highlight w:val="none"/>
          <w:lang w:val="en-US" w:eastAsia="zh-CN"/>
        </w:rPr>
      </w:pPr>
      <w:r>
        <w:rPr>
          <w:rFonts w:hint="eastAsia" w:ascii="仿宋_GB2312" w:eastAsia="仿宋_GB2312"/>
          <w:b/>
          <w:bCs/>
          <w:color w:val="auto"/>
          <w:sz w:val="32"/>
          <w:szCs w:val="32"/>
          <w:highlight w:val="none"/>
          <w:lang w:val="en-US" w:eastAsia="zh-CN"/>
        </w:rPr>
        <w:t>第二</w:t>
      </w:r>
      <w:r>
        <w:rPr>
          <w:rFonts w:hint="eastAsia" w:ascii="仿宋_GB2312" w:eastAsia="仿宋_GB2312"/>
          <w:b/>
          <w:bCs/>
          <w:color w:val="auto"/>
          <w:sz w:val="32"/>
          <w:szCs w:val="32"/>
          <w:highlight w:val="none"/>
          <w:lang w:eastAsia="zh-CN"/>
        </w:rPr>
        <w:t>片区：</w:t>
      </w:r>
      <w:r>
        <w:rPr>
          <w:rFonts w:hint="eastAsia" w:ascii="仿宋_GB2312" w:eastAsia="仿宋_GB2312"/>
          <w:b/>
          <w:bCs/>
          <w:color w:val="auto"/>
          <w:sz w:val="32"/>
          <w:szCs w:val="32"/>
          <w:highlight w:val="none"/>
          <w:lang w:val="en-US" w:eastAsia="zh-CN"/>
        </w:rPr>
        <w:t>南亭村、穗石村</w:t>
      </w:r>
    </w:p>
    <w:p w14:paraId="02691EF0">
      <w:pPr>
        <w:pStyle w:val="13"/>
        <w:pageBreakBefore w:val="0"/>
        <w:widowControl w:val="0"/>
        <w:numPr>
          <w:ilvl w:val="0"/>
          <w:numId w:val="0"/>
        </w:numPr>
        <w:tabs>
          <w:tab w:val="left" w:pos="972"/>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color w:val="auto"/>
          <w:sz w:val="32"/>
          <w:szCs w:val="32"/>
        </w:rPr>
      </w:pPr>
      <w:bookmarkStart w:id="40" w:name="bookmark57"/>
      <w:bookmarkEnd w:id="40"/>
      <w:r>
        <w:rPr>
          <w:rFonts w:hint="eastAsia" w:ascii="仿宋_GB2312" w:eastAsia="仿宋_GB2312"/>
          <w:b/>
          <w:bCs/>
          <w:color w:val="auto"/>
          <w:sz w:val="32"/>
          <w:szCs w:val="32"/>
          <w:lang w:val="en-US" w:eastAsia="zh-CN"/>
        </w:rPr>
        <w:t>1.</w:t>
      </w:r>
      <w:r>
        <w:rPr>
          <w:rFonts w:hint="eastAsia" w:ascii="仿宋_GB2312" w:eastAsia="仿宋_GB2312"/>
          <w:b/>
          <w:bCs/>
          <w:color w:val="auto"/>
          <w:sz w:val="32"/>
          <w:szCs w:val="32"/>
        </w:rPr>
        <w:t>值得肯定的地方</w:t>
      </w:r>
    </w:p>
    <w:p w14:paraId="516F796C">
      <w:pPr>
        <w:pStyle w:val="13"/>
        <w:pageBreakBefore w:val="0"/>
        <w:widowControl w:val="0"/>
        <w:kinsoku/>
        <w:wordWrap/>
        <w:overflowPunct/>
        <w:topLinePunct w:val="0"/>
        <w:autoSpaceDE/>
        <w:autoSpaceDN/>
        <w:bidi w:val="0"/>
        <w:adjustRightInd/>
        <w:snapToGrid/>
        <w:spacing w:after="0" w:line="52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bookmarkStart w:id="41" w:name="bookmark59"/>
      <w:bookmarkEnd w:id="41"/>
      <w:bookmarkStart w:id="42" w:name="bookmark58"/>
      <w:bookmarkEnd w:id="42"/>
    </w:p>
    <w:p w14:paraId="3D327202">
      <w:pPr>
        <w:pStyle w:val="13"/>
        <w:pageBreakBefore w:val="0"/>
        <w:widowControl w:val="0"/>
        <w:tabs>
          <w:tab w:val="left" w:pos="986"/>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bookmarkStart w:id="43" w:name="bookmark60"/>
      <w:bookmarkEnd w:id="43"/>
      <w:r>
        <w:rPr>
          <w:rFonts w:hint="eastAsia" w:ascii="仿宋_GB2312" w:eastAsia="仿宋_GB2312"/>
          <w:color w:val="auto"/>
          <w:sz w:val="32"/>
          <w:szCs w:val="32"/>
          <w:lang w:val="en-US" w:eastAsia="zh-CN"/>
        </w:rPr>
        <w:t>（1）片区社工能运用访谈法、观察法和资料分析、社区三图绘制等多元方式，对片区困难群众和特殊群体的需求进行细致地摸查，将各个困难类别的服务对象进行分类需求分析，最终发现在困难老人和残疾老人中，情感陪伴、社会支持和高血压等慢性疾病管理的需求比较突出，根据此需求设计了“康护暖心”服务计划，呈现出需求调查和服务设计的一致性。</w:t>
      </w:r>
    </w:p>
    <w:p w14:paraId="7284AE17">
      <w:pPr>
        <w:pStyle w:val="13"/>
        <w:pageBreakBefore w:val="0"/>
        <w:widowControl w:val="0"/>
        <w:tabs>
          <w:tab w:val="left" w:pos="986"/>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片区社工各项服务指标完成良好。在上半年服务中，应建档191户211人，实际建档191户211人，建档率100%，周期中共新增服务对象11人，因去世退出在册名单4人。共完成了探访395人次，电访311人次，个案4个，小组1个，政策宣传4场120人次，中小型社区活动4场，大型活动1场疑难个案1个。链接51人次志愿者为165人次的困弱老人提供慢病科普和管理工作。其中在建档工作中，一人一案需求评估详细，服务目标和内容设置合理、具体。在建档工作中能按照相应等级要求进行动态的跟进和调整。</w:t>
      </w:r>
    </w:p>
    <w:p w14:paraId="1421759F">
      <w:pPr>
        <w:pStyle w:val="13"/>
        <w:pageBreakBefore w:val="0"/>
        <w:widowControl w:val="0"/>
        <w:tabs>
          <w:tab w:val="left" w:pos="986"/>
        </w:tabs>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片区社工能按照三大专业手法的流程指引和回访机制进行日常专业工作的开展，尤其是在日常个案跟进过程中，大多能保持一周一次的面谈频次，在个案和小组结束后的一个月内，能看到回访服务的痕迹。在目标达成方面，也有相应的指标评估意识。</w:t>
      </w:r>
    </w:p>
    <w:p w14:paraId="6D18E6D4">
      <w:pPr>
        <w:pStyle w:val="13"/>
        <w:pageBreakBefore w:val="0"/>
        <w:widowControl w:val="0"/>
        <w:tabs>
          <w:tab w:val="left" w:pos="986"/>
        </w:tabs>
        <w:kinsoku/>
        <w:wordWrap/>
        <w:overflowPunct/>
        <w:topLinePunct w:val="0"/>
        <w:autoSpaceDE/>
        <w:autoSpaceDN/>
        <w:bidi w:val="0"/>
        <w:adjustRightInd/>
        <w:snapToGrid/>
        <w:spacing w:after="0" w:line="52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14:paraId="1AA40716">
      <w:pPr>
        <w:pStyle w:val="13"/>
        <w:pageBreakBefore w:val="0"/>
        <w:widowControl w:val="0"/>
        <w:kinsoku/>
        <w:wordWrap/>
        <w:overflowPunct/>
        <w:topLinePunct w:val="0"/>
        <w:autoSpaceDE/>
        <w:autoSpaceDN/>
        <w:bidi w:val="0"/>
        <w:adjustRightInd/>
        <w:snapToGrid/>
        <w:spacing w:after="0" w:line="520" w:lineRule="exact"/>
        <w:ind w:firstLine="58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经评委评估分析访谈情况和查阅项目调研、服务</w:t>
      </w:r>
      <w:r>
        <w:rPr>
          <w:rFonts w:hint="eastAsia" w:ascii="仿宋_GB2312" w:eastAsia="仿宋_GB2312"/>
          <w:color w:val="auto"/>
          <w:sz w:val="32"/>
          <w:szCs w:val="32"/>
          <w:lang w:eastAsia="zh-CN"/>
        </w:rPr>
        <w:t>方案</w:t>
      </w:r>
      <w:r>
        <w:rPr>
          <w:rFonts w:hint="eastAsia" w:ascii="仿宋_GB2312" w:eastAsia="仿宋_GB2312"/>
          <w:color w:val="auto"/>
          <w:sz w:val="32"/>
          <w:szCs w:val="32"/>
        </w:rPr>
        <w:t>等各类服务工作痕迹记录资料，该项目以下方面需关注：</w:t>
      </w:r>
    </w:p>
    <w:p w14:paraId="76267653">
      <w:pPr>
        <w:pStyle w:val="13"/>
        <w:pageBreakBefore w:val="0"/>
        <w:widowControl w:val="0"/>
        <w:kinsoku/>
        <w:wordWrap/>
        <w:overflowPunct/>
        <w:topLinePunct w:val="0"/>
        <w:autoSpaceDE/>
        <w:autoSpaceDN/>
        <w:bidi w:val="0"/>
        <w:adjustRightInd/>
        <w:snapToGrid/>
        <w:spacing w:after="0" w:line="520" w:lineRule="exact"/>
        <w:ind w:left="0" w:leftChars="0" w:firstLine="640" w:firstLineChars="200"/>
        <w:jc w:val="both"/>
        <w:textAlignment w:val="auto"/>
        <w:rPr>
          <w:rFonts w:hint="eastAsia" w:ascii="仿宋_GB2312" w:eastAsia="仿宋_GB2312"/>
          <w:b w:val="0"/>
          <w:bCs w:val="0"/>
          <w:color w:val="auto"/>
          <w:sz w:val="32"/>
          <w:szCs w:val="32"/>
          <w:lang w:val="en-US" w:eastAsia="zh-CN"/>
        </w:rPr>
      </w:pPr>
      <w:bookmarkStart w:id="44" w:name="bookmark61"/>
      <w:bookmarkEnd w:id="44"/>
      <w:bookmarkStart w:id="45" w:name="bookmark62"/>
      <w:bookmarkEnd w:id="45"/>
      <w:r>
        <w:rPr>
          <w:rFonts w:hint="eastAsia" w:ascii="仿宋_GB2312" w:eastAsia="仿宋_GB2312"/>
          <w:b w:val="0"/>
          <w:bCs w:val="0"/>
          <w:color w:val="auto"/>
          <w:sz w:val="32"/>
          <w:szCs w:val="32"/>
          <w:lang w:val="en-US" w:eastAsia="zh-CN"/>
        </w:rPr>
        <w:t>（1）建议提升文书档案记录的完整性。在抽查的调研、个案、小组等回访以及日常探访、电访中，都能看到社工基本能按照要求完成相应的工作。但是在资料的整理记录上，存在一些不连贯的情况。比如在系统查看个案、小组的回访时，发现需要回归到档案查看相应服务对象的服务过程，而不是直接在个案或小组的文书页面呈现。档案在调研附件中困难群众和特殊群体的重点需求数据，建议在调研报告的相应部分也能清晰呈现。</w:t>
      </w:r>
    </w:p>
    <w:p w14:paraId="052A82BA">
      <w:pPr>
        <w:pStyle w:val="13"/>
        <w:pageBreakBefore w:val="0"/>
        <w:widowControl w:val="0"/>
        <w:kinsoku/>
        <w:wordWrap/>
        <w:overflowPunct/>
        <w:topLinePunct w:val="0"/>
        <w:autoSpaceDE/>
        <w:autoSpaceDN/>
        <w:bidi w:val="0"/>
        <w:adjustRightInd/>
        <w:snapToGrid/>
        <w:spacing w:after="0" w:line="520" w:lineRule="exact"/>
        <w:ind w:left="0" w:leftChars="0" w:firstLine="640" w:firstLineChars="200"/>
        <w:jc w:val="both"/>
        <w:textAlignment w:val="auto"/>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2）建议加强对专业目标评估的设置以及片区整体服务成效的测量汇总。比如在疑难个案关某中，案主的非理性信念得到调整，具体可以用刻度问题来评估某个非理性信念从怎么样的程度调整到怎么样的程度。同样，在需求调研的情感陪伴和社会支持、慢病管理等核心问题的回应中，社工通过一系列的措施介入之后，原来群体在相应需求上的满足效果如何，可以通过抽样访谈或焦点小组结合一些量化和质性的描述进行成效的测评和汇总。</w:t>
      </w:r>
    </w:p>
    <w:p w14:paraId="6E991305">
      <w:pPr>
        <w:pStyle w:val="13"/>
        <w:pageBreakBefore w:val="0"/>
        <w:widowControl w:val="0"/>
        <w:kinsoku/>
        <w:wordWrap/>
        <w:overflowPunct/>
        <w:topLinePunct w:val="0"/>
        <w:autoSpaceDE/>
        <w:autoSpaceDN/>
        <w:bidi w:val="0"/>
        <w:adjustRightInd/>
        <w:snapToGrid/>
        <w:spacing w:after="0" w:line="520" w:lineRule="exact"/>
        <w:ind w:left="0" w:leftChars="0" w:firstLine="640" w:firstLineChars="200"/>
        <w:jc w:val="both"/>
        <w:textAlignment w:val="auto"/>
        <w:rPr>
          <w:rFonts w:hint="eastAsia"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val="en-US" w:eastAsia="zh-CN"/>
        </w:rPr>
        <w:t>（3）建议探访、电访的过程记录中，社工在了解日常情况的基础上，有针对性地聚焦一人一案中设定的目标和内容跟踪回应。</w:t>
      </w:r>
    </w:p>
    <w:p w14:paraId="4D950208">
      <w:pPr>
        <w:pStyle w:val="13"/>
        <w:pageBreakBefore w:val="0"/>
        <w:widowControl w:val="0"/>
        <w:kinsoku/>
        <w:wordWrap/>
        <w:overflowPunct/>
        <w:topLinePunct w:val="0"/>
        <w:autoSpaceDE/>
        <w:autoSpaceDN/>
        <w:bidi w:val="0"/>
        <w:adjustRightInd/>
        <w:snapToGrid/>
        <w:spacing w:after="0" w:line="520" w:lineRule="exact"/>
        <w:ind w:left="0" w:leftChars="0"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第三</w:t>
      </w:r>
      <w:r>
        <w:rPr>
          <w:rFonts w:hint="eastAsia" w:ascii="仿宋_GB2312" w:eastAsia="仿宋_GB2312"/>
          <w:b/>
          <w:bCs/>
          <w:color w:val="auto"/>
          <w:sz w:val="32"/>
          <w:szCs w:val="32"/>
          <w:lang w:eastAsia="zh-CN"/>
        </w:rPr>
        <w:t>片区：</w:t>
      </w:r>
      <w:r>
        <w:rPr>
          <w:rFonts w:hint="eastAsia" w:ascii="仿宋_GB2312" w:eastAsia="仿宋_GB2312"/>
          <w:b/>
          <w:bCs/>
          <w:color w:val="auto"/>
          <w:sz w:val="32"/>
          <w:szCs w:val="32"/>
          <w:lang w:val="en-US" w:eastAsia="zh-CN"/>
        </w:rPr>
        <w:t>贝岗村、北亭村</w:t>
      </w:r>
    </w:p>
    <w:p w14:paraId="38034D6C">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6AF1A1BD">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p>
    <w:p w14:paraId="4D7E3178">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color w:val="auto"/>
          <w:sz w:val="32"/>
          <w:szCs w:val="32"/>
          <w:lang w:val="en-US" w:eastAsia="zh-CN"/>
        </w:rPr>
      </w:pPr>
      <w:bookmarkStart w:id="46" w:name="bookmark66"/>
      <w:bookmarkEnd w:id="46"/>
      <w:bookmarkStart w:id="47" w:name="bookmark63"/>
      <w:bookmarkEnd w:id="47"/>
      <w:bookmarkStart w:id="48" w:name="bookmark65"/>
      <w:bookmarkEnd w:id="48"/>
      <w:bookmarkStart w:id="49" w:name="bookmark64"/>
      <w:bookmarkEnd w:id="49"/>
      <w:r>
        <w:rPr>
          <w:rFonts w:hint="eastAsia" w:ascii="仿宋_GB2312" w:eastAsia="仿宋_GB2312"/>
          <w:color w:val="auto"/>
          <w:sz w:val="32"/>
          <w:szCs w:val="32"/>
          <w:lang w:val="en-US" w:eastAsia="zh-CN"/>
        </w:rPr>
        <w:t>（1）片区社工工作态度良好，服务指标完成符合中期进度标准。片区应建档182户197人，截至2026年1月31日，片区建档共182户197人，完成建档100%覆盖，完成3个个案、2个小组，4场活动，4场政策宣传，探访415 人次、电访243人次，各项指标完成情况超过50%。片区个案、小组和社区服务专业规范和流程指引很清晰合理，较好地在服务过程中落实相关指引。</w:t>
      </w:r>
    </w:p>
    <w:p w14:paraId="694D2BE1">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片区社工与多个合作方关系良好，发挥资源联动者角色，积极链接资源介入服务。片区社工联合贝岗村党委、北亭村党委、广州中医药大学针康服务队、广州大学附属中学创客空间、大学城朝阳幼儿园等多个主体，链接约9万资源，为困境家庭提供物质帮扶，进一步牢固困难群众和特殊群体服务基础。</w:t>
      </w:r>
    </w:p>
    <w:p w14:paraId="2F4CEBCB">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片区社工本周期服务进一步深化完善，积极回应上期评估意见，改善良好。2025年12月初社工成立“邻里互助队”，吸引村民、低龄健康长者等6名志愿者为困难群体定期提供服务。另外，“三图”有针对上期的服务意见进行改善，如服务对象分布图联动建档编码，清晰显示出服务对象分布情况；社区资产图有分类罗列资源，清晰列出了资源清单，有助于服务进一步规范化。</w:t>
      </w:r>
    </w:p>
    <w:p w14:paraId="09DD7FEB">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792403E2">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等各类服务工作痕迹记录资料，该项目以下几方面需关注：</w:t>
      </w:r>
    </w:p>
    <w:p w14:paraId="06967EFA">
      <w:pPr>
        <w:pStyle w:val="13"/>
        <w:pageBreakBefore w:val="0"/>
        <w:widowControl w:val="0"/>
        <w:kinsoku/>
        <w:wordWrap/>
        <w:overflowPunct/>
        <w:topLinePunct w:val="0"/>
        <w:autoSpaceDE/>
        <w:autoSpaceDN/>
        <w:bidi w:val="0"/>
        <w:adjustRightInd/>
        <w:snapToGrid/>
        <w:spacing w:after="0" w:line="520" w:lineRule="exact"/>
        <w:ind w:left="0" w:leftChars="0" w:firstLine="640" w:firstLineChars="200"/>
        <w:jc w:val="both"/>
        <w:textAlignment w:val="auto"/>
        <w:rPr>
          <w:rFonts w:hint="eastAsia" w:ascii="仿宋_GB2312" w:eastAsia="仿宋_GB2312"/>
          <w:b w:val="0"/>
          <w:bCs w:val="0"/>
          <w:color w:val="auto"/>
          <w:sz w:val="32"/>
          <w:szCs w:val="32"/>
          <w:lang w:eastAsia="zh-CN"/>
        </w:rPr>
      </w:pPr>
      <w:bookmarkStart w:id="50" w:name="bookmark69"/>
      <w:bookmarkEnd w:id="50"/>
      <w:bookmarkStart w:id="51" w:name="bookmark67"/>
      <w:bookmarkEnd w:id="51"/>
      <w:bookmarkStart w:id="52" w:name="bookmark68"/>
      <w:bookmarkEnd w:id="52"/>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建议片区继续增强困难群众和特殊群体服务的精准化程度。建议社工要严格落实服务对象分级管理要求，根据《困难群众和特殊群体分级评估表》里面要求，对服务对象进行动态评价，根据他们实时的情况进行服务动态调整。经查阅资料，发现存在以下情况：个别服务对象描述存在负面情绪，需要联动专业心理辅导介入，而社工在评估时则表示服务对象心态乐观/情感满足等积极情绪状态，存在服务对象情况与评估不一致。建议社工认真检查服务对象的建档内容，清晰准确表述服务对象的情况，提升服务建档的精准性。</w:t>
      </w:r>
    </w:p>
    <w:p w14:paraId="4EC8CCFA">
      <w:pPr>
        <w:pStyle w:val="13"/>
        <w:pageBreakBefore w:val="0"/>
        <w:widowControl w:val="0"/>
        <w:kinsoku/>
        <w:wordWrap/>
        <w:overflowPunct/>
        <w:topLinePunct w:val="0"/>
        <w:autoSpaceDE/>
        <w:autoSpaceDN/>
        <w:bidi w:val="0"/>
        <w:adjustRightInd/>
        <w:snapToGrid/>
        <w:spacing w:after="0" w:line="52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建议进一步关注疑难案例的解决和案例编写问题。本周期内片区社区三个个案，其中两个是困难群众和特殊群体，一个是普惠性人群。建议持续关注困难群众和特殊群体的需求，在未来多发掘困难群众和特殊群体的个案。疑难案例需要进一步分析服务对象问题和需要，建议社工可运用专业理论指引服务开展。同时，建议加强专业服务案例编写，将案主的需求和介入策略进行专业描述，提升个案处理以及文书记录的专业性。</w:t>
      </w:r>
    </w:p>
    <w:p w14:paraId="04E3BF68">
      <w:pPr>
        <w:pStyle w:val="13"/>
        <w:pageBreakBefore w:val="0"/>
        <w:widowControl w:val="0"/>
        <w:kinsoku/>
        <w:wordWrap/>
        <w:overflowPunct/>
        <w:topLinePunct w:val="0"/>
        <w:autoSpaceDE/>
        <w:autoSpaceDN/>
        <w:bidi w:val="0"/>
        <w:adjustRightInd/>
        <w:snapToGrid/>
        <w:spacing w:after="0" w:line="52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3</w:t>
      </w:r>
      <w:r>
        <w:rPr>
          <w:rFonts w:hint="eastAsia" w:ascii="仿宋_GB2312" w:eastAsia="仿宋_GB2312"/>
          <w:b w:val="0"/>
          <w:bCs w:val="0"/>
          <w:color w:val="auto"/>
          <w:sz w:val="32"/>
          <w:szCs w:val="32"/>
          <w:lang w:eastAsia="zh-CN"/>
        </w:rPr>
        <w:t>）建议片区“聚力睦邻”服务计划关注地区特色，围绕“一老一残”方面进一步完善。在需求调研报告中，虽然社工已经罗列出“社会支持、心理疏导、能力提升”等方面需求，但缺乏细化的服务计划。建议完善服务对象需求和问题摸查工作，同时服务计划针对相应服务对象需求进一步细化清晰，理顺调研与服务计划的逻辑关系。另外，基于“邻里互助队”已经建立，并可以作为计划突出的亮点，建议社工在下一阶段继续优化服务计划和完善服务目标，突出“邻里互助队”服务，以便有效突出服务成效。</w:t>
      </w:r>
    </w:p>
    <w:p w14:paraId="098989FE">
      <w:pPr>
        <w:pStyle w:val="13"/>
        <w:pageBreakBefore w:val="0"/>
        <w:widowControl w:val="0"/>
        <w:kinsoku/>
        <w:wordWrap/>
        <w:overflowPunct/>
        <w:topLinePunct w:val="0"/>
        <w:autoSpaceDE/>
        <w:autoSpaceDN/>
        <w:bidi w:val="0"/>
        <w:adjustRightInd/>
        <w:snapToGrid/>
        <w:spacing w:after="0" w:line="52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14:paraId="1726E9BB">
      <w:pPr>
        <w:pStyle w:val="13"/>
        <w:pageBreakBefore w:val="0"/>
        <w:widowControl w:val="0"/>
        <w:kinsoku/>
        <w:wordWrap/>
        <w:overflowPunct/>
        <w:topLinePunct w:val="0"/>
        <w:autoSpaceDE/>
        <w:autoSpaceDN/>
        <w:bidi w:val="0"/>
        <w:adjustRightInd/>
        <w:snapToGrid/>
        <w:spacing w:after="0" w:line="52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14:paraId="05D93559">
      <w:pPr>
        <w:pStyle w:val="13"/>
        <w:pageBreakBefore w:val="0"/>
        <w:widowControl w:val="0"/>
        <w:kinsoku/>
        <w:wordWrap/>
        <w:overflowPunct/>
        <w:topLinePunct w:val="0"/>
        <w:autoSpaceDE/>
        <w:autoSpaceDN/>
        <w:bidi w:val="0"/>
        <w:adjustRightInd/>
        <w:snapToGrid/>
        <w:spacing w:after="0" w:line="52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小谷围街道办事处</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w:t>
      </w:r>
      <w:r>
        <w:rPr>
          <w:rFonts w:hint="eastAsia" w:ascii="仿宋_GB2312" w:eastAsia="仿宋_GB2312"/>
          <w:color w:val="auto"/>
          <w:sz w:val="32"/>
          <w:szCs w:val="32"/>
          <w:lang w:val="en-US" w:eastAsia="zh-CN"/>
        </w:rPr>
        <w:t>坚持党的领导，配合小谷围街开展党建工作，社工站与村（居）委会、相关部门及合作单位协作顺畅。</w:t>
      </w:r>
    </w:p>
    <w:p w14:paraId="7D65021D">
      <w:pPr>
        <w:pStyle w:val="13"/>
        <w:pageBreakBefore w:val="0"/>
        <w:widowControl w:val="0"/>
        <w:kinsoku/>
        <w:wordWrap/>
        <w:overflowPunct/>
        <w:topLinePunct w:val="0"/>
        <w:autoSpaceDE/>
        <w:autoSpaceDN/>
        <w:bidi w:val="0"/>
        <w:adjustRightInd/>
        <w:snapToGrid/>
        <w:spacing w:after="0" w:line="52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56E37C06">
      <w:pPr>
        <w:pStyle w:val="13"/>
        <w:pageBreakBefore w:val="0"/>
        <w:widowControl w:val="0"/>
        <w:kinsoku/>
        <w:wordWrap/>
        <w:overflowPunct/>
        <w:topLinePunct w:val="0"/>
        <w:autoSpaceDE/>
        <w:autoSpaceDN/>
        <w:bidi w:val="0"/>
        <w:adjustRightInd/>
        <w:snapToGrid/>
        <w:spacing w:after="0" w:line="520" w:lineRule="exact"/>
        <w:ind w:firstLine="74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小谷围街道办事处</w:t>
      </w:r>
      <w:r>
        <w:rPr>
          <w:rFonts w:hint="eastAsia" w:ascii="仿宋_GB2312" w:eastAsia="仿宋_GB2312"/>
          <w:color w:val="auto"/>
          <w:sz w:val="32"/>
          <w:szCs w:val="32"/>
        </w:rPr>
        <w:t>）认为，社工站</w:t>
      </w:r>
      <w:r>
        <w:rPr>
          <w:rFonts w:hint="eastAsia" w:ascii="仿宋_GB2312" w:eastAsia="仿宋_GB2312"/>
          <w:color w:val="auto"/>
          <w:sz w:val="32"/>
          <w:szCs w:val="32"/>
          <w:lang w:eastAsia="zh-CN"/>
        </w:rPr>
        <w:t>还需</w:t>
      </w:r>
      <w:r>
        <w:rPr>
          <w:rFonts w:hint="eastAsia" w:ascii="仿宋_GB2312" w:eastAsia="仿宋_GB2312"/>
          <w:color w:val="auto"/>
          <w:sz w:val="32"/>
          <w:szCs w:val="32"/>
          <w:lang w:val="en-US" w:eastAsia="zh-CN"/>
        </w:rPr>
        <w:t>加强打造服务品牌，助力社区慈善发展、慈善创投项目工作的成效提炼。</w:t>
      </w:r>
    </w:p>
    <w:p w14:paraId="2DEE7E6D">
      <w:pPr>
        <w:pStyle w:val="13"/>
        <w:keepNext w:val="0"/>
        <w:keepLines w:val="0"/>
        <w:pageBreakBefore w:val="0"/>
        <w:widowControl w:val="0"/>
        <w:numPr>
          <w:ilvl w:val="0"/>
          <w:numId w:val="3"/>
        </w:numPr>
        <w:kinsoku/>
        <w:wordWrap/>
        <w:overflowPunct/>
        <w:topLinePunct w:val="0"/>
        <w:autoSpaceDE/>
        <w:autoSpaceDN/>
        <w:bidi w:val="0"/>
        <w:adjustRightInd/>
        <w:snapToGrid/>
        <w:spacing w:after="0" w:line="52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14:paraId="4C1C3B51">
      <w:pPr>
        <w:pStyle w:val="13"/>
        <w:keepNext w:val="0"/>
        <w:keepLines w:val="0"/>
        <w:pageBreakBefore w:val="0"/>
        <w:widowControl w:val="0"/>
        <w:kinsoku/>
        <w:wordWrap/>
        <w:overflowPunct/>
        <w:topLinePunct w:val="0"/>
        <w:autoSpaceDE/>
        <w:autoSpaceDN/>
        <w:bidi w:val="0"/>
        <w:adjustRightInd/>
        <w:snapToGrid/>
        <w:spacing w:after="0" w:line="52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67FAAB63">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14:paraId="353604D0">
      <w:pPr>
        <w:pStyle w:val="13"/>
        <w:pageBreakBefore w:val="0"/>
        <w:widowControl w:val="0"/>
        <w:kinsoku/>
        <w:wordWrap/>
        <w:overflowPunct/>
        <w:topLinePunct w:val="0"/>
        <w:autoSpaceDE/>
        <w:autoSpaceDN/>
        <w:bidi w:val="0"/>
        <w:adjustRightInd/>
        <w:snapToGrid/>
        <w:spacing w:after="0" w:line="52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项目人员能力提升体系较为完善。项目培训、督导、共学制度健全，为计划规范执行提供保障。结合上期评估意见，项目完善内部共学机制，整合专业资源常态化开展主题共学，营造良好学习氛围。内部督导制度持续优化，形成内部督导、机构派驻与双百督导分工协作的支持模式，并通过半年度督导评价小结进行专项反馈，推动督导支持与评价改进有效衔接。</w:t>
      </w:r>
    </w:p>
    <w:p w14:paraId="25AA23D1">
      <w:pPr>
        <w:pStyle w:val="13"/>
        <w:pageBreakBefore w:val="0"/>
        <w:widowControl w:val="0"/>
        <w:kinsoku/>
        <w:wordWrap/>
        <w:overflowPunct/>
        <w:topLinePunct w:val="0"/>
        <w:autoSpaceDE/>
        <w:autoSpaceDN/>
        <w:bidi w:val="0"/>
        <w:adjustRightInd/>
        <w:snapToGrid/>
        <w:spacing w:after="0" w:line="52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项目重视人员协同。团队根据《人员协同工作机制》指引，进一步结合过往与村（居）、直聘社工的合作经验、合作意向、片区兜底群体状况分析，形成《人员协同工作方案》并形成具体联动计划。本服务周期内，“双工”联动，协作跟进落实多项事务，例如协助困境儿童家庭落实医疗报销政策，协助社区残疾人申请助听器，带动党员、志愿者积极参与兜底民生服务，扎实开展走访帮扶活动，协同联动番禺区慈善会、大学城朝阳幼儿园等资源主体开展微心愿及“健康包”认领、捐赠等工作，并形成人员协同工作成效专题报告，总结联动经验与成效。</w:t>
      </w:r>
    </w:p>
    <w:p w14:paraId="157BAA94">
      <w:pPr>
        <w:pStyle w:val="13"/>
        <w:pageBreakBefore w:val="0"/>
        <w:widowControl w:val="0"/>
        <w:kinsoku/>
        <w:wordWrap/>
        <w:overflowPunct/>
        <w:topLinePunct w:val="0"/>
        <w:autoSpaceDE/>
        <w:autoSpaceDN/>
        <w:bidi w:val="0"/>
        <w:adjustRightInd/>
        <w:snapToGrid/>
        <w:spacing w:after="0" w:line="52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3）项目宣传推广工作取得一定成果。一是项目鼓励团队书写，总结服务经验，形成《寻找情理和法理之间的缝合点》《多方联动，助力丧偶长者安度晚年》等7篇案例文章并汇编成册；二是项目积极联动媒体网络，每月持续与各级媒体保持沟通对接，围绕服务亮点与特色活动及时推送宣传素材，获得多个媒体平台报道，有效扩大了项目的社会知晓度与影响力。</w:t>
      </w:r>
    </w:p>
    <w:p w14:paraId="43F93C82">
      <w:pPr>
        <w:pStyle w:val="13"/>
        <w:pageBreakBefore w:val="0"/>
        <w:widowControl w:val="0"/>
        <w:kinsoku/>
        <w:wordWrap/>
        <w:overflowPunct/>
        <w:topLinePunct w:val="0"/>
        <w:autoSpaceDE/>
        <w:autoSpaceDN/>
        <w:bidi w:val="0"/>
        <w:adjustRightInd/>
        <w:snapToGrid/>
        <w:spacing w:after="0" w:line="520" w:lineRule="exact"/>
        <w:ind w:left="0" w:leftChars="0" w:firstLine="643"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14:paraId="7F73964F">
      <w:pPr>
        <w:pStyle w:val="13"/>
        <w:pageBreakBefore w:val="0"/>
        <w:widowControl w:val="0"/>
        <w:kinsoku/>
        <w:wordWrap/>
        <w:overflowPunct/>
        <w:topLinePunct w:val="0"/>
        <w:autoSpaceDE/>
        <w:autoSpaceDN/>
        <w:bidi w:val="0"/>
        <w:adjustRightInd/>
        <w:snapToGrid/>
        <w:spacing w:after="0" w:line="52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经评委评估分析访谈情况和查阅项目调研、服务方案等各类服务工作痕迹记录资料，该项目以下几方面需关注：</w:t>
      </w:r>
    </w:p>
    <w:p w14:paraId="43C00B65">
      <w:pPr>
        <w:pStyle w:val="11"/>
        <w:keepNext/>
        <w:keepLines/>
        <w:pageBreakBefore w:val="0"/>
        <w:widowControl w:val="0"/>
        <w:kinsoku/>
        <w:wordWrap/>
        <w:overflowPunct/>
        <w:topLinePunct w:val="0"/>
        <w:autoSpaceDE/>
        <w:autoSpaceDN/>
        <w:bidi w:val="0"/>
        <w:adjustRightInd/>
        <w:snapToGrid/>
        <w:spacing w:before="0" w:after="0" w:line="52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项目人员能力提升工作的目标管理与成效分析有待加强。建议基于分层分类的需求，遵循SMART原则建立可衡量的能力提升目标，提升培训计划的可操作性，并匹配建立各项计划的成效监测机制；二是通过科学的分析，精准检视目标达成情况，形成客观、科学的成效反馈结论，从而为人才培养工作持续优化提供可靠依据。</w:t>
      </w:r>
    </w:p>
    <w:p w14:paraId="14E504B5">
      <w:pPr>
        <w:pStyle w:val="11"/>
        <w:keepNext/>
        <w:keepLines/>
        <w:pageBreakBefore w:val="0"/>
        <w:widowControl w:val="0"/>
        <w:kinsoku/>
        <w:wordWrap/>
        <w:overflowPunct/>
        <w:topLinePunct w:val="0"/>
        <w:autoSpaceDE/>
        <w:autoSpaceDN/>
        <w:bidi w:val="0"/>
        <w:adjustRightInd/>
        <w:snapToGrid/>
        <w:spacing w:before="0" w:after="0" w:line="52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项目研究成果的创新性与示范性有待加强。目前实务研究成果仍以内部资料为主，尚未形成具有较高影响力的研究成果。建议项目进一步强化能力提升、经验沉淀与品牌输出的系统思维，将日常有效做法及时梳理为服务模式或操作指引，推动共学成果从过程记录向经验产出升级。同时，依托服务已有积累，主动对接行业征稿、学术研讨、媒体宣传等平台，通过案例文章、实践研究等形式输出专业成果，打造有特色的服务品牌，提升项目示范影响力。</w:t>
      </w:r>
    </w:p>
    <w:p w14:paraId="06048080">
      <w:pPr>
        <w:pStyle w:val="11"/>
        <w:keepNext/>
        <w:keepLines/>
        <w:pageBreakBefore w:val="0"/>
        <w:widowControl w:val="0"/>
        <w:kinsoku/>
        <w:wordWrap/>
        <w:overflowPunct/>
        <w:topLinePunct w:val="0"/>
        <w:autoSpaceDE/>
        <w:autoSpaceDN/>
        <w:bidi w:val="0"/>
        <w:adjustRightInd/>
        <w:snapToGrid/>
        <w:spacing w:before="0" w:after="0" w:line="52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14:paraId="032622CB">
      <w:pPr>
        <w:pStyle w:val="13"/>
        <w:pageBreakBefore w:val="0"/>
        <w:widowControl w:val="0"/>
        <w:kinsoku/>
        <w:wordWrap/>
        <w:overflowPunct/>
        <w:topLinePunct w:val="0"/>
        <w:autoSpaceDE/>
        <w:autoSpaceDN/>
        <w:bidi w:val="0"/>
        <w:adjustRightInd/>
        <w:snapToGrid/>
        <w:spacing w:after="0" w:line="52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val="en-US" w:eastAsia="zh-CN"/>
        </w:rPr>
        <w:t>小谷围街</w:t>
      </w:r>
      <w:r>
        <w:rPr>
          <w:rFonts w:hint="eastAsia" w:ascii="仿宋_GB2312" w:eastAsia="仿宋_GB2312"/>
          <w:color w:val="auto"/>
          <w:sz w:val="32"/>
          <w:szCs w:val="32"/>
        </w:rPr>
        <w:t>社工站的反馈如下：</w:t>
      </w:r>
      <w:bookmarkStart w:id="53" w:name="bookmark85"/>
      <w:bookmarkEnd w:id="53"/>
    </w:p>
    <w:p w14:paraId="310A68C9">
      <w:pPr>
        <w:pStyle w:val="13"/>
        <w:pageBreakBefore w:val="0"/>
        <w:widowControl w:val="0"/>
        <w:kinsoku/>
        <w:wordWrap/>
        <w:overflowPunct/>
        <w:topLinePunct w:val="0"/>
        <w:autoSpaceDE/>
        <w:autoSpaceDN/>
        <w:bidi w:val="0"/>
        <w:adjustRightInd/>
        <w:snapToGrid/>
        <w:spacing w:after="0" w:line="52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w:t>
      </w:r>
      <w:r>
        <w:rPr>
          <w:rFonts w:hint="eastAsia" w:ascii="仿宋_GB2312" w:eastAsia="仿宋_GB2312" w:hAnsiTheme="minorEastAsia"/>
          <w:color w:val="auto"/>
          <w:sz w:val="32"/>
          <w:szCs w:val="32"/>
          <w:lang w:val="en-US" w:eastAsia="zh-CN"/>
        </w:rPr>
        <w:t>小谷围街</w:t>
      </w:r>
      <w:r>
        <w:rPr>
          <w:rFonts w:hint="eastAsia" w:ascii="仿宋_GB2312" w:eastAsia="仿宋_GB2312" w:hAnsiTheme="minorEastAsia"/>
          <w:color w:val="auto"/>
          <w:sz w:val="32"/>
          <w:szCs w:val="32"/>
          <w:lang w:eastAsia="zh-CN"/>
        </w:rPr>
        <w:t>社工站的情况，进行了现场总结反馈，在总结反馈环节，</w:t>
      </w:r>
      <w:r>
        <w:rPr>
          <w:rFonts w:hint="eastAsia" w:ascii="仿宋_GB2312" w:eastAsia="仿宋_GB2312" w:hAnsiTheme="minorEastAsia"/>
          <w:color w:val="auto"/>
          <w:sz w:val="32"/>
          <w:szCs w:val="32"/>
          <w:lang w:val="en-US" w:eastAsia="zh-CN"/>
        </w:rPr>
        <w:t>小谷围街</w:t>
      </w:r>
      <w:r>
        <w:rPr>
          <w:rFonts w:hint="eastAsia" w:ascii="仿宋_GB2312" w:eastAsia="仿宋_GB2312" w:hAnsiTheme="minorEastAsia"/>
          <w:color w:val="auto"/>
          <w:sz w:val="32"/>
          <w:szCs w:val="32"/>
          <w:lang w:eastAsia="zh-CN"/>
        </w:rPr>
        <w:t>社工站表示对评委们提出的意见和建议无异议。</w:t>
      </w:r>
    </w:p>
    <w:p w14:paraId="51F618CD">
      <w:pPr>
        <w:pStyle w:val="13"/>
        <w:pageBreakBefore w:val="0"/>
        <w:widowControl w:val="0"/>
        <w:kinsoku/>
        <w:wordWrap/>
        <w:overflowPunct/>
        <w:topLinePunct w:val="0"/>
        <w:autoSpaceDE/>
        <w:autoSpaceDN/>
        <w:bidi w:val="0"/>
        <w:adjustRightInd/>
        <w:snapToGrid/>
        <w:spacing w:after="0" w:line="52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w:t>
      </w:r>
      <w:r>
        <w:rPr>
          <w:rFonts w:hint="eastAsia" w:ascii="仿宋_GB2312" w:eastAsia="仿宋_GB2312" w:hAnsiTheme="minorEastAsia"/>
          <w:color w:val="auto"/>
          <w:sz w:val="32"/>
          <w:szCs w:val="32"/>
          <w:lang w:val="en-US" w:eastAsia="zh-CN"/>
        </w:rPr>
        <w:t>小谷围街道办事处</w:t>
      </w: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小谷围街</w:t>
      </w:r>
      <w:r>
        <w:rPr>
          <w:rFonts w:hint="eastAsia" w:ascii="仿宋_GB2312" w:eastAsia="仿宋_GB2312" w:hAnsiTheme="minorEastAsia"/>
          <w:color w:val="auto"/>
          <w:sz w:val="32"/>
          <w:szCs w:val="32"/>
          <w:lang w:eastAsia="zh-CN"/>
        </w:rPr>
        <w:t>社工站对评估报告初稿无异议。</w:t>
      </w:r>
    </w:p>
    <w:p w14:paraId="199B2749">
      <w:pPr>
        <w:pStyle w:val="11"/>
        <w:keepNext/>
        <w:keepLines/>
        <w:pageBreakBefore w:val="0"/>
        <w:widowControl w:val="0"/>
        <w:kinsoku/>
        <w:wordWrap/>
        <w:overflowPunct/>
        <w:topLinePunct w:val="0"/>
        <w:autoSpaceDE/>
        <w:autoSpaceDN/>
        <w:bidi w:val="0"/>
        <w:adjustRightInd/>
        <w:snapToGrid/>
        <w:spacing w:before="0" w:after="0" w:line="520" w:lineRule="exact"/>
        <w:ind w:firstLine="643" w:firstLineChars="200"/>
        <w:jc w:val="both"/>
        <w:textAlignment w:val="auto"/>
        <w:rPr>
          <w:rFonts w:ascii="方正小标宋简体" w:eastAsia="方正小标宋简体"/>
          <w:b/>
          <w:bCs/>
          <w:color w:val="auto"/>
          <w:sz w:val="32"/>
          <w:szCs w:val="28"/>
          <w:lang w:val="en-US"/>
        </w:rPr>
      </w:pPr>
      <w:bookmarkStart w:id="54" w:name="bookmark86"/>
      <w:r>
        <w:rPr>
          <w:rFonts w:hint="eastAsia" w:ascii="方正小标宋简体" w:eastAsia="方正小标宋简体"/>
          <w:b/>
          <w:bCs/>
          <w:color w:val="auto"/>
          <w:sz w:val="32"/>
          <w:szCs w:val="28"/>
          <w:lang w:val="en-US"/>
        </w:rPr>
        <w:t>四</w:t>
      </w:r>
      <w:bookmarkEnd w:id="54"/>
      <w:r>
        <w:rPr>
          <w:rFonts w:hint="eastAsia" w:ascii="方正小标宋简体" w:eastAsia="方正小标宋简体"/>
          <w:b/>
          <w:bCs/>
          <w:color w:val="auto"/>
          <w:sz w:val="32"/>
          <w:szCs w:val="28"/>
          <w:lang w:val="en-US"/>
        </w:rPr>
        <w:t>、评估等级</w:t>
      </w:r>
    </w:p>
    <w:p w14:paraId="3934CCDA">
      <w:pPr>
        <w:pStyle w:val="13"/>
        <w:pageBreakBefore w:val="0"/>
        <w:widowControl w:val="0"/>
        <w:kinsoku/>
        <w:wordWrap/>
        <w:overflowPunct/>
        <w:topLinePunct w:val="0"/>
        <w:autoSpaceDE/>
        <w:autoSpaceDN/>
        <w:bidi w:val="0"/>
        <w:adjustRightInd/>
        <w:snapToGrid/>
        <w:spacing w:after="0" w:line="52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14:paraId="35898DCD">
      <w:pPr>
        <w:pStyle w:val="13"/>
        <w:pageBreakBefore w:val="0"/>
        <w:widowControl w:val="0"/>
        <w:kinsoku/>
        <w:wordWrap/>
        <w:overflowPunct/>
        <w:topLinePunct w:val="0"/>
        <w:autoSpaceDE/>
        <w:autoSpaceDN/>
        <w:bidi w:val="0"/>
        <w:adjustRightInd/>
        <w:snapToGrid/>
        <w:spacing w:after="0" w:line="520" w:lineRule="exact"/>
        <w:ind w:firstLine="640"/>
        <w:jc w:val="both"/>
        <w:textAlignment w:val="auto"/>
        <w:rPr>
          <w:rFonts w:ascii="仿宋_GB2312" w:eastAsia="PMingLiU"/>
          <w:color w:val="auto"/>
          <w:sz w:val="32"/>
          <w:szCs w:val="32"/>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w:t>
      </w:r>
      <w:r>
        <w:rPr>
          <w:rFonts w:hint="eastAsia" w:ascii="仿宋_GB2312" w:eastAsia="仿宋_GB2312" w:hAnsiTheme="minorEastAsia"/>
          <w:color w:val="auto"/>
          <w:sz w:val="32"/>
          <w:szCs w:val="32"/>
          <w:lang w:val="en-US" w:eastAsia="zh-CN"/>
        </w:rPr>
        <w:t>小谷围街</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评估的等级为</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val="en-US" w:eastAsia="zh-CN"/>
        </w:rPr>
        <w:t>良好</w:t>
      </w:r>
      <w:r>
        <w:rPr>
          <w:rFonts w:hint="eastAsia" w:ascii="仿宋_GB2312" w:eastAsia="仿宋_GB2312"/>
          <w:b/>
          <w:color w:val="auto"/>
          <w:sz w:val="32"/>
          <w:szCs w:val="32"/>
          <w:highlight w:val="none"/>
        </w:rPr>
        <w:t>”</w:t>
      </w:r>
      <w:r>
        <w:rPr>
          <w:rFonts w:hint="eastAsia" w:ascii="仿宋_GB2312" w:eastAsia="仿宋_GB2312"/>
          <w:b/>
          <w:color w:val="auto"/>
          <w:sz w:val="32"/>
          <w:szCs w:val="32"/>
          <w:highlight w:val="none"/>
          <w:lang w:eastAsia="zh-CN"/>
        </w:rPr>
        <w:t>（</w:t>
      </w:r>
      <w:r>
        <w:rPr>
          <w:rFonts w:hint="eastAsia" w:ascii="仿宋_GB2312" w:eastAsia="仿宋_GB2312"/>
          <w:b/>
          <w:color w:val="auto"/>
          <w:sz w:val="32"/>
          <w:szCs w:val="32"/>
          <w:highlight w:val="none"/>
          <w:lang w:val="en-US" w:eastAsia="zh-CN"/>
        </w:rPr>
        <w:t>87.49</w:t>
      </w:r>
      <w:r>
        <w:rPr>
          <w:rFonts w:ascii="仿宋_GB2312" w:eastAsia="仿宋_GB2312"/>
          <w:b/>
          <w:sz w:val="32"/>
          <w:szCs w:val="32"/>
          <w:highlight w:val="none"/>
          <w:lang w:val="en-US" w:eastAsia="zh-CN"/>
        </w:rPr>
        <w:t>分</w:t>
      </w:r>
      <w:r>
        <w:rPr>
          <w:rFonts w:hint="eastAsia" w:ascii="仿宋_GB2312" w:eastAsia="仿宋_GB2312"/>
          <w:b/>
          <w:color w:val="auto"/>
          <w:sz w:val="32"/>
          <w:szCs w:val="32"/>
          <w:highlight w:val="none"/>
          <w:lang w:eastAsia="zh-CN"/>
        </w:rPr>
        <w:t>）</w:t>
      </w:r>
      <w:r>
        <w:rPr>
          <w:rFonts w:hint="eastAsia" w:ascii="仿宋_GB2312" w:eastAsia="仿宋_GB2312"/>
          <w:color w:val="auto"/>
          <w:sz w:val="32"/>
          <w:szCs w:val="32"/>
        </w:rPr>
        <w:t>。</w:t>
      </w:r>
    </w:p>
    <w:p w14:paraId="3CA328B2">
      <w:pPr>
        <w:pStyle w:val="13"/>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14:paraId="6C864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03A26E7E">
            <w:pPr>
              <w:pStyle w:val="13"/>
              <w:pageBreakBefore w:val="0"/>
              <w:kinsoku/>
              <w:wordWrap/>
              <w:overflowPunct/>
              <w:topLinePunct w:val="0"/>
              <w:autoSpaceDE/>
              <w:autoSpaceDN/>
              <w:bidi w:val="0"/>
              <w:adjustRightInd/>
              <w:snapToGrid/>
              <w:spacing w:after="0" w:line="520" w:lineRule="exact"/>
              <w:jc w:val="center"/>
              <w:rPr>
                <w:rFonts w:ascii="仿宋_GB2312" w:hAnsi="仿宋_GB2312" w:eastAsia="仿宋_GB2312" w:cs="仿宋_GB2312"/>
                <w:b/>
                <w:bCs/>
                <w:lang w:val="en-US" w:eastAsia="zh-CN"/>
              </w:rPr>
            </w:pPr>
            <w:bookmarkStart w:id="55" w:name="bookmark87"/>
            <w:r>
              <w:rPr>
                <w:rFonts w:hint="eastAsia" w:ascii="仿宋_GB2312" w:hAnsi="仿宋_GB2312" w:eastAsia="仿宋_GB2312" w:cs="仿宋_GB2312"/>
                <w:b/>
                <w:bCs/>
                <w:lang w:val="en-US" w:eastAsia="zh-CN"/>
              </w:rPr>
              <w:t>评估内容</w:t>
            </w:r>
          </w:p>
        </w:tc>
        <w:tc>
          <w:tcPr>
            <w:tcW w:w="728" w:type="pct"/>
            <w:noWrap w:val="0"/>
            <w:vAlign w:val="center"/>
          </w:tcPr>
          <w:p w14:paraId="7BDE0EF7">
            <w:pPr>
              <w:pStyle w:val="13"/>
              <w:pageBreakBefore w:val="0"/>
              <w:kinsoku/>
              <w:wordWrap/>
              <w:overflowPunct/>
              <w:topLinePunct w:val="0"/>
              <w:autoSpaceDE/>
              <w:autoSpaceDN/>
              <w:bidi w:val="0"/>
              <w:adjustRightInd/>
              <w:snapToGrid/>
              <w:spacing w:after="0" w:line="52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14:paraId="49D20487">
            <w:pPr>
              <w:pStyle w:val="13"/>
              <w:pageBreakBefore w:val="0"/>
              <w:kinsoku/>
              <w:wordWrap/>
              <w:overflowPunct/>
              <w:topLinePunct w:val="0"/>
              <w:autoSpaceDE/>
              <w:autoSpaceDN/>
              <w:bidi w:val="0"/>
              <w:adjustRightInd/>
              <w:snapToGrid/>
              <w:spacing w:after="0" w:line="52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14:paraId="586E479E">
            <w:pPr>
              <w:pStyle w:val="13"/>
              <w:pageBreakBefore w:val="0"/>
              <w:kinsoku/>
              <w:wordWrap/>
              <w:overflowPunct/>
              <w:topLinePunct w:val="0"/>
              <w:autoSpaceDE/>
              <w:autoSpaceDN/>
              <w:bidi w:val="0"/>
              <w:adjustRightInd/>
              <w:snapToGrid/>
              <w:spacing w:after="0" w:line="52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14:paraId="5E82B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12726A5F">
            <w:pPr>
              <w:pageBreakBefore w:val="0"/>
              <w:widowControl/>
              <w:kinsoku/>
              <w:wordWrap/>
              <w:overflowPunct/>
              <w:topLinePunct w:val="0"/>
              <w:autoSpaceDE/>
              <w:autoSpaceDN/>
              <w:bidi w:val="0"/>
              <w:adjustRightInd/>
              <w:snapToGrid/>
              <w:spacing w:line="520" w:lineRule="exact"/>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专业服务板块</w:t>
            </w:r>
          </w:p>
        </w:tc>
        <w:tc>
          <w:tcPr>
            <w:tcW w:w="728" w:type="pct"/>
            <w:noWrap w:val="0"/>
            <w:vAlign w:val="center"/>
          </w:tcPr>
          <w:p w14:paraId="58E7E1C7">
            <w:pPr>
              <w:pageBreakBefore w:val="0"/>
              <w:widowControl/>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55</w:t>
            </w:r>
          </w:p>
        </w:tc>
        <w:tc>
          <w:tcPr>
            <w:tcW w:w="731" w:type="pct"/>
            <w:noWrap w:val="0"/>
            <w:vAlign w:val="center"/>
          </w:tcPr>
          <w:p w14:paraId="502CAC0A">
            <w:pPr>
              <w:pageBreakBefore w:val="0"/>
              <w:widowControl/>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45.39</w:t>
            </w:r>
          </w:p>
        </w:tc>
        <w:tc>
          <w:tcPr>
            <w:tcW w:w="848" w:type="pct"/>
            <w:noWrap w:val="0"/>
            <w:vAlign w:val="center"/>
          </w:tcPr>
          <w:p w14:paraId="4DA680CF">
            <w:pPr>
              <w:pageBreakBefore w:val="0"/>
              <w:widowControl/>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45.39</w:t>
            </w:r>
          </w:p>
        </w:tc>
      </w:tr>
      <w:tr w14:paraId="6EBD6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2D97924A">
            <w:pPr>
              <w:pageBreakBefore w:val="0"/>
              <w:widowControl/>
              <w:kinsoku/>
              <w:wordWrap/>
              <w:overflowPunct/>
              <w:topLinePunct w:val="0"/>
              <w:autoSpaceDE/>
              <w:autoSpaceDN/>
              <w:bidi w:val="0"/>
              <w:adjustRightInd/>
              <w:snapToGrid/>
              <w:spacing w:line="520" w:lineRule="exact"/>
              <w:jc w:val="center"/>
              <w:textAlignment w:val="center"/>
              <w:rPr>
                <w:rFonts w:ascii="仿宋_GB2312" w:hAnsi="仿宋_GB2312" w:eastAsia="仿宋_GB2312" w:cs="仿宋_GB2312"/>
                <w:sz w:val="28"/>
                <w:szCs w:val="28"/>
                <w:lang w:eastAsia="zh-CN" w:bidi="ar"/>
              </w:rPr>
            </w:pPr>
            <w:r>
              <w:rPr>
                <w:rStyle w:val="32"/>
                <w:rFonts w:hint="default" w:ascii="仿宋_GB2312" w:hAnsi="仿宋_GB2312" w:eastAsia="仿宋_GB2312" w:cs="仿宋_GB2312"/>
                <w:sz w:val="28"/>
                <w:szCs w:val="28"/>
                <w:lang w:eastAsia="zh-CN" w:bidi="ar"/>
              </w:rPr>
              <w:t>购买方</w:t>
            </w:r>
          </w:p>
        </w:tc>
        <w:tc>
          <w:tcPr>
            <w:tcW w:w="728" w:type="pct"/>
            <w:noWrap w:val="0"/>
            <w:vAlign w:val="center"/>
          </w:tcPr>
          <w:p w14:paraId="0424BFD7">
            <w:pPr>
              <w:pageBreakBefore w:val="0"/>
              <w:widowControl/>
              <w:kinsoku/>
              <w:wordWrap/>
              <w:overflowPunct/>
              <w:topLinePunct w:val="0"/>
              <w:autoSpaceDE/>
              <w:autoSpaceDN/>
              <w:bidi w:val="0"/>
              <w:adjustRightInd/>
              <w:snapToGrid/>
              <w:spacing w:line="520" w:lineRule="exact"/>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14:paraId="776B3E29">
            <w:pPr>
              <w:pageBreakBefore w:val="0"/>
              <w:widowControl/>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19.8</w:t>
            </w:r>
          </w:p>
        </w:tc>
        <w:tc>
          <w:tcPr>
            <w:tcW w:w="848" w:type="pct"/>
            <w:noWrap w:val="0"/>
            <w:vAlign w:val="center"/>
          </w:tcPr>
          <w:p w14:paraId="4931D0F2">
            <w:pPr>
              <w:pageBreakBefore w:val="0"/>
              <w:widowControl/>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lang w:val="en-US" w:eastAsia="zh-CN"/>
              </w:rPr>
            </w:pPr>
            <w:r>
              <w:rPr>
                <w:rFonts w:hint="eastAsia" w:ascii="仿宋_GB2312" w:hAnsi="仿宋_GB2312" w:eastAsia="仿宋_GB2312" w:cs="仿宋_GB2312"/>
                <w:sz w:val="28"/>
                <w:szCs w:val="28"/>
                <w:lang w:val="en-US" w:eastAsia="zh-CN" w:bidi="ar"/>
              </w:rPr>
              <w:t>19.8</w:t>
            </w:r>
          </w:p>
        </w:tc>
      </w:tr>
      <w:tr w14:paraId="601C9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2B58F903">
            <w:pPr>
              <w:pageBreakBefore w:val="0"/>
              <w:widowControl/>
              <w:kinsoku/>
              <w:wordWrap/>
              <w:overflowPunct/>
              <w:topLinePunct w:val="0"/>
              <w:autoSpaceDE/>
              <w:autoSpaceDN/>
              <w:bidi w:val="0"/>
              <w:adjustRightInd/>
              <w:snapToGrid/>
              <w:spacing w:line="520" w:lineRule="exact"/>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highlight w:val="none"/>
                <w:lang w:eastAsia="zh-CN" w:bidi="ar"/>
              </w:rPr>
              <w:t>督导中心</w:t>
            </w:r>
          </w:p>
        </w:tc>
        <w:tc>
          <w:tcPr>
            <w:tcW w:w="728" w:type="pct"/>
            <w:noWrap w:val="0"/>
            <w:vAlign w:val="center"/>
          </w:tcPr>
          <w:p w14:paraId="09CF18C2">
            <w:pPr>
              <w:pageBreakBefore w:val="0"/>
              <w:widowControl/>
              <w:kinsoku/>
              <w:wordWrap/>
              <w:overflowPunct/>
              <w:topLinePunct w:val="0"/>
              <w:autoSpaceDE/>
              <w:autoSpaceDN/>
              <w:bidi w:val="0"/>
              <w:adjustRightInd/>
              <w:snapToGrid/>
              <w:spacing w:line="520" w:lineRule="exact"/>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14:paraId="7B6CE39A">
            <w:pPr>
              <w:pageBreakBefore w:val="0"/>
              <w:widowControl/>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13.2</w:t>
            </w:r>
          </w:p>
        </w:tc>
        <w:tc>
          <w:tcPr>
            <w:tcW w:w="848" w:type="pct"/>
            <w:noWrap w:val="0"/>
            <w:vAlign w:val="center"/>
          </w:tcPr>
          <w:p w14:paraId="3E46DB12">
            <w:pPr>
              <w:pageBreakBefore w:val="0"/>
              <w:kinsoku/>
              <w:wordWrap/>
              <w:overflowPunct/>
              <w:topLinePunct w:val="0"/>
              <w:autoSpaceDE/>
              <w:autoSpaceDN/>
              <w:bidi w:val="0"/>
              <w:adjustRightInd/>
              <w:snapToGrid/>
              <w:spacing w:line="520" w:lineRule="exact"/>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13.2</w:t>
            </w:r>
          </w:p>
        </w:tc>
      </w:tr>
      <w:tr w14:paraId="134AC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42738456">
            <w:pPr>
              <w:pageBreakBefore w:val="0"/>
              <w:widowControl/>
              <w:kinsoku/>
              <w:wordWrap/>
              <w:overflowPunct/>
              <w:topLinePunct w:val="0"/>
              <w:autoSpaceDE/>
              <w:autoSpaceDN/>
              <w:bidi w:val="0"/>
              <w:adjustRightInd/>
              <w:snapToGrid/>
              <w:spacing w:line="520" w:lineRule="exact"/>
              <w:jc w:val="center"/>
              <w:textAlignment w:val="center"/>
              <w:rPr>
                <w:rFonts w:ascii="仿宋_GB2312" w:hAnsi="仿宋_GB2312" w:eastAsia="仿宋_GB2312" w:cs="仿宋_GB2312"/>
                <w:sz w:val="28"/>
                <w:szCs w:val="28"/>
                <w:highlight w:val="yellow"/>
                <w:lang w:eastAsia="zh-CN" w:bidi="ar"/>
              </w:rPr>
            </w:pPr>
            <w:r>
              <w:rPr>
                <w:rFonts w:hint="default" w:ascii="仿宋_GB2312" w:hAnsi="仿宋_GB2312" w:eastAsia="仿宋_GB2312" w:cs="仿宋_GB2312"/>
                <w:sz w:val="28"/>
                <w:szCs w:val="28"/>
                <w:lang w:eastAsia="zh-CN" w:bidi="ar"/>
              </w:rPr>
              <w:t>监督方</w:t>
            </w:r>
          </w:p>
        </w:tc>
        <w:tc>
          <w:tcPr>
            <w:tcW w:w="728" w:type="pct"/>
            <w:noWrap w:val="0"/>
            <w:vAlign w:val="center"/>
          </w:tcPr>
          <w:p w14:paraId="261602CD">
            <w:pPr>
              <w:pageBreakBefore w:val="0"/>
              <w:widowControl/>
              <w:kinsoku/>
              <w:wordWrap/>
              <w:overflowPunct/>
              <w:topLinePunct w:val="0"/>
              <w:autoSpaceDE/>
              <w:autoSpaceDN/>
              <w:bidi w:val="0"/>
              <w:adjustRightInd/>
              <w:snapToGrid/>
              <w:spacing w:line="520" w:lineRule="exact"/>
              <w:jc w:val="center"/>
              <w:textAlignment w:val="center"/>
              <w:rPr>
                <w:rFonts w:ascii="仿宋_GB2312" w:hAnsi="仿宋_GB2312" w:eastAsia="仿宋_GB2312" w:cs="仿宋_GB2312"/>
                <w:sz w:val="28"/>
                <w:szCs w:val="28"/>
                <w:highlight w:val="yellow"/>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14:paraId="7D3F40AD">
            <w:pPr>
              <w:pageBreakBefore w:val="0"/>
              <w:widowControl/>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9.1</w:t>
            </w:r>
          </w:p>
        </w:tc>
        <w:tc>
          <w:tcPr>
            <w:tcW w:w="848" w:type="pct"/>
            <w:noWrap w:val="0"/>
            <w:vAlign w:val="center"/>
          </w:tcPr>
          <w:p w14:paraId="6A53EB6E">
            <w:pPr>
              <w:pageBreakBefore w:val="0"/>
              <w:kinsoku/>
              <w:wordWrap/>
              <w:overflowPunct/>
              <w:topLinePunct w:val="0"/>
              <w:autoSpaceDE/>
              <w:autoSpaceDN/>
              <w:bidi w:val="0"/>
              <w:adjustRightInd/>
              <w:snapToGrid/>
              <w:spacing w:line="520" w:lineRule="exact"/>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9.1</w:t>
            </w:r>
          </w:p>
        </w:tc>
      </w:tr>
      <w:tr w14:paraId="17DA8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14:paraId="6DD24A93">
            <w:pPr>
              <w:pStyle w:val="13"/>
              <w:pageBreakBefore w:val="0"/>
              <w:kinsoku/>
              <w:wordWrap/>
              <w:overflowPunct/>
              <w:topLinePunct w:val="0"/>
              <w:autoSpaceDE/>
              <w:autoSpaceDN/>
              <w:bidi w:val="0"/>
              <w:adjustRightInd/>
              <w:snapToGrid/>
              <w:spacing w:after="0" w:line="52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14:paraId="337B147C">
            <w:pPr>
              <w:pageBreakBefore w:val="0"/>
              <w:widowControl/>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87.49</w:t>
            </w:r>
          </w:p>
        </w:tc>
      </w:tr>
    </w:tbl>
    <w:p w14:paraId="781A86CC">
      <w:pPr>
        <w:pStyle w:val="11"/>
        <w:keepNext/>
        <w:keepLines/>
        <w:pageBreakBefore w:val="0"/>
        <w:kinsoku/>
        <w:wordWrap/>
        <w:overflowPunct/>
        <w:topLinePunct w:val="0"/>
        <w:autoSpaceDE/>
        <w:autoSpaceDN/>
        <w:bidi w:val="0"/>
        <w:adjustRightInd/>
        <w:snapToGrid/>
        <w:spacing w:before="0" w:after="0" w:line="520" w:lineRule="exact"/>
        <w:ind w:firstLine="643" w:firstLineChars="200"/>
        <w:jc w:val="both"/>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55"/>
      <w:r>
        <w:rPr>
          <w:rFonts w:hint="eastAsia" w:ascii="方正小标宋简体" w:eastAsia="方正小标宋简体"/>
          <w:b/>
          <w:bCs/>
          <w:color w:val="auto"/>
          <w:sz w:val="32"/>
          <w:szCs w:val="28"/>
          <w:lang w:val="en-US"/>
        </w:rPr>
        <w:t>、结语</w:t>
      </w:r>
    </w:p>
    <w:p w14:paraId="65B13929">
      <w:pPr>
        <w:pStyle w:val="13"/>
        <w:keepNext w:val="0"/>
        <w:keepLines w:val="0"/>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default" w:ascii="仿宋_GB2312" w:eastAsia="仿宋_GB2312"/>
          <w:color w:val="auto"/>
          <w:sz w:val="32"/>
          <w:szCs w:val="32"/>
          <w:lang w:val="en-US" w:eastAsia="zh-CN"/>
        </w:rPr>
      </w:pPr>
      <w:r>
        <w:rPr>
          <w:rFonts w:hint="eastAsia" w:ascii="仿宋_GB2312" w:eastAsia="仿宋_GB2312" w:hAnsiTheme="minorEastAsia"/>
          <w:color w:val="auto"/>
          <w:sz w:val="32"/>
          <w:szCs w:val="32"/>
          <w:lang w:val="en-US" w:eastAsia="zh-CN"/>
        </w:rPr>
        <w:t>小谷围街</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val="en-US" w:eastAsia="zh-CN"/>
        </w:rPr>
        <w:t>小谷围街党工委</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小谷围街道办事处</w:t>
      </w:r>
      <w:r>
        <w:rPr>
          <w:rFonts w:hint="eastAsia" w:ascii="仿宋_GB2312" w:eastAsia="仿宋_GB2312"/>
          <w:color w:val="auto"/>
          <w:sz w:val="32"/>
          <w:szCs w:val="32"/>
        </w:rPr>
        <w:t>的大力支持下，在</w:t>
      </w:r>
      <w:r>
        <w:rPr>
          <w:rFonts w:hint="eastAsia" w:ascii="仿宋_GB2312" w:eastAsia="仿宋_GB2312"/>
          <w:color w:val="auto"/>
          <w:sz w:val="32"/>
          <w:szCs w:val="32"/>
          <w:lang w:val="en-US" w:eastAsia="zh-CN"/>
        </w:rPr>
        <w:t>广州市番禺区正阳社会工作服务中心</w:t>
      </w:r>
      <w:r>
        <w:rPr>
          <w:rFonts w:hint="eastAsia" w:ascii="仿宋_GB2312" w:eastAsia="仿宋_GB2312"/>
          <w:color w:val="auto"/>
          <w:sz w:val="32"/>
          <w:szCs w:val="32"/>
        </w:rPr>
        <w:t>的努力下，</w:t>
      </w:r>
      <w:r>
        <w:rPr>
          <w:rFonts w:hint="eastAsia" w:ascii="仿宋_GB2312" w:eastAsia="仿宋_GB2312"/>
          <w:color w:val="auto"/>
          <w:sz w:val="32"/>
          <w:szCs w:val="32"/>
          <w:lang w:val="en-US" w:eastAsia="zh-CN"/>
        </w:rPr>
        <w:t>社工站</w:t>
      </w:r>
      <w:r>
        <w:rPr>
          <w:rFonts w:hint="eastAsia" w:ascii="仿宋_GB2312" w:eastAsia="仿宋_GB2312"/>
          <w:bCs/>
          <w:color w:val="auto"/>
          <w:sz w:val="32"/>
          <w:szCs w:val="32"/>
          <w:lang w:val="en-US" w:eastAsia="zh-CN"/>
        </w:rPr>
        <w:t>党的工作覆盖能重点关注困难群众和特殊群体的服务需要，联动开展共建服务</w:t>
      </w:r>
      <w:r>
        <w:rPr>
          <w:rFonts w:hint="eastAsia" w:ascii="仿宋_GB2312" w:eastAsia="仿宋_GB2312"/>
          <w:color w:val="auto"/>
          <w:sz w:val="32"/>
          <w:szCs w:val="32"/>
          <w:lang w:val="en-US" w:eastAsia="zh-CN"/>
        </w:rPr>
        <w:t>，社工工作态度良好，人员配备充足，宣传渠道多样，</w:t>
      </w:r>
      <w:r>
        <w:rPr>
          <w:rFonts w:hint="eastAsia" w:ascii="仿宋_GB2312" w:eastAsia="仿宋_GB2312"/>
          <w:bCs/>
          <w:color w:val="auto"/>
          <w:sz w:val="32"/>
          <w:szCs w:val="32"/>
          <w:lang w:val="en-US" w:eastAsia="zh-CN"/>
        </w:rPr>
        <w:t>“五社联动”机制健全，能发挥大学生资源优势，积极壮大社区服务力量，</w:t>
      </w:r>
      <w:r>
        <w:rPr>
          <w:rFonts w:hint="eastAsia" w:ascii="仿宋_GB2312" w:eastAsia="仿宋_GB2312"/>
          <w:color w:val="auto"/>
          <w:sz w:val="32"/>
          <w:szCs w:val="32"/>
          <w:lang w:val="en-US" w:eastAsia="zh-CN"/>
        </w:rPr>
        <w:t>积极配合街道办事处的相关工作，</w:t>
      </w:r>
      <w:r>
        <w:rPr>
          <w:rFonts w:hint="eastAsia" w:ascii="仿宋_GB2312" w:eastAsia="仿宋_GB2312"/>
          <w:color w:val="auto"/>
          <w:sz w:val="32"/>
          <w:szCs w:val="32"/>
          <w:lang w:eastAsia="zh-CN"/>
        </w:rPr>
        <w:t>构建“一户一档、一人一案”动态管理机制，实现了建档全覆盖、档案动态更新、分级分类跟进，服务满意度较高。</w:t>
      </w:r>
    </w:p>
    <w:p w14:paraId="38B2F5E5">
      <w:pPr>
        <w:pStyle w:val="13"/>
        <w:pageBreakBefore w:val="0"/>
        <w:kinsoku/>
        <w:wordWrap/>
        <w:overflowPunct/>
        <w:topLinePunct w:val="0"/>
        <w:autoSpaceDE/>
        <w:autoSpaceDN/>
        <w:bidi w:val="0"/>
        <w:adjustRightInd/>
        <w:snapToGrid/>
        <w:spacing w:after="160" w:line="520" w:lineRule="exact"/>
        <w:ind w:firstLine="640"/>
        <w:jc w:val="both"/>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建议小谷围街社工服务站多关注党员社工的监督、管理和服务，加强聚焦需求调研的交叉分析、服务设计主题、特色服务亮点、专业能力发挥和慈善服务的资源整合力度，</w:t>
      </w:r>
      <w:r>
        <w:rPr>
          <w:rFonts w:hint="eastAsia" w:ascii="仿宋_GB2312" w:eastAsia="仿宋_GB2312"/>
          <w:b w:val="0"/>
          <w:bCs w:val="0"/>
          <w:color w:val="auto"/>
          <w:sz w:val="32"/>
          <w:szCs w:val="32"/>
          <w:lang w:eastAsia="zh-CN"/>
        </w:rPr>
        <w:t>增强困难群众和特殊群体服务的精准化程度，</w:t>
      </w:r>
      <w:r>
        <w:rPr>
          <w:rFonts w:hint="eastAsia" w:ascii="仿宋_GB2312" w:eastAsia="仿宋_GB2312"/>
          <w:b w:val="0"/>
          <w:bCs w:val="0"/>
          <w:color w:val="auto"/>
          <w:sz w:val="32"/>
          <w:szCs w:val="32"/>
          <w:lang w:val="en-US" w:eastAsia="zh-CN"/>
        </w:rPr>
        <w:t>重视对专业目标评估的设置以及片区整体服务成效的测量汇总，</w:t>
      </w:r>
      <w:r>
        <w:rPr>
          <w:rFonts w:hint="eastAsia" w:ascii="仿宋_GB2312" w:eastAsia="仿宋_GB2312"/>
          <w:color w:val="auto"/>
          <w:sz w:val="32"/>
          <w:szCs w:val="32"/>
          <w:lang w:val="en-US" w:eastAsia="zh-CN"/>
        </w:rPr>
        <w:t>进一步关注疑难案例的解决和案例编写问题，依托服务已有积累，主动对接行业征稿、学术研讨、媒体宣传等平台，通过案例文章、实践研究等形式输出专业成果，打造有特色的服务品牌，提升项目示范影响力。</w:t>
      </w:r>
    </w:p>
    <w:p w14:paraId="78583909">
      <w:pPr>
        <w:pStyle w:val="13"/>
        <w:pageBreakBefore w:val="0"/>
        <w:kinsoku/>
        <w:wordWrap/>
        <w:overflowPunct/>
        <w:topLinePunct w:val="0"/>
        <w:autoSpaceDE/>
        <w:autoSpaceDN/>
        <w:bidi w:val="0"/>
        <w:adjustRightInd/>
        <w:snapToGrid/>
        <w:spacing w:after="160" w:line="520" w:lineRule="exact"/>
        <w:ind w:firstLine="640"/>
        <w:jc w:val="both"/>
        <w:rPr>
          <w:rFonts w:hint="eastAsia" w:ascii="仿宋_GB2312" w:eastAsia="仿宋_GB2312"/>
          <w:color w:val="auto"/>
          <w:sz w:val="32"/>
          <w:szCs w:val="32"/>
          <w:lang w:val="en-US" w:eastAsia="zh-CN"/>
        </w:rPr>
      </w:pPr>
    </w:p>
    <w:p w14:paraId="54FF72C2">
      <w:pPr>
        <w:pStyle w:val="13"/>
        <w:pageBreakBefore w:val="0"/>
        <w:kinsoku/>
        <w:wordWrap/>
        <w:overflowPunct/>
        <w:topLinePunct w:val="0"/>
        <w:autoSpaceDE/>
        <w:autoSpaceDN/>
        <w:bidi w:val="0"/>
        <w:adjustRightInd/>
        <w:snapToGrid/>
        <w:spacing w:after="160" w:line="520" w:lineRule="exact"/>
        <w:ind w:firstLine="640"/>
        <w:jc w:val="both"/>
        <w:rPr>
          <w:rFonts w:hint="eastAsia" w:ascii="仿宋_GB2312" w:eastAsia="仿宋_GB2312"/>
          <w:color w:val="auto"/>
          <w:sz w:val="32"/>
          <w:szCs w:val="32"/>
          <w:lang w:val="en-US" w:eastAsia="zh-CN"/>
        </w:rPr>
      </w:pPr>
    </w:p>
    <w:p w14:paraId="0AF07939">
      <w:pPr>
        <w:pStyle w:val="13"/>
        <w:pageBreakBefore w:val="0"/>
        <w:widowControl w:val="0"/>
        <w:kinsoku/>
        <w:wordWrap/>
        <w:overflowPunct/>
        <w:topLinePunct w:val="0"/>
        <w:autoSpaceDE/>
        <w:autoSpaceDN/>
        <w:bidi w:val="0"/>
        <w:adjustRightInd/>
        <w:snapToGrid/>
        <w:spacing w:after="0" w:line="52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附件：1.小谷围街社工服务站指标完成情况统计表</w:t>
      </w:r>
    </w:p>
    <w:p w14:paraId="0E86D763">
      <w:pPr>
        <w:pStyle w:val="13"/>
        <w:pageBreakBefore w:val="0"/>
        <w:widowControl w:val="0"/>
        <w:kinsoku/>
        <w:wordWrap/>
        <w:overflowPunct/>
        <w:topLinePunct w:val="0"/>
        <w:autoSpaceDE/>
        <w:autoSpaceDN/>
        <w:bidi w:val="0"/>
        <w:adjustRightInd/>
        <w:snapToGrid/>
        <w:spacing w:after="0" w:line="520" w:lineRule="exact"/>
        <w:ind w:firstLine="1600" w:firstLineChars="5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2.小谷围街社工服务站工作人员情况统计表</w:t>
      </w:r>
    </w:p>
    <w:p w14:paraId="3160B382">
      <w:pPr>
        <w:pStyle w:val="13"/>
        <w:keepNext w:val="0"/>
        <w:keepLines w:val="0"/>
        <w:pageBreakBefore w:val="0"/>
        <w:widowControl w:val="0"/>
        <w:kinsoku/>
        <w:wordWrap/>
        <w:overflowPunct/>
        <w:topLinePunct w:val="0"/>
        <w:autoSpaceDE/>
        <w:autoSpaceDN/>
        <w:bidi w:val="0"/>
        <w:adjustRightInd/>
        <w:snapToGrid/>
        <w:spacing w:after="0" w:line="560" w:lineRule="atLeast"/>
        <w:ind w:firstLine="640"/>
        <w:jc w:val="both"/>
        <w:textAlignment w:val="auto"/>
        <w:rPr>
          <w:rFonts w:hint="eastAsia" w:ascii="仿宋_GB2312" w:eastAsia="仿宋_GB2312"/>
          <w:color w:val="auto"/>
          <w:sz w:val="32"/>
          <w:szCs w:val="32"/>
        </w:rPr>
      </w:pPr>
    </w:p>
    <w:p w14:paraId="75FE663E">
      <w:pPr>
        <w:pStyle w:val="13"/>
        <w:keepNext w:val="0"/>
        <w:keepLines w:val="0"/>
        <w:pageBreakBefore w:val="0"/>
        <w:widowControl w:val="0"/>
        <w:numPr>
          <w:ilvl w:val="0"/>
          <w:numId w:val="0"/>
        </w:numPr>
        <w:kinsoku/>
        <w:wordWrap/>
        <w:overflowPunct/>
        <w:topLinePunct w:val="0"/>
        <w:autoSpaceDE/>
        <w:autoSpaceDN/>
        <w:bidi w:val="0"/>
        <w:adjustRightInd/>
        <w:snapToGrid/>
        <w:spacing w:after="0" w:line="560" w:lineRule="atLeast"/>
        <w:jc w:val="both"/>
        <w:textAlignment w:val="auto"/>
        <w:rPr>
          <w:rFonts w:hint="eastAsia" w:ascii="仿宋_GB2312" w:eastAsia="仿宋_GB2312"/>
          <w:color w:val="auto"/>
          <w:sz w:val="32"/>
          <w:szCs w:val="32"/>
        </w:rPr>
      </w:pPr>
    </w:p>
    <w:p w14:paraId="7F5DCFD1">
      <w:pPr>
        <w:pStyle w:val="13"/>
        <w:keepNext w:val="0"/>
        <w:keepLines w:val="0"/>
        <w:pageBreakBefore w:val="0"/>
        <w:widowControl w:val="0"/>
        <w:numPr>
          <w:ilvl w:val="0"/>
          <w:numId w:val="0"/>
        </w:numPr>
        <w:kinsoku/>
        <w:wordWrap/>
        <w:overflowPunct/>
        <w:topLinePunct w:val="0"/>
        <w:autoSpaceDE/>
        <w:autoSpaceDN/>
        <w:bidi w:val="0"/>
        <w:adjustRightInd/>
        <w:snapToGrid/>
        <w:spacing w:after="0" w:line="560" w:lineRule="atLeast"/>
        <w:jc w:val="both"/>
        <w:textAlignment w:val="auto"/>
        <w:rPr>
          <w:rFonts w:hint="eastAsia" w:ascii="仿宋_GB2312" w:eastAsia="仿宋_GB2312"/>
          <w:color w:val="auto"/>
          <w:sz w:val="32"/>
          <w:szCs w:val="32"/>
          <w:lang w:eastAsia="zh-CN"/>
        </w:rPr>
      </w:pPr>
    </w:p>
    <w:p w14:paraId="77A14392">
      <w:pPr>
        <w:keepNext w:val="0"/>
        <w:keepLines w:val="0"/>
        <w:pageBreakBefore w:val="0"/>
        <w:widowControl w:val="0"/>
        <w:tabs>
          <w:tab w:val="left" w:pos="7330"/>
        </w:tabs>
        <w:kinsoku/>
        <w:wordWrap/>
        <w:overflowPunct/>
        <w:topLinePunct w:val="0"/>
        <w:autoSpaceDE/>
        <w:autoSpaceDN/>
        <w:bidi w:val="0"/>
        <w:adjustRightInd/>
        <w:snapToGrid/>
        <w:spacing w:line="560" w:lineRule="atLeast"/>
        <w:ind w:firstLine="5120" w:firstLineChars="1600"/>
        <w:jc w:val="both"/>
        <w:textAlignment w:val="auto"/>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14:paraId="5E2CAB47">
      <w:pPr>
        <w:pStyle w:val="13"/>
        <w:keepNext w:val="0"/>
        <w:keepLines w:val="0"/>
        <w:pageBreakBefore w:val="0"/>
        <w:widowControl w:val="0"/>
        <w:kinsoku/>
        <w:wordWrap/>
        <w:overflowPunct/>
        <w:topLinePunct w:val="0"/>
        <w:autoSpaceDE/>
        <w:autoSpaceDN/>
        <w:bidi w:val="0"/>
        <w:adjustRightInd/>
        <w:snapToGrid/>
        <w:spacing w:after="0" w:line="560" w:lineRule="atLeast"/>
        <w:ind w:firstLine="6080" w:firstLineChars="1900"/>
        <w:textAlignment w:val="auto"/>
        <w:rPr>
          <w:rFonts w:hint="eastAsia" w:ascii="仿宋_GB2312" w:eastAsia="仿宋_GB2312"/>
          <w:b/>
          <w:bCs/>
          <w:color w:val="auto"/>
          <w:sz w:val="32"/>
          <w:szCs w:val="32"/>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14</w:t>
      </w:r>
      <w:r>
        <w:rPr>
          <w:rFonts w:hint="eastAsia" w:ascii="仿宋_GB2312" w:hAnsi="仿宋_GB2312" w:eastAsia="仿宋_GB2312" w:cs="仿宋_GB2312"/>
          <w:color w:val="auto"/>
          <w:sz w:val="32"/>
          <w:szCs w:val="32"/>
          <w:lang w:eastAsia="zh-CN"/>
        </w:rPr>
        <w:t>日</w:t>
      </w:r>
      <w:bookmarkStart w:id="56" w:name="_GoBack"/>
      <w:bookmarkEnd w:id="56"/>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embedRegular r:id="rId1" w:fontKey="{557614E6-F1BD-4A49-9045-A97D85FC4C9D}"/>
  </w:font>
  <w:font w:name="PMingLiU">
    <w:panose1 w:val="02020500000000000000"/>
    <w:charset w:val="88"/>
    <w:family w:val="auto"/>
    <w:pitch w:val="default"/>
    <w:sig w:usb0="A00002FF" w:usb1="28CFFCFA" w:usb2="00000016" w:usb3="00000000" w:csb0="00100001" w:csb1="00000000"/>
    <w:embedRegular r:id="rId2" w:fontKey="{F5BF8F7C-EA49-4DA2-98A2-DE0AA2EBCC59}"/>
  </w:font>
  <w:font w:name="仿宋_GB2312">
    <w:panose1 w:val="02010609030101010101"/>
    <w:charset w:val="86"/>
    <w:family w:val="modern"/>
    <w:pitch w:val="default"/>
    <w:sig w:usb0="00000001" w:usb1="080E0000" w:usb2="00000000" w:usb3="00000000" w:csb0="00040000" w:csb1="00000000"/>
    <w:embedRegular r:id="rId3" w:fontKey="{74525BDE-DAC0-4B96-A1B1-7975C446FB46}"/>
  </w:font>
  <w:font w:name="仿宋">
    <w:panose1 w:val="02010609060101010101"/>
    <w:charset w:val="86"/>
    <w:family w:val="modern"/>
    <w:pitch w:val="default"/>
    <w:sig w:usb0="800002BF" w:usb1="38CF7CFA" w:usb2="00000016" w:usb3="00000000" w:csb0="00040001" w:csb1="00000000"/>
    <w:embedRegular r:id="rId4" w:fontKey="{FD0A1016-6862-4888-B537-6BCD1E13CA9C}"/>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01FD2">
    <w:pPr>
      <w:pStyle w:val="5"/>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C0F9E2">
                          <w:pPr>
                            <w:pStyle w:val="5"/>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EC0F9E2">
                    <w:pPr>
                      <w:pStyle w:val="5"/>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AB533F">
    <w:pPr>
      <w:pStyle w:val="5"/>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E9434F">
                          <w:pPr>
                            <w:pStyle w:val="5"/>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FE9434F">
                    <w:pPr>
                      <w:pStyle w:val="5"/>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00000007"/>
    <w:multiLevelType w:val="singleLevel"/>
    <w:tmpl w:val="00000007"/>
    <w:lvl w:ilvl="0" w:tentative="0">
      <w:start w:val="1"/>
      <w:numFmt w:val="decimal"/>
      <w:lvlText w:val="%1."/>
      <w:lvlJc w:val="left"/>
      <w:rPr>
        <w:rFonts w:ascii="仿宋" w:hAnsi="仿宋" w:eastAsia="仿宋" w:cs="Times New Roman"/>
        <w:b/>
        <w:bCs w:val="0"/>
        <w:i w:val="0"/>
        <w:iCs w:val="0"/>
        <w:smallCaps w:val="0"/>
        <w:color w:val="000000"/>
        <w:spacing w:val="0"/>
        <w:w w:val="100"/>
        <w:position w:val="0"/>
        <w:sz w:val="32"/>
        <w:szCs w:val="28"/>
        <w:u w:val="none"/>
        <w:shd w:val="clear" w:color="auto" w:fill="auto"/>
        <w:lang w:val="zh-TW" w:eastAsia="zh-TW" w:bidi="zh-TW"/>
      </w:rPr>
    </w:lvl>
  </w:abstractNum>
  <w:abstractNum w:abstractNumId="2">
    <w:nsid w:val="612166B3"/>
    <w:multiLevelType w:val="singleLevel"/>
    <w:tmpl w:val="612166B3"/>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75F46"/>
    <w:rsid w:val="00780069"/>
    <w:rsid w:val="007D05BA"/>
    <w:rsid w:val="008216CC"/>
    <w:rsid w:val="00840E3F"/>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E6AC9"/>
    <w:rsid w:val="016941A0"/>
    <w:rsid w:val="01DA6AA6"/>
    <w:rsid w:val="02DC78BE"/>
    <w:rsid w:val="03EA48BD"/>
    <w:rsid w:val="043B2EAD"/>
    <w:rsid w:val="043C3CC0"/>
    <w:rsid w:val="0479631C"/>
    <w:rsid w:val="05CD061E"/>
    <w:rsid w:val="05D6651F"/>
    <w:rsid w:val="07A04328"/>
    <w:rsid w:val="08974643"/>
    <w:rsid w:val="09BA0A50"/>
    <w:rsid w:val="0B15403C"/>
    <w:rsid w:val="0C9E6121"/>
    <w:rsid w:val="0CED1904"/>
    <w:rsid w:val="1083680B"/>
    <w:rsid w:val="122C2101"/>
    <w:rsid w:val="12473866"/>
    <w:rsid w:val="12E94C80"/>
    <w:rsid w:val="1351449B"/>
    <w:rsid w:val="138C2E16"/>
    <w:rsid w:val="14451AA5"/>
    <w:rsid w:val="17034184"/>
    <w:rsid w:val="18846779"/>
    <w:rsid w:val="18E07FA9"/>
    <w:rsid w:val="19F45A67"/>
    <w:rsid w:val="1BE87A8D"/>
    <w:rsid w:val="1CA73D07"/>
    <w:rsid w:val="1E4716B0"/>
    <w:rsid w:val="203465A3"/>
    <w:rsid w:val="20F37C9C"/>
    <w:rsid w:val="21635C00"/>
    <w:rsid w:val="22032E04"/>
    <w:rsid w:val="231B319B"/>
    <w:rsid w:val="24B16286"/>
    <w:rsid w:val="273D4A27"/>
    <w:rsid w:val="27BF6557"/>
    <w:rsid w:val="2BBA417B"/>
    <w:rsid w:val="2DB3100A"/>
    <w:rsid w:val="2E91658D"/>
    <w:rsid w:val="322D1914"/>
    <w:rsid w:val="32794A1C"/>
    <w:rsid w:val="33340DBD"/>
    <w:rsid w:val="338F274A"/>
    <w:rsid w:val="34C21DA4"/>
    <w:rsid w:val="36106889"/>
    <w:rsid w:val="3793032E"/>
    <w:rsid w:val="3A8D6536"/>
    <w:rsid w:val="3AEE06D4"/>
    <w:rsid w:val="3BB47C7C"/>
    <w:rsid w:val="3BC44428"/>
    <w:rsid w:val="3C734681"/>
    <w:rsid w:val="3CDB7FC2"/>
    <w:rsid w:val="3CEF4B2F"/>
    <w:rsid w:val="3D0E630E"/>
    <w:rsid w:val="3DE87C02"/>
    <w:rsid w:val="405010CD"/>
    <w:rsid w:val="40E7450B"/>
    <w:rsid w:val="418D5AE8"/>
    <w:rsid w:val="424C2D1A"/>
    <w:rsid w:val="42AE24C0"/>
    <w:rsid w:val="46CD7A34"/>
    <w:rsid w:val="486B7B50"/>
    <w:rsid w:val="4A246FC0"/>
    <w:rsid w:val="4A3D3E09"/>
    <w:rsid w:val="4C2061DD"/>
    <w:rsid w:val="4CF338F1"/>
    <w:rsid w:val="4D7C5695"/>
    <w:rsid w:val="4ECA5D66"/>
    <w:rsid w:val="501A5ADD"/>
    <w:rsid w:val="508067FB"/>
    <w:rsid w:val="50892358"/>
    <w:rsid w:val="50A43895"/>
    <w:rsid w:val="52A61B32"/>
    <w:rsid w:val="52DD6CAC"/>
    <w:rsid w:val="550C0592"/>
    <w:rsid w:val="56A40CE5"/>
    <w:rsid w:val="578D66F1"/>
    <w:rsid w:val="57C86C54"/>
    <w:rsid w:val="580E29F4"/>
    <w:rsid w:val="5A4A08C9"/>
    <w:rsid w:val="5C627366"/>
    <w:rsid w:val="5CE67A24"/>
    <w:rsid w:val="63FC70D8"/>
    <w:rsid w:val="685F196B"/>
    <w:rsid w:val="68E464EF"/>
    <w:rsid w:val="69557DDE"/>
    <w:rsid w:val="69726A9D"/>
    <w:rsid w:val="6B251937"/>
    <w:rsid w:val="6B7F3F84"/>
    <w:rsid w:val="6B855236"/>
    <w:rsid w:val="6BFA3EFD"/>
    <w:rsid w:val="6EA83A3B"/>
    <w:rsid w:val="6F906926"/>
    <w:rsid w:val="6FC0446B"/>
    <w:rsid w:val="700C6F8E"/>
    <w:rsid w:val="70550CA0"/>
    <w:rsid w:val="70657DB3"/>
    <w:rsid w:val="75864A53"/>
    <w:rsid w:val="7A8C614A"/>
    <w:rsid w:val="7B065502"/>
    <w:rsid w:val="7B4C229B"/>
    <w:rsid w:val="7BEC1388"/>
    <w:rsid w:val="7CBD0A66"/>
    <w:rsid w:val="7D284F5A"/>
    <w:rsid w:val="7D8F646F"/>
    <w:rsid w:val="7DAC4138"/>
    <w:rsid w:val="7E76499E"/>
    <w:rsid w:val="7ED74F23"/>
    <w:rsid w:val="F67F7317"/>
    <w:rsid w:val="FE8F1B93"/>
    <w:rsid w:val="FFE7A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autoRedefine/>
    <w:qFormat/>
    <w:uiPriority w:val="0"/>
    <w:pPr>
      <w:keepNext/>
      <w:keepLines/>
      <w:spacing w:before="260" w:after="260" w:line="413" w:lineRule="auto"/>
      <w:outlineLvl w:val="1"/>
    </w:pPr>
    <w:rPr>
      <w:rFonts w:ascii="Arial" w:hAnsi="Arial" w:eastAsia="宋体"/>
      <w:b/>
      <w:sz w:val="32"/>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Body Text"/>
    <w:basedOn w:val="1"/>
    <w:link w:val="31"/>
    <w:autoRedefine/>
    <w:qFormat/>
    <w:uiPriority w:val="0"/>
    <w:pPr>
      <w:spacing w:after="120"/>
    </w:pPr>
  </w:style>
  <w:style w:type="paragraph" w:styleId="5">
    <w:name w:val="footer"/>
    <w:basedOn w:val="1"/>
    <w:link w:val="29"/>
    <w:autoRedefine/>
    <w:qFormat/>
    <w:uiPriority w:val="0"/>
    <w:pPr>
      <w:tabs>
        <w:tab w:val="center" w:pos="4153"/>
        <w:tab w:val="right" w:pos="8306"/>
      </w:tabs>
      <w:snapToGrid w:val="0"/>
    </w:pPr>
    <w:rPr>
      <w:sz w:val="18"/>
      <w:szCs w:val="18"/>
    </w:rPr>
  </w:style>
  <w:style w:type="paragraph" w:styleId="6">
    <w:name w:val="header"/>
    <w:basedOn w:val="1"/>
    <w:link w:val="28"/>
    <w:autoRedefine/>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Heading #1|1_"/>
    <w:basedOn w:val="9"/>
    <w:link w:val="11"/>
    <w:autoRedefine/>
    <w:qFormat/>
    <w:uiPriority w:val="0"/>
    <w:rPr>
      <w:rFonts w:ascii="宋体" w:hAnsi="宋体" w:eastAsia="宋体" w:cs="宋体"/>
      <w:sz w:val="40"/>
      <w:szCs w:val="40"/>
      <w:u w:val="none"/>
      <w:shd w:val="clear" w:color="auto" w:fill="auto"/>
      <w:lang w:val="zh-TW" w:eastAsia="zh-TW" w:bidi="zh-TW"/>
    </w:rPr>
  </w:style>
  <w:style w:type="paragraph" w:customStyle="1" w:styleId="11">
    <w:name w:val="Heading #1|1"/>
    <w:basedOn w:val="1"/>
    <w:link w:val="10"/>
    <w:autoRedefine/>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2">
    <w:name w:val="Body text|1_"/>
    <w:basedOn w:val="9"/>
    <w:link w:val="13"/>
    <w:autoRedefine/>
    <w:qFormat/>
    <w:uiPriority w:val="0"/>
    <w:rPr>
      <w:rFonts w:ascii="宋体" w:hAnsi="宋体" w:eastAsia="宋体" w:cs="宋体"/>
      <w:sz w:val="28"/>
      <w:szCs w:val="28"/>
      <w:u w:val="none"/>
      <w:shd w:val="clear" w:color="auto" w:fill="auto"/>
      <w:lang w:val="zh-TW" w:eastAsia="zh-TW" w:bidi="zh-TW"/>
    </w:rPr>
  </w:style>
  <w:style w:type="paragraph" w:customStyle="1" w:styleId="13">
    <w:name w:val="Body text|1"/>
    <w:basedOn w:val="1"/>
    <w:link w:val="12"/>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4">
    <w:name w:val="Header or footer|2_"/>
    <w:basedOn w:val="9"/>
    <w:link w:val="15"/>
    <w:autoRedefine/>
    <w:qFormat/>
    <w:uiPriority w:val="0"/>
    <w:rPr>
      <w:sz w:val="20"/>
      <w:szCs w:val="20"/>
      <w:u w:val="none"/>
      <w:shd w:val="clear" w:color="auto" w:fill="auto"/>
      <w:lang w:val="zh-TW" w:eastAsia="zh-TW" w:bidi="zh-TW"/>
    </w:rPr>
  </w:style>
  <w:style w:type="paragraph" w:customStyle="1" w:styleId="15">
    <w:name w:val="Header or footer|2"/>
    <w:basedOn w:val="1"/>
    <w:link w:val="14"/>
    <w:autoRedefine/>
    <w:qFormat/>
    <w:uiPriority w:val="0"/>
    <w:rPr>
      <w:sz w:val="20"/>
      <w:szCs w:val="20"/>
      <w:lang w:val="zh-TW" w:eastAsia="zh-TW" w:bidi="zh-TW"/>
    </w:rPr>
  </w:style>
  <w:style w:type="character" w:customStyle="1" w:styleId="16">
    <w:name w:val="Header or footer|1_"/>
    <w:basedOn w:val="9"/>
    <w:link w:val="17"/>
    <w:autoRedefine/>
    <w:qFormat/>
    <w:uiPriority w:val="0"/>
    <w:rPr>
      <w:rFonts w:ascii="宋体" w:hAnsi="宋体" w:eastAsia="宋体" w:cs="宋体"/>
      <w:sz w:val="26"/>
      <w:szCs w:val="26"/>
      <w:u w:val="none"/>
      <w:shd w:val="clear" w:color="auto" w:fill="auto"/>
      <w:lang w:val="zh-TW" w:eastAsia="zh-TW" w:bidi="zh-TW"/>
    </w:rPr>
  </w:style>
  <w:style w:type="paragraph" w:customStyle="1" w:styleId="17">
    <w:name w:val="Header or footer|1"/>
    <w:basedOn w:val="1"/>
    <w:link w:val="16"/>
    <w:autoRedefine/>
    <w:qFormat/>
    <w:uiPriority w:val="0"/>
    <w:rPr>
      <w:rFonts w:ascii="宋体" w:hAnsi="宋体" w:eastAsia="宋体" w:cs="宋体"/>
      <w:sz w:val="26"/>
      <w:szCs w:val="26"/>
      <w:lang w:val="zh-TW" w:eastAsia="zh-TW" w:bidi="zh-TW"/>
    </w:rPr>
  </w:style>
  <w:style w:type="character" w:customStyle="1" w:styleId="18">
    <w:name w:val="Body text|2_"/>
    <w:basedOn w:val="9"/>
    <w:link w:val="19"/>
    <w:autoRedefine/>
    <w:qFormat/>
    <w:uiPriority w:val="0"/>
    <w:rPr>
      <w:rFonts w:ascii="宋体" w:hAnsi="宋体" w:eastAsia="宋体" w:cs="宋体"/>
      <w:sz w:val="22"/>
      <w:szCs w:val="22"/>
      <w:u w:val="none"/>
      <w:shd w:val="clear" w:color="auto" w:fill="auto"/>
      <w:lang w:val="zh-TW" w:eastAsia="zh-TW" w:bidi="zh-TW"/>
    </w:rPr>
  </w:style>
  <w:style w:type="paragraph" w:customStyle="1" w:styleId="19">
    <w:name w:val="Body text|2"/>
    <w:basedOn w:val="1"/>
    <w:link w:val="18"/>
    <w:autoRedefine/>
    <w:qFormat/>
    <w:uiPriority w:val="0"/>
    <w:pPr>
      <w:spacing w:after="240"/>
    </w:pPr>
    <w:rPr>
      <w:rFonts w:ascii="宋体" w:hAnsi="宋体" w:eastAsia="宋体" w:cs="宋体"/>
      <w:sz w:val="22"/>
      <w:szCs w:val="22"/>
      <w:lang w:val="zh-TW" w:eastAsia="zh-TW" w:bidi="zh-TW"/>
    </w:rPr>
  </w:style>
  <w:style w:type="character" w:customStyle="1" w:styleId="20">
    <w:name w:val="Other|1_"/>
    <w:basedOn w:val="9"/>
    <w:link w:val="21"/>
    <w:autoRedefine/>
    <w:qFormat/>
    <w:uiPriority w:val="0"/>
    <w:rPr>
      <w:rFonts w:ascii="宋体" w:hAnsi="宋体" w:eastAsia="宋体" w:cs="宋体"/>
      <w:sz w:val="28"/>
      <w:szCs w:val="28"/>
      <w:u w:val="none"/>
      <w:shd w:val="clear" w:color="auto" w:fill="auto"/>
      <w:lang w:val="zh-TW" w:eastAsia="zh-TW" w:bidi="zh-TW"/>
    </w:rPr>
  </w:style>
  <w:style w:type="paragraph" w:customStyle="1" w:styleId="21">
    <w:name w:val="Other|1"/>
    <w:basedOn w:val="1"/>
    <w:link w:val="20"/>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2">
    <w:name w:val="Other|2_"/>
    <w:basedOn w:val="9"/>
    <w:link w:val="23"/>
    <w:autoRedefine/>
    <w:qFormat/>
    <w:uiPriority w:val="0"/>
    <w:rPr>
      <w:rFonts w:ascii="宋体" w:hAnsi="宋体" w:eastAsia="宋体" w:cs="宋体"/>
      <w:sz w:val="15"/>
      <w:szCs w:val="15"/>
      <w:u w:val="none"/>
      <w:shd w:val="clear" w:color="auto" w:fill="auto"/>
      <w:lang w:val="zh-TW" w:eastAsia="zh-TW" w:bidi="zh-TW"/>
    </w:rPr>
  </w:style>
  <w:style w:type="paragraph" w:customStyle="1" w:styleId="23">
    <w:name w:val="Other|2"/>
    <w:basedOn w:val="1"/>
    <w:link w:val="22"/>
    <w:autoRedefine/>
    <w:qFormat/>
    <w:uiPriority w:val="0"/>
    <w:pPr>
      <w:spacing w:line="177" w:lineRule="exact"/>
      <w:jc w:val="center"/>
    </w:pPr>
    <w:rPr>
      <w:rFonts w:ascii="宋体" w:hAnsi="宋体" w:eastAsia="宋体" w:cs="宋体"/>
      <w:sz w:val="15"/>
      <w:szCs w:val="15"/>
      <w:lang w:val="zh-TW" w:eastAsia="zh-TW" w:bidi="zh-TW"/>
    </w:rPr>
  </w:style>
  <w:style w:type="character" w:customStyle="1" w:styleId="24">
    <w:name w:val="Body text|3_"/>
    <w:basedOn w:val="9"/>
    <w:link w:val="25"/>
    <w:autoRedefine/>
    <w:qFormat/>
    <w:uiPriority w:val="0"/>
    <w:rPr>
      <w:rFonts w:ascii="宋体" w:hAnsi="宋体" w:eastAsia="宋体" w:cs="宋体"/>
      <w:sz w:val="15"/>
      <w:szCs w:val="15"/>
      <w:u w:val="none"/>
      <w:shd w:val="clear" w:color="auto" w:fill="auto"/>
      <w:lang w:val="zh-TW" w:eastAsia="zh-TW" w:bidi="zh-TW"/>
    </w:rPr>
  </w:style>
  <w:style w:type="paragraph" w:customStyle="1" w:styleId="25">
    <w:name w:val="Body text|3"/>
    <w:basedOn w:val="1"/>
    <w:link w:val="24"/>
    <w:autoRedefine/>
    <w:qFormat/>
    <w:uiPriority w:val="0"/>
    <w:rPr>
      <w:rFonts w:ascii="宋体" w:hAnsi="宋体" w:eastAsia="宋体" w:cs="宋体"/>
      <w:sz w:val="15"/>
      <w:szCs w:val="15"/>
      <w:lang w:val="zh-TW" w:eastAsia="zh-TW" w:bidi="zh-TW"/>
    </w:rPr>
  </w:style>
  <w:style w:type="character" w:customStyle="1" w:styleId="26">
    <w:name w:val="Picture caption|1_"/>
    <w:basedOn w:val="9"/>
    <w:link w:val="27"/>
    <w:autoRedefine/>
    <w:qFormat/>
    <w:uiPriority w:val="0"/>
    <w:rPr>
      <w:rFonts w:ascii="宋体" w:hAnsi="宋体" w:eastAsia="宋体" w:cs="宋体"/>
      <w:sz w:val="20"/>
      <w:szCs w:val="20"/>
      <w:u w:val="none"/>
      <w:shd w:val="clear" w:color="auto" w:fill="auto"/>
      <w:lang w:val="zh-TW" w:eastAsia="zh-TW" w:bidi="zh-TW"/>
    </w:rPr>
  </w:style>
  <w:style w:type="paragraph" w:customStyle="1" w:styleId="27">
    <w:name w:val="Picture caption|1"/>
    <w:basedOn w:val="1"/>
    <w:link w:val="26"/>
    <w:autoRedefine/>
    <w:qFormat/>
    <w:uiPriority w:val="0"/>
    <w:pPr>
      <w:jc w:val="center"/>
    </w:pPr>
    <w:rPr>
      <w:rFonts w:ascii="宋体" w:hAnsi="宋体" w:eastAsia="宋体" w:cs="宋体"/>
      <w:sz w:val="20"/>
      <w:szCs w:val="20"/>
      <w:lang w:val="zh-TW" w:eastAsia="zh-TW" w:bidi="zh-TW"/>
    </w:rPr>
  </w:style>
  <w:style w:type="character" w:customStyle="1" w:styleId="28">
    <w:name w:val="页眉 Char"/>
    <w:basedOn w:val="9"/>
    <w:link w:val="6"/>
    <w:autoRedefine/>
    <w:qFormat/>
    <w:uiPriority w:val="0"/>
    <w:rPr>
      <w:rFonts w:eastAsia="Times New Roman"/>
      <w:color w:val="000000"/>
      <w:sz w:val="18"/>
      <w:szCs w:val="18"/>
      <w:lang w:eastAsia="en-US" w:bidi="en-US"/>
    </w:rPr>
  </w:style>
  <w:style w:type="character" w:customStyle="1" w:styleId="29">
    <w:name w:val="页脚 Char"/>
    <w:basedOn w:val="9"/>
    <w:link w:val="5"/>
    <w:autoRedefine/>
    <w:qFormat/>
    <w:uiPriority w:val="0"/>
    <w:rPr>
      <w:rFonts w:eastAsia="Times New Roman"/>
      <w:color w:val="000000"/>
      <w:sz w:val="18"/>
      <w:szCs w:val="18"/>
      <w:lang w:eastAsia="en-US" w:bidi="en-US"/>
    </w:rPr>
  </w:style>
  <w:style w:type="paragraph" w:customStyle="1" w:styleId="30">
    <w:name w:val="NOTE_Normal"/>
    <w:basedOn w:val="1"/>
    <w:next w:val="4"/>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1">
    <w:name w:val="正文文本 Char"/>
    <w:basedOn w:val="9"/>
    <w:link w:val="4"/>
    <w:qFormat/>
    <w:uiPriority w:val="0"/>
    <w:rPr>
      <w:rFonts w:eastAsia="Times New Roman"/>
      <w:color w:val="000000"/>
      <w:sz w:val="24"/>
      <w:szCs w:val="24"/>
      <w:lang w:eastAsia="en-US" w:bidi="en-US"/>
    </w:rPr>
  </w:style>
  <w:style w:type="character" w:customStyle="1" w:styleId="32">
    <w:name w:val="font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eab22ea7-fdfa-4766-8b63-ee3bf5db22f7</errorID>
      <errorWord>街</errorWord>
      <group>L1_Word</group>
      <groupName>字词问题</groupName>
      <ability>L2_Typo</ability>
      <abilityName>字词错误</abilityName>
      <candidateList>
        <item>街道</item>
      </candidateList>
      <explain/>
      <paraID> 5D93559</paraID>
      <start>31</start>
      <end>32</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b0fa4a-3671-47bd-a5db-751a00d9bb32}">
  <ds:schemaRefs/>
</ds:datastoreItem>
</file>

<file path=docProps/app.xml><?xml version="1.0" encoding="utf-8"?>
<Properties xmlns="http://schemas.openxmlformats.org/officeDocument/2006/extended-properties" xmlns:vt="http://schemas.openxmlformats.org/officeDocument/2006/docPropsVTypes">
  <Template>Normal</Template>
  <Pages>18</Pages>
  <Words>11246</Words>
  <Characters>11598</Characters>
  <Lines>70</Lines>
  <Paragraphs>19</Paragraphs>
  <TotalTime>0</TotalTime>
  <ScaleCrop>false</ScaleCrop>
  <LinksUpToDate>false</LinksUpToDate>
  <CharactersWithSpaces>11603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2023-08-15T23:15:00Z</dcterms:created>
  <dc:creator>WPS Office</dc:creator>
  <cp:lastModifiedBy>番禺区社联会</cp:lastModifiedBy>
  <dcterms:modified xsi:type="dcterms:W3CDTF">2026-03-20T03:51:52Z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749866AB16534F6FBEF038D29C7C1C1B_13</vt:lpwstr>
  </property>
  <property fmtid="{D5CDD505-2E9C-101B-9397-08002B2CF9AE}" pid="4" name="KSOTemplateDocerSaveRecord">
    <vt:lpwstr>eyJoZGlkIjoiZDZhZGYwNTVjNmEwZDlmYmM0M2UzYmUxZTMyY2ZhNTgiLCJ1c2VySWQiOiIyOTU1NTMyNTMifQ==</vt:lpwstr>
  </property>
</Properties>
</file>