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D5A22">
      <w:pPr>
        <w:pStyle w:val="11"/>
        <w:keepNext/>
        <w:keepLines/>
        <w:spacing w:before="0" w:after="0" w:line="560" w:lineRule="exact"/>
        <w:rPr>
          <w:rFonts w:ascii="方正小标宋简体" w:eastAsia="方正小标宋简体"/>
          <w:color w:val="auto"/>
          <w:lang w:val="en-US"/>
        </w:rPr>
      </w:pPr>
      <w:bookmarkStart w:id="0" w:name="bookmark2"/>
      <w:bookmarkStart w:id="1" w:name="bookmark1"/>
      <w:bookmarkStart w:id="2" w:name="bookmark0"/>
    </w:p>
    <w:p w14:paraId="0C6BE86E">
      <w:pPr>
        <w:pStyle w:val="11"/>
        <w:keepNext/>
        <w:keepLines/>
        <w:spacing w:before="0" w:after="0" w:line="560" w:lineRule="exact"/>
        <w:rPr>
          <w:rFonts w:ascii="方正小标宋简体" w:eastAsia="PMingLiU"/>
          <w:color w:val="auto"/>
          <w:lang w:val="en-US"/>
        </w:rPr>
      </w:pPr>
    </w:p>
    <w:p w14:paraId="7D912615">
      <w:pPr>
        <w:pStyle w:val="11"/>
        <w:keepNext/>
        <w:keepLines/>
        <w:spacing w:before="0" w:after="0" w:line="560" w:lineRule="exact"/>
        <w:rPr>
          <w:rFonts w:ascii="方正小标宋简体" w:eastAsia="PMingLiU"/>
          <w:color w:val="auto"/>
          <w:lang w:val="en-US"/>
        </w:rPr>
      </w:pPr>
    </w:p>
    <w:p w14:paraId="020798EC">
      <w:pPr>
        <w:pStyle w:val="11"/>
        <w:keepNext/>
        <w:keepLines/>
        <w:spacing w:before="0" w:after="0" w:line="560" w:lineRule="exact"/>
        <w:rPr>
          <w:rFonts w:ascii="方正小标宋简体" w:eastAsia="方正小标宋简体"/>
          <w:b/>
          <w:bCs/>
          <w:color w:val="auto"/>
          <w:sz w:val="44"/>
          <w:szCs w:val="44"/>
        </w:rPr>
      </w:pPr>
      <w:r>
        <w:rPr>
          <w:rFonts w:hint="eastAsia" w:ascii="方正小标宋简体" w:eastAsia="方正小标宋简体"/>
          <w:b/>
          <w:bCs/>
          <w:color w:val="auto"/>
          <w:sz w:val="44"/>
          <w:szCs w:val="44"/>
          <w:lang w:val="en-US" w:eastAsia="zh-CN"/>
        </w:rPr>
        <w:t>南村镇西片</w:t>
      </w:r>
      <w:r>
        <w:rPr>
          <w:rFonts w:hint="eastAsia" w:ascii="方正小标宋简体" w:eastAsia="方正小标宋简体"/>
          <w:b/>
          <w:bCs/>
          <w:color w:val="auto"/>
          <w:sz w:val="44"/>
          <w:szCs w:val="44"/>
          <w:lang w:val="en-US"/>
        </w:rPr>
        <w:t>社工</w:t>
      </w:r>
      <w:r>
        <w:rPr>
          <w:rFonts w:hint="eastAsia" w:ascii="方正小标宋简体" w:eastAsia="方正小标宋简体"/>
          <w:b/>
          <w:bCs/>
          <w:color w:val="auto"/>
          <w:sz w:val="44"/>
          <w:szCs w:val="44"/>
        </w:rPr>
        <w:t>服务站</w:t>
      </w:r>
      <w:r>
        <w:rPr>
          <w:rFonts w:hint="eastAsia" w:ascii="方正小标宋简体" w:eastAsia="方正小标宋简体"/>
          <w:b/>
          <w:bCs/>
          <w:color w:val="auto"/>
          <w:sz w:val="44"/>
          <w:szCs w:val="44"/>
          <w:lang w:eastAsia="zh-CN"/>
        </w:rPr>
        <w:t>中期</w:t>
      </w:r>
      <w:r>
        <w:rPr>
          <w:rFonts w:hint="eastAsia" w:ascii="方正小标宋简体" w:eastAsia="方正小标宋简体"/>
          <w:b/>
          <w:bCs/>
          <w:color w:val="auto"/>
          <w:sz w:val="44"/>
          <w:szCs w:val="44"/>
        </w:rPr>
        <w:t>评估报告</w:t>
      </w:r>
      <w:bookmarkEnd w:id="0"/>
      <w:bookmarkEnd w:id="1"/>
      <w:bookmarkEnd w:id="2"/>
    </w:p>
    <w:p w14:paraId="1C5BB4DA">
      <w:pPr>
        <w:pStyle w:val="11"/>
        <w:keepNext/>
        <w:keepLines/>
        <w:spacing w:before="0" w:after="0" w:line="560" w:lineRule="exact"/>
        <w:rPr>
          <w:rFonts w:ascii="方正小标宋简体" w:eastAsia="方正小标宋简体"/>
          <w:b/>
          <w:bCs/>
          <w:color w:val="auto"/>
          <w:sz w:val="44"/>
          <w:szCs w:val="44"/>
          <w:lang w:eastAsia="zh-CN"/>
        </w:rPr>
      </w:pPr>
      <w:r>
        <w:rPr>
          <w:rFonts w:hint="eastAsia" w:ascii="方正小标宋简体" w:eastAsia="方正小标宋简体"/>
          <w:b/>
          <w:bCs/>
          <w:color w:val="auto"/>
          <w:sz w:val="44"/>
          <w:szCs w:val="44"/>
          <w:lang w:eastAsia="zh-CN"/>
        </w:rPr>
        <w:t>（协议期：202</w:t>
      </w:r>
      <w:r>
        <w:rPr>
          <w:rFonts w:hint="eastAsia" w:ascii="方正小标宋简体" w:eastAsia="方正小标宋简体"/>
          <w:b/>
          <w:bCs/>
          <w:color w:val="auto"/>
          <w:sz w:val="44"/>
          <w:szCs w:val="44"/>
          <w:lang w:val="en-US" w:eastAsia="zh-CN"/>
        </w:rPr>
        <w:t>5</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15</w:t>
      </w:r>
      <w:r>
        <w:rPr>
          <w:rFonts w:hint="eastAsia" w:ascii="方正小标宋简体" w:eastAsia="方正小标宋简体"/>
          <w:b/>
          <w:bCs/>
          <w:color w:val="auto"/>
          <w:sz w:val="44"/>
          <w:szCs w:val="44"/>
          <w:lang w:eastAsia="zh-CN"/>
        </w:rPr>
        <w:t>日—202</w:t>
      </w:r>
      <w:r>
        <w:rPr>
          <w:rFonts w:hint="eastAsia" w:ascii="方正小标宋简体" w:eastAsia="方正小标宋简体"/>
          <w:b/>
          <w:bCs/>
          <w:color w:val="auto"/>
          <w:sz w:val="44"/>
          <w:szCs w:val="44"/>
          <w:lang w:val="en-US" w:eastAsia="zh-CN"/>
        </w:rPr>
        <w:t>6</w:t>
      </w:r>
      <w:r>
        <w:rPr>
          <w:rFonts w:hint="eastAsia" w:ascii="方正小标宋简体" w:eastAsia="方正小标宋简体"/>
          <w:b/>
          <w:bCs/>
          <w:color w:val="auto"/>
          <w:sz w:val="44"/>
          <w:szCs w:val="44"/>
          <w:lang w:eastAsia="zh-CN"/>
        </w:rPr>
        <w:t>年8月</w:t>
      </w:r>
      <w:r>
        <w:rPr>
          <w:rFonts w:hint="eastAsia" w:ascii="方正小标宋简体" w:eastAsia="方正小标宋简体"/>
          <w:b/>
          <w:bCs/>
          <w:color w:val="auto"/>
          <w:sz w:val="44"/>
          <w:szCs w:val="44"/>
          <w:lang w:val="en-US" w:eastAsia="zh-CN"/>
        </w:rPr>
        <w:t>14</w:t>
      </w:r>
      <w:r>
        <w:rPr>
          <w:rFonts w:hint="eastAsia" w:ascii="方正小标宋简体" w:eastAsia="方正小标宋简体"/>
          <w:b/>
          <w:bCs/>
          <w:color w:val="auto"/>
          <w:sz w:val="44"/>
          <w:szCs w:val="44"/>
          <w:lang w:eastAsia="zh-CN"/>
        </w:rPr>
        <w:t>日）</w:t>
      </w:r>
    </w:p>
    <w:p w14:paraId="29FD843D">
      <w:pPr>
        <w:pStyle w:val="13"/>
        <w:spacing w:after="0" w:line="560" w:lineRule="exact"/>
        <w:ind w:firstLine="2522" w:firstLineChars="900"/>
        <w:jc w:val="both"/>
        <w:rPr>
          <w:rFonts w:ascii="仿宋_GB2312" w:eastAsia="PMingLiU"/>
          <w:b/>
          <w:color w:val="auto"/>
        </w:rPr>
      </w:pPr>
      <w:bookmarkStart w:id="3" w:name="bookmark3"/>
      <w:bookmarkStart w:id="4" w:name="bookmark4"/>
      <w:bookmarkStart w:id="5" w:name="bookmark5"/>
    </w:p>
    <w:p w14:paraId="72F562FA">
      <w:pPr>
        <w:pStyle w:val="13"/>
        <w:spacing w:after="0" w:line="560" w:lineRule="exact"/>
        <w:ind w:firstLine="2522" w:firstLineChars="900"/>
        <w:jc w:val="both"/>
        <w:rPr>
          <w:rFonts w:ascii="仿宋_GB2312" w:eastAsia="PMingLiU"/>
          <w:b/>
          <w:color w:val="auto"/>
        </w:rPr>
      </w:pPr>
    </w:p>
    <w:p w14:paraId="281EAAD9">
      <w:pPr>
        <w:pStyle w:val="13"/>
        <w:spacing w:after="0" w:line="560" w:lineRule="exact"/>
        <w:ind w:firstLine="2522" w:firstLineChars="900"/>
        <w:jc w:val="both"/>
        <w:rPr>
          <w:rFonts w:ascii="仿宋_GB2312" w:eastAsia="PMingLiU"/>
          <w:b/>
          <w:color w:val="auto"/>
        </w:rPr>
      </w:pPr>
    </w:p>
    <w:p w14:paraId="08994B33">
      <w:pPr>
        <w:pStyle w:val="13"/>
        <w:spacing w:after="0" w:line="560" w:lineRule="exact"/>
        <w:ind w:firstLine="2522" w:firstLineChars="900"/>
        <w:jc w:val="both"/>
        <w:rPr>
          <w:rFonts w:ascii="仿宋_GB2312" w:eastAsia="PMingLiU"/>
          <w:b/>
          <w:color w:val="auto"/>
        </w:rPr>
      </w:pPr>
    </w:p>
    <w:p w14:paraId="2AABD153">
      <w:pPr>
        <w:pStyle w:val="13"/>
        <w:spacing w:after="0" w:line="560" w:lineRule="exact"/>
        <w:ind w:firstLine="2522" w:firstLineChars="900"/>
        <w:jc w:val="both"/>
        <w:rPr>
          <w:rFonts w:ascii="仿宋_GB2312" w:eastAsia="PMingLiU"/>
          <w:b/>
          <w:color w:val="auto"/>
        </w:rPr>
      </w:pPr>
    </w:p>
    <w:p w14:paraId="076BF397">
      <w:pPr>
        <w:pStyle w:val="13"/>
        <w:spacing w:after="0" w:line="560" w:lineRule="exact"/>
        <w:ind w:firstLine="2522" w:firstLineChars="900"/>
        <w:jc w:val="both"/>
        <w:rPr>
          <w:rFonts w:ascii="仿宋_GB2312" w:eastAsia="PMingLiU"/>
          <w:b/>
          <w:color w:val="auto"/>
        </w:rPr>
      </w:pPr>
    </w:p>
    <w:p w14:paraId="4EF6B1D9">
      <w:pPr>
        <w:pStyle w:val="13"/>
        <w:spacing w:after="0" w:line="560" w:lineRule="exact"/>
        <w:ind w:firstLine="2522" w:firstLineChars="900"/>
        <w:jc w:val="both"/>
        <w:rPr>
          <w:rFonts w:ascii="仿宋_GB2312" w:eastAsia="PMingLiU"/>
          <w:b/>
          <w:color w:val="auto"/>
        </w:rPr>
      </w:pPr>
    </w:p>
    <w:p w14:paraId="6A54A6BE">
      <w:pPr>
        <w:pStyle w:val="13"/>
        <w:spacing w:after="0" w:line="560" w:lineRule="exact"/>
        <w:ind w:firstLine="2522" w:firstLineChars="900"/>
        <w:jc w:val="both"/>
        <w:rPr>
          <w:rFonts w:ascii="仿宋_GB2312" w:eastAsia="PMingLiU"/>
          <w:b/>
          <w:color w:val="auto"/>
        </w:rPr>
      </w:pPr>
    </w:p>
    <w:p w14:paraId="23676B29">
      <w:pPr>
        <w:pStyle w:val="13"/>
        <w:spacing w:after="0" w:line="560" w:lineRule="exact"/>
        <w:ind w:firstLine="2522" w:firstLineChars="900"/>
        <w:jc w:val="both"/>
        <w:rPr>
          <w:rFonts w:ascii="仿宋_GB2312" w:eastAsia="PMingLiU"/>
          <w:b/>
          <w:color w:val="auto"/>
        </w:rPr>
      </w:pPr>
    </w:p>
    <w:p w14:paraId="351D9674">
      <w:pPr>
        <w:pStyle w:val="13"/>
        <w:spacing w:after="0" w:line="560" w:lineRule="exact"/>
        <w:ind w:firstLine="2522" w:firstLineChars="900"/>
        <w:jc w:val="both"/>
        <w:rPr>
          <w:rFonts w:ascii="仿宋_GB2312" w:eastAsia="PMingLiU"/>
          <w:b/>
          <w:color w:val="auto"/>
        </w:rPr>
      </w:pPr>
    </w:p>
    <w:p w14:paraId="21249631">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评估委托方：广州市</w:t>
      </w:r>
      <w:r>
        <w:rPr>
          <w:rFonts w:hint="eastAsia" w:ascii="仿宋_GB2312" w:eastAsia="仿宋_GB2312"/>
          <w:b/>
          <w:color w:val="auto"/>
          <w:lang w:val="en-US"/>
        </w:rPr>
        <w:t>番禺</w:t>
      </w:r>
      <w:r>
        <w:rPr>
          <w:rFonts w:hint="eastAsia" w:ascii="仿宋_GB2312" w:eastAsia="仿宋_GB2312"/>
          <w:b/>
          <w:color w:val="auto"/>
        </w:rPr>
        <w:t>区民政局</w:t>
      </w:r>
    </w:p>
    <w:p w14:paraId="647775C3">
      <w:pPr>
        <w:pStyle w:val="13"/>
        <w:spacing w:after="0" w:line="560" w:lineRule="exact"/>
        <w:ind w:firstLine="2086" w:firstLineChars="742"/>
        <w:jc w:val="both"/>
        <w:rPr>
          <w:rFonts w:hint="default" w:ascii="仿宋_GB2312" w:eastAsia="仿宋_GB2312"/>
          <w:b/>
          <w:color w:val="auto"/>
          <w:lang w:val="en-US"/>
        </w:rPr>
      </w:pPr>
      <w:r>
        <w:rPr>
          <w:rFonts w:hint="eastAsia" w:ascii="仿宋_GB2312" w:eastAsia="仿宋_GB2312"/>
          <w:b/>
          <w:color w:val="auto"/>
        </w:rPr>
        <w:t>项目购买方：广州市</w:t>
      </w:r>
      <w:r>
        <w:rPr>
          <w:rFonts w:hint="eastAsia" w:ascii="仿宋_GB2312" w:eastAsia="仿宋_GB2312"/>
          <w:b/>
          <w:color w:val="auto"/>
          <w:lang w:val="en-US"/>
        </w:rPr>
        <w:t>番禺区</w:t>
      </w:r>
      <w:r>
        <w:rPr>
          <w:rFonts w:hint="eastAsia" w:ascii="仿宋_GB2312" w:eastAsia="仿宋_GB2312"/>
          <w:b/>
          <w:color w:val="auto"/>
          <w:lang w:val="en-US" w:eastAsia="zh-CN"/>
        </w:rPr>
        <w:t>南村镇人民政府</w:t>
      </w:r>
    </w:p>
    <w:p w14:paraId="0F6179F9">
      <w:pPr>
        <w:pStyle w:val="13"/>
        <w:spacing w:after="0" w:line="560" w:lineRule="exact"/>
        <w:ind w:firstLine="2086" w:firstLineChars="742"/>
        <w:jc w:val="both"/>
        <w:rPr>
          <w:rFonts w:hint="default" w:ascii="仿宋_GB2312" w:eastAsia="仿宋_GB2312"/>
          <w:b/>
          <w:color w:val="auto"/>
          <w:lang w:val="en-US" w:eastAsia="zh-CN"/>
        </w:rPr>
      </w:pPr>
      <w:r>
        <w:rPr>
          <w:rFonts w:hint="eastAsia" w:ascii="仿宋_GB2312" w:eastAsia="仿宋_GB2312"/>
          <w:b/>
          <w:color w:val="auto"/>
        </w:rPr>
        <w:t>项目承办方：广州市</w:t>
      </w:r>
      <w:r>
        <w:rPr>
          <w:rFonts w:hint="eastAsia" w:ascii="仿宋_GB2312" w:eastAsia="仿宋_GB2312"/>
          <w:b/>
          <w:color w:val="auto"/>
          <w:lang w:val="en-US" w:eastAsia="zh-CN"/>
        </w:rPr>
        <w:t>南沙区百民社会工作服务中心</w:t>
      </w:r>
    </w:p>
    <w:p w14:paraId="7AA75FFA">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项目评估方：</w:t>
      </w:r>
      <w:r>
        <w:rPr>
          <w:rFonts w:hint="eastAsia" w:ascii="仿宋_GB2312" w:eastAsia="仿宋_GB2312"/>
          <w:b/>
          <w:color w:val="auto"/>
          <w:lang w:val="en-US"/>
        </w:rPr>
        <w:t>广州市番禺区</w:t>
      </w:r>
      <w:r>
        <w:rPr>
          <w:rFonts w:hint="eastAsia" w:ascii="仿宋_GB2312" w:eastAsia="仿宋_GB2312"/>
          <w:b/>
          <w:color w:val="auto"/>
        </w:rPr>
        <w:t>社会组织联合会</w:t>
      </w:r>
    </w:p>
    <w:p w14:paraId="60A3D7BC">
      <w:pPr>
        <w:pStyle w:val="13"/>
        <w:spacing w:after="0" w:line="560" w:lineRule="exact"/>
        <w:ind w:firstLine="2086" w:firstLineChars="742"/>
        <w:jc w:val="both"/>
        <w:rPr>
          <w:rFonts w:ascii="仿宋_GB2312" w:eastAsia="仿宋_GB2312"/>
          <w:b/>
          <w:color w:val="auto"/>
        </w:rPr>
      </w:pPr>
      <w:r>
        <w:rPr>
          <w:rFonts w:hint="eastAsia" w:ascii="仿宋_GB2312" w:eastAsia="仿宋_GB2312"/>
          <w:b/>
          <w:color w:val="auto"/>
        </w:rPr>
        <w:t>评估日期：</w:t>
      </w:r>
      <w:r>
        <w:rPr>
          <w:rFonts w:hint="eastAsia" w:ascii="仿宋_GB2312" w:eastAsia="仿宋_GB2312"/>
          <w:b/>
          <w:color w:val="auto"/>
          <w:lang w:val="en-US" w:eastAsia="zh-CN"/>
        </w:rPr>
        <w:t>2026年2</w:t>
      </w:r>
      <w:r>
        <w:rPr>
          <w:rFonts w:hint="eastAsia" w:ascii="仿宋_GB2312" w:eastAsia="仿宋_GB2312"/>
          <w:b/>
          <w:color w:val="auto"/>
          <w:lang w:val="en-US"/>
        </w:rPr>
        <w:t>月</w:t>
      </w:r>
      <w:r>
        <w:rPr>
          <w:rFonts w:hint="eastAsia" w:ascii="仿宋_GB2312" w:eastAsia="仿宋_GB2312"/>
          <w:b/>
          <w:color w:val="auto"/>
          <w:lang w:val="en-US" w:eastAsia="zh-CN"/>
        </w:rPr>
        <w:t>13</w:t>
      </w:r>
      <w:r>
        <w:rPr>
          <w:rFonts w:hint="eastAsia" w:ascii="仿宋_GB2312" w:eastAsia="仿宋_GB2312"/>
          <w:b/>
          <w:color w:val="auto"/>
          <w:lang w:val="en-US"/>
        </w:rPr>
        <w:t>日</w:t>
      </w:r>
    </w:p>
    <w:p w14:paraId="21748A94">
      <w:pPr>
        <w:pStyle w:val="13"/>
        <w:spacing w:after="0" w:line="240" w:lineRule="auto"/>
        <w:ind w:firstLine="0"/>
        <w:rPr>
          <w:color w:val="auto"/>
        </w:rPr>
      </w:pPr>
    </w:p>
    <w:p w14:paraId="1311E8F4">
      <w:pPr>
        <w:pStyle w:val="13"/>
        <w:spacing w:after="0" w:line="240" w:lineRule="auto"/>
        <w:ind w:firstLine="0"/>
        <w:rPr>
          <w:color w:val="auto"/>
        </w:rPr>
      </w:pPr>
    </w:p>
    <w:p w14:paraId="4315189C">
      <w:pPr>
        <w:pStyle w:val="13"/>
        <w:spacing w:after="0" w:line="240" w:lineRule="auto"/>
        <w:ind w:firstLine="0"/>
        <w:rPr>
          <w:color w:val="auto"/>
        </w:rPr>
      </w:pPr>
    </w:p>
    <w:p w14:paraId="3C55F154">
      <w:pPr>
        <w:pStyle w:val="13"/>
        <w:spacing w:after="0" w:line="240" w:lineRule="auto"/>
        <w:ind w:firstLine="0"/>
        <w:rPr>
          <w:color w:val="auto"/>
        </w:rPr>
      </w:pPr>
    </w:p>
    <w:p w14:paraId="075C565B">
      <w:pPr>
        <w:pStyle w:val="13"/>
        <w:spacing w:after="0" w:line="240" w:lineRule="auto"/>
        <w:ind w:firstLine="0"/>
        <w:rPr>
          <w:rFonts w:eastAsia="PMingLiU"/>
          <w:color w:val="auto"/>
        </w:rPr>
        <w:sectPr>
          <w:pgSz w:w="11900" w:h="16840"/>
          <w:pgMar w:top="1301" w:right="876" w:bottom="1373" w:left="885" w:header="457" w:footer="448" w:gutter="0"/>
          <w:cols w:space="720" w:num="1"/>
          <w:docGrid w:linePitch="360" w:charSpace="0"/>
        </w:sectPr>
      </w:pPr>
    </w:p>
    <w:p w14:paraId="1B5CD9F5">
      <w:pPr>
        <w:pStyle w:val="13"/>
        <w:spacing w:after="0" w:line="240" w:lineRule="auto"/>
        <w:ind w:firstLine="0"/>
        <w:rPr>
          <w:color w:val="auto"/>
        </w:rPr>
      </w:pPr>
    </w:p>
    <w:bookmarkEnd w:id="3"/>
    <w:bookmarkEnd w:id="4"/>
    <w:bookmarkEnd w:id="5"/>
    <w:p w14:paraId="2E274127">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南村镇西片社工服务站中期评估报告</w:t>
      </w:r>
    </w:p>
    <w:p w14:paraId="6BA1C251">
      <w:pPr>
        <w:pStyle w:val="13"/>
        <w:spacing w:after="0" w:line="560" w:lineRule="exact"/>
        <w:ind w:firstLine="0"/>
        <w:jc w:val="center"/>
        <w:rPr>
          <w:rFonts w:hint="eastAsia" w:ascii="方正小标宋简体" w:eastAsia="方正小标宋简体"/>
          <w:b/>
          <w:bCs/>
          <w:color w:val="auto"/>
          <w:sz w:val="44"/>
          <w:szCs w:val="44"/>
          <w:lang w:val="en-US" w:eastAsia="zh-CN"/>
        </w:rPr>
      </w:pPr>
      <w:r>
        <w:rPr>
          <w:rFonts w:hint="eastAsia" w:ascii="方正小标宋简体" w:eastAsia="方正小标宋简体"/>
          <w:b/>
          <w:bCs/>
          <w:color w:val="auto"/>
          <w:sz w:val="44"/>
          <w:szCs w:val="44"/>
          <w:lang w:val="en-US" w:eastAsia="zh-CN"/>
        </w:rPr>
        <w:t>（协议期：2025年8月15日—2026年8月14日）</w:t>
      </w:r>
    </w:p>
    <w:p w14:paraId="3351424B">
      <w:pPr>
        <w:pStyle w:val="13"/>
        <w:spacing w:after="0" w:line="560" w:lineRule="exact"/>
        <w:ind w:firstLine="0"/>
        <w:rPr>
          <w:rFonts w:hint="eastAsia" w:ascii="方正小标宋简体" w:eastAsia="方正小标宋简体"/>
          <w:b/>
          <w:bCs/>
          <w:color w:val="auto"/>
          <w:sz w:val="44"/>
          <w:szCs w:val="44"/>
          <w:lang w:val="en-US" w:eastAsia="zh-CN"/>
        </w:rPr>
      </w:pPr>
    </w:p>
    <w:p w14:paraId="35C0BBA6">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南村镇西片社工服务站</w:t>
      </w:r>
      <w:r>
        <w:rPr>
          <w:rFonts w:hint="eastAsia" w:ascii="仿宋_GB2312" w:eastAsia="仿宋_GB2312"/>
          <w:color w:val="auto"/>
          <w:sz w:val="32"/>
          <w:szCs w:val="32"/>
        </w:rPr>
        <w:t>（简称</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w:t>
      </w:r>
      <w:r>
        <w:rPr>
          <w:rFonts w:hint="eastAsia" w:ascii="仿宋_GB2312" w:eastAsia="仿宋_GB2312"/>
          <w:color w:val="auto"/>
          <w:sz w:val="32"/>
          <w:szCs w:val="32"/>
          <w:lang w:eastAsia="zh-CN"/>
        </w:rPr>
        <w:t>中期</w:t>
      </w:r>
      <w:r>
        <w:rPr>
          <w:rFonts w:hint="eastAsia" w:ascii="仿宋_GB2312" w:eastAsia="仿宋_GB2312"/>
          <w:color w:val="auto"/>
          <w:sz w:val="32"/>
          <w:szCs w:val="32"/>
        </w:rPr>
        <w:t>报告，是专业评估人员通过对</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color w:val="auto"/>
          <w:sz w:val="32"/>
          <w:szCs w:val="32"/>
        </w:rPr>
        <w:t>5</w:t>
      </w:r>
      <w:r>
        <w:rPr>
          <w:rFonts w:hint="eastAsia" w:ascii="仿宋_GB2312" w:eastAsia="仿宋_GB2312"/>
          <w:color w:val="auto"/>
          <w:sz w:val="32"/>
          <w:szCs w:val="32"/>
        </w:rPr>
        <w:t>位专家及</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名工作人员</w:t>
      </w:r>
      <w:r>
        <w:rPr>
          <w:rFonts w:hint="eastAsia" w:ascii="仿宋_GB2312" w:eastAsia="仿宋_GB2312"/>
          <w:color w:val="auto"/>
          <w:sz w:val="32"/>
          <w:szCs w:val="32"/>
          <w:lang w:val="en-US"/>
        </w:rPr>
        <w:t>对</w:t>
      </w:r>
      <w:r>
        <w:rPr>
          <w:rFonts w:hint="eastAsia" w:ascii="仿宋_GB2312" w:eastAsia="仿宋_GB2312"/>
          <w:color w:val="auto"/>
          <w:sz w:val="32"/>
          <w:szCs w:val="32"/>
        </w:rPr>
        <w:t>社工站展开为期一天的实地考察、访谈、查阅资料等形式的评估，形成此报告。</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社工站可以将此报告作为参考，进行服务完善和提升，从多方面</w:t>
      </w:r>
      <w:r>
        <w:rPr>
          <w:rFonts w:hint="eastAsia" w:ascii="仿宋_GB2312" w:eastAsia="仿宋_GB2312"/>
          <w:color w:val="auto"/>
          <w:sz w:val="32"/>
          <w:szCs w:val="32"/>
          <w:lang w:eastAsia="zh-CN"/>
        </w:rPr>
        <w:t>夯实</w:t>
      </w:r>
      <w:r>
        <w:rPr>
          <w:rFonts w:hint="eastAsia" w:ascii="仿宋_GB2312" w:eastAsia="仿宋_GB2312"/>
          <w:color w:val="auto"/>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color w:val="auto"/>
          <w:sz w:val="32"/>
          <w:szCs w:val="32"/>
        </w:rPr>
        <w:t>。</w:t>
      </w:r>
    </w:p>
    <w:p w14:paraId="4897BFD3">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一、</w:t>
      </w:r>
      <w:r>
        <w:rPr>
          <w:rFonts w:hint="eastAsia" w:ascii="方正小标宋简体" w:eastAsia="方正小标宋简体"/>
          <w:b/>
          <w:bCs/>
          <w:color w:val="auto"/>
          <w:sz w:val="32"/>
          <w:szCs w:val="28"/>
          <w:lang w:val="en-US" w:eastAsia="zh-CN"/>
        </w:rPr>
        <w:t>中期</w:t>
      </w:r>
      <w:r>
        <w:rPr>
          <w:rFonts w:hint="eastAsia" w:ascii="方正小标宋简体" w:eastAsia="方正小标宋简体"/>
          <w:b/>
          <w:bCs/>
          <w:color w:val="auto"/>
          <w:sz w:val="32"/>
          <w:szCs w:val="28"/>
          <w:lang w:val="en-US"/>
        </w:rPr>
        <w:t>评估背景</w:t>
      </w:r>
    </w:p>
    <w:p w14:paraId="19C0402C">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2026年2月12日，番禺区社会组织联合会5位评委及2名工作人员对南村镇西片社工站展开了中期评估工作。评估为期1天，主要通过听取社工站介绍、实地考察、查阅资料、面谈（访谈）、填写问卷、入户困难群众询问等形式，对南村镇西片社工站的项目管理、服务开展情况以及项目成效等方面进行评估。评估团队主要完成了以下几方面的工作：</w:t>
      </w:r>
    </w:p>
    <w:p w14:paraId="648A122C">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bookmarkStart w:id="6" w:name="bookmark6"/>
      <w:bookmarkEnd w:id="6"/>
      <w:bookmarkStart w:id="7" w:name="bookmark13"/>
      <w:r>
        <w:rPr>
          <w:rFonts w:hint="eastAsia" w:ascii="仿宋_GB2312" w:hAnsi="仿宋_GB2312" w:eastAsia="仿宋_GB2312" w:cs="仿宋_GB2312"/>
          <w:b/>
          <w:sz w:val="32"/>
          <w:szCs w:val="32"/>
          <w:lang w:val="en-US"/>
        </w:rPr>
        <w:t>1.听取介绍。</w:t>
      </w:r>
      <w:r>
        <w:rPr>
          <w:rFonts w:hint="eastAsia" w:ascii="仿宋_GB2312" w:hAnsi="仿宋_GB2312" w:eastAsia="仿宋_GB2312" w:cs="仿宋_GB2312"/>
          <w:b w:val="0"/>
          <w:bCs/>
          <w:sz w:val="32"/>
          <w:szCs w:val="32"/>
          <w:lang w:val="en-US"/>
        </w:rPr>
        <w:t>由社工站负责人介绍社工站的运营及服务情况、各项指标完成情况。</w:t>
      </w:r>
    </w:p>
    <w:p w14:paraId="3BECD6C0">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2.实地观察。</w:t>
      </w:r>
      <w:r>
        <w:rPr>
          <w:rFonts w:hint="eastAsia" w:ascii="仿宋_GB2312" w:hAnsi="仿宋_GB2312" w:eastAsia="仿宋_GB2312" w:cs="仿宋_GB2312"/>
          <w:b w:val="0"/>
          <w:bCs/>
          <w:sz w:val="32"/>
          <w:szCs w:val="32"/>
          <w:lang w:val="en-US"/>
        </w:rPr>
        <w:t>主要针对社工站硬件建设情况方面进行观察，以评估其设施开展专业服务的适宜性。</w:t>
      </w:r>
    </w:p>
    <w:p w14:paraId="7370D5E9">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3.查阅资料。</w:t>
      </w:r>
      <w:r>
        <w:rPr>
          <w:rFonts w:hint="eastAsia" w:ascii="仿宋_GB2312" w:hAnsi="仿宋_GB2312" w:eastAsia="仿宋_GB2312" w:cs="仿宋_GB2312"/>
          <w:b w:val="0"/>
          <w:bCs/>
          <w:sz w:val="32"/>
          <w:szCs w:val="32"/>
          <w:lang w:val="en-US"/>
        </w:rPr>
        <w:t>查阅社工站行政、人事管理制度及专业服务记录等方面的资料。</w:t>
      </w:r>
    </w:p>
    <w:p w14:paraId="7AAAF1D1">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4.各项目访谈。</w:t>
      </w:r>
      <w:r>
        <w:rPr>
          <w:rFonts w:hint="eastAsia" w:ascii="仿宋_GB2312" w:hAnsi="仿宋_GB2312" w:eastAsia="仿宋_GB2312" w:cs="仿宋_GB2312"/>
          <w:b w:val="0"/>
          <w:bCs/>
          <w:sz w:val="32"/>
          <w:szCs w:val="32"/>
          <w:lang w:val="en-US"/>
        </w:rPr>
        <w:t>评委与各项目社工进行访谈，了解社工站服务推进情况，了解社工对服务项目的理解，以及开展服务的总结反思。</w:t>
      </w:r>
    </w:p>
    <w:p w14:paraId="19C59142">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lang w:val="en-US"/>
        </w:rPr>
      </w:pPr>
      <w:r>
        <w:rPr>
          <w:rFonts w:hint="eastAsia" w:ascii="仿宋_GB2312" w:hAnsi="仿宋_GB2312" w:eastAsia="仿宋_GB2312" w:cs="仿宋_GB2312"/>
          <w:b/>
          <w:sz w:val="32"/>
          <w:szCs w:val="32"/>
          <w:lang w:val="en-US"/>
        </w:rPr>
        <w:t>5.机构运营访谈。</w:t>
      </w:r>
      <w:r>
        <w:rPr>
          <w:rFonts w:hint="eastAsia" w:ascii="仿宋_GB2312" w:hAnsi="仿宋_GB2312" w:eastAsia="仿宋_GB2312" w:cs="仿宋_GB2312"/>
          <w:b w:val="0"/>
          <w:bCs/>
          <w:sz w:val="32"/>
          <w:szCs w:val="32"/>
          <w:lang w:val="en-US"/>
        </w:rPr>
        <w:t>主要与承办机构管理人员及行政人员进行访谈，了解机构运营情况，查看机构行政配套制度等情况。</w:t>
      </w:r>
    </w:p>
    <w:p w14:paraId="3F6E822B">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6.利益相关方满意度及知晓度。</w:t>
      </w:r>
      <w:r>
        <w:rPr>
          <w:rFonts w:hint="eastAsia" w:ascii="仿宋_GB2312" w:hAnsi="仿宋_GB2312" w:eastAsia="仿宋_GB2312" w:cs="仿宋_GB2312"/>
          <w:b w:val="0"/>
          <w:bCs/>
          <w:sz w:val="32"/>
          <w:szCs w:val="32"/>
          <w:lang w:val="en-US"/>
        </w:rPr>
        <w:t>主要社工站在辖区内的知晓度以及各利益相关方对社工</w:t>
      </w:r>
      <w:r>
        <w:rPr>
          <w:rFonts w:hint="eastAsia" w:ascii="仿宋_GB2312" w:hAnsi="仿宋_GB2312" w:eastAsia="仿宋_GB2312" w:cs="仿宋_GB2312"/>
          <w:b w:val="0"/>
          <w:bCs/>
          <w:sz w:val="32"/>
          <w:szCs w:val="32"/>
          <w:lang w:val="en-US" w:eastAsia="zh-CN"/>
        </w:rPr>
        <w:t>站</w:t>
      </w:r>
      <w:r>
        <w:rPr>
          <w:rFonts w:hint="eastAsia" w:ascii="仿宋_GB2312" w:hAnsi="仿宋_GB2312" w:eastAsia="仿宋_GB2312" w:cs="仿宋_GB2312"/>
          <w:b w:val="0"/>
          <w:bCs/>
          <w:sz w:val="32"/>
          <w:szCs w:val="32"/>
          <w:lang w:val="en-US"/>
        </w:rPr>
        <w:t>提供的服务以及过程中的满意度。</w:t>
      </w:r>
    </w:p>
    <w:p w14:paraId="541399F1">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lang w:val="en-US"/>
        </w:rPr>
      </w:pPr>
      <w:r>
        <w:rPr>
          <w:rFonts w:hint="eastAsia" w:ascii="仿宋_GB2312" w:hAnsi="仿宋_GB2312" w:eastAsia="仿宋_GB2312" w:cs="仿宋_GB2312"/>
          <w:b/>
          <w:sz w:val="32"/>
          <w:szCs w:val="32"/>
          <w:lang w:val="en-US"/>
        </w:rPr>
        <w:t>7.总结反馈。</w:t>
      </w:r>
      <w:r>
        <w:rPr>
          <w:rFonts w:hint="eastAsia" w:ascii="仿宋_GB2312" w:hAnsi="仿宋_GB2312" w:eastAsia="仿宋_GB2312" w:cs="仿宋_GB2312"/>
          <w:b w:val="0"/>
          <w:bCs/>
          <w:sz w:val="32"/>
          <w:szCs w:val="32"/>
          <w:lang w:val="en-US"/>
        </w:rPr>
        <w:t>由评委团队对评估进行总结，与社工站社工进行反馈，听取街道购买方对社工站工作开展的意见和建议，了解社工站同事对本次活动的反馈。</w:t>
      </w:r>
    </w:p>
    <w:p w14:paraId="7B1AE9D8">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7"/>
      <w:r>
        <w:rPr>
          <w:rFonts w:hint="eastAsia" w:ascii="仿宋_GB2312" w:hAnsi="仿宋_GB2312" w:eastAsia="仿宋_GB2312" w:cs="仿宋_GB2312"/>
          <w:b/>
          <w:sz w:val="32"/>
          <w:szCs w:val="32"/>
        </w:rPr>
        <w:t>一）评估依据</w:t>
      </w:r>
    </w:p>
    <w:p w14:paraId="408216BF">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bookmarkStart w:id="8" w:name="bookmark14"/>
      <w:bookmarkEnd w:id="8"/>
      <w:bookmarkStart w:id="9" w:name="bookmark16"/>
      <w:r>
        <w:rPr>
          <w:rFonts w:hint="eastAsia" w:ascii="仿宋_GB2312" w:hAnsi="仿宋_GB2312" w:eastAsia="仿宋_GB2312" w:cs="仿宋_GB2312"/>
          <w:b/>
          <w:bCs/>
          <w:sz w:val="32"/>
          <w:szCs w:val="32"/>
        </w:rPr>
        <w:t>1.政策依据：</w:t>
      </w:r>
      <w:r>
        <w:rPr>
          <w:rFonts w:hint="eastAsia" w:ascii="仿宋_GB2312" w:hAnsi="仿宋_GB2312" w:eastAsia="仿宋_GB2312" w:cs="仿宋_GB2312"/>
          <w:sz w:val="32"/>
          <w:szCs w:val="32"/>
        </w:rPr>
        <w:t>《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14:paraId="66B09EFD">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2.评估标准依据：</w:t>
      </w:r>
      <w:r>
        <w:rPr>
          <w:rFonts w:hint="eastAsia" w:ascii="仿宋_GB2312" w:hAnsi="仿宋_GB2312" w:eastAsia="仿宋_GB2312" w:cs="仿宋_GB2312"/>
          <w:sz w:val="32"/>
          <w:szCs w:val="32"/>
        </w:rPr>
        <w:t>《广州市社工站购买服务项目评估指标体系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广州市社工站购买服务项目协议》。</w:t>
      </w:r>
    </w:p>
    <w:p w14:paraId="6631765B">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9"/>
      <w:r>
        <w:rPr>
          <w:rFonts w:hint="eastAsia" w:ascii="仿宋_GB2312" w:hAnsi="仿宋_GB2312" w:eastAsia="仿宋_GB2312" w:cs="仿宋_GB2312"/>
          <w:b/>
          <w:sz w:val="32"/>
          <w:szCs w:val="32"/>
        </w:rPr>
        <w:t>二）评估原则</w:t>
      </w:r>
    </w:p>
    <w:p w14:paraId="6192FE98">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bookmarkStart w:id="10" w:name="bookmark17"/>
      <w:bookmarkEnd w:id="10"/>
      <w:bookmarkStart w:id="11" w:name="bookmark23"/>
      <w:r>
        <w:rPr>
          <w:rFonts w:hint="eastAsia" w:ascii="仿宋_GB2312" w:hAnsi="仿宋_GB2312" w:eastAsia="仿宋_GB2312" w:cs="仿宋_GB2312"/>
          <w:b/>
          <w:sz w:val="32"/>
          <w:szCs w:val="32"/>
        </w:rPr>
        <w:t>1.真实诚信原则：</w:t>
      </w:r>
      <w:r>
        <w:rPr>
          <w:rFonts w:hint="eastAsia" w:ascii="仿宋_GB2312" w:hAnsi="仿宋_GB2312" w:eastAsia="仿宋_GB2312" w:cs="仿宋_GB2312"/>
          <w:b w:val="0"/>
          <w:bCs/>
          <w:sz w:val="32"/>
          <w:szCs w:val="32"/>
        </w:rPr>
        <w:t>评估要求项目运营方必须以实事求是的态度对待评估，本着诚实守信的原则，提供和展示能够真实、客观反映其项目运营状况的依据和有效资料，以供评估小组考察。</w:t>
      </w:r>
    </w:p>
    <w:p w14:paraId="32BE3068">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2.客观公正原则：</w:t>
      </w:r>
      <w:r>
        <w:rPr>
          <w:rFonts w:hint="eastAsia" w:ascii="仿宋_GB2312" w:hAnsi="仿宋_GB2312" w:eastAsia="仿宋_GB2312" w:cs="仿宋_GB2312"/>
          <w:b w:val="0"/>
          <w:bCs/>
          <w:sz w:val="32"/>
          <w:szCs w:val="32"/>
        </w:rPr>
        <w:t>评估要求所有评委恪守“客观公正的第三方”评估者角色，依据事实和真实情况给出客观、中肯评价意见或结论。</w:t>
      </w:r>
    </w:p>
    <w:p w14:paraId="0C4C6C42">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3.证据为本原则：</w:t>
      </w:r>
      <w:r>
        <w:rPr>
          <w:rFonts w:hint="eastAsia" w:ascii="仿宋_GB2312" w:hAnsi="仿宋_GB2312" w:eastAsia="仿宋_GB2312" w:cs="仿宋_GB2312"/>
          <w:b w:val="0"/>
          <w:bCs/>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4C24ABDF">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4.以评促进原则：</w:t>
      </w:r>
      <w:r>
        <w:rPr>
          <w:rFonts w:hint="eastAsia" w:ascii="仿宋_GB2312" w:hAnsi="仿宋_GB2312" w:eastAsia="仿宋_GB2312" w:cs="仿宋_GB2312"/>
          <w:b w:val="0"/>
          <w:bCs/>
          <w:sz w:val="32"/>
          <w:szCs w:val="32"/>
        </w:rPr>
        <w:t>评估要求评委要本着促进项目运营质量和成效的目标原则实施评估活动，给出评估指导意见，评估意见应具体、清晰、可行，能够切实指导项目运营团队持续改善服务成效和质量。</w:t>
      </w:r>
    </w:p>
    <w:p w14:paraId="1B0780B2">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5.回避监督原则：</w:t>
      </w:r>
      <w:r>
        <w:rPr>
          <w:rFonts w:hint="eastAsia" w:ascii="仿宋_GB2312" w:hAnsi="仿宋_GB2312" w:eastAsia="仿宋_GB2312" w:cs="仿宋_GB2312"/>
          <w:b w:val="0"/>
          <w:bCs/>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6F44B453">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6.保密尊重原则：</w:t>
      </w:r>
      <w:r>
        <w:rPr>
          <w:rFonts w:hint="eastAsia" w:ascii="仿宋_GB2312" w:hAnsi="仿宋_GB2312" w:eastAsia="仿宋_GB2312" w:cs="仿宋_GB2312"/>
          <w:b w:val="0"/>
          <w:bCs/>
          <w:sz w:val="32"/>
          <w:szCs w:val="32"/>
        </w:rPr>
        <w:t>评估要求评委应尊重和保护其工作中所接触、发现或遇到的涉及服务对象隐私权等所有受法律保护的事项，并依法负有保密职责；评估要求评委在评估过程中应尊重被评估方的所有原创性专业技术、方法等成果，并依法负有保密职责。</w:t>
      </w:r>
    </w:p>
    <w:p w14:paraId="24F8839E">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w:t>
      </w:r>
      <w:bookmarkEnd w:id="11"/>
      <w:r>
        <w:rPr>
          <w:rFonts w:hint="eastAsia" w:ascii="仿宋_GB2312" w:hAnsi="仿宋_GB2312" w:eastAsia="仿宋_GB2312" w:cs="仿宋_GB2312"/>
          <w:b/>
          <w:sz w:val="32"/>
          <w:szCs w:val="32"/>
        </w:rPr>
        <w:t>三）评估阶段</w:t>
      </w:r>
    </w:p>
    <w:p w14:paraId="77A448D0">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12" w:name="bookmark24"/>
      <w:bookmarkEnd w:id="12"/>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5E55A88E">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番禺区民政局会同番禺区社会组织联合会根据最新管理办法要求及南村镇西片社工站项目合同期限确定评估时间，制定好评估计划和评估通知。</w:t>
      </w:r>
    </w:p>
    <w:p w14:paraId="36A4692B">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2C1DDA03">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南村镇西片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385CA446">
      <w:pPr>
        <w:pStyle w:val="13"/>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13" w:name="bookmark25"/>
      <w:bookmarkEnd w:id="1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1986BF1E">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评估小组根据评估计划组织实施，对南村镇西片社工站提供的材料进行审阅，实地考察，进行现场评估并打分。评估小组根据公平、公正的原则，严格按照评估要求，对南村镇西片社工站进行评估工作。</w:t>
      </w:r>
    </w:p>
    <w:p w14:paraId="5524C6B7">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50FBD238">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南村镇人民政府及南村镇西片社工服务站反馈初评意见，对评估结果、存在问题及改进建议等进行沟通确认。</w:t>
      </w:r>
    </w:p>
    <w:p w14:paraId="79FE58F7">
      <w:pPr>
        <w:pStyle w:val="13"/>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14" w:name="bookmark27"/>
      <w:bookmarkEnd w:id="1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0E59940A">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在评估工作结束后10个工作日内，向番禺区民政局、南村镇人民政府及南村镇西片社工服务站各出具一份评估报告，提出项目存在的问题及改进建议。</w:t>
      </w:r>
    </w:p>
    <w:p w14:paraId="026EE8FE">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54211C5C">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南村镇西片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p w14:paraId="383DBAA3">
      <w:pPr>
        <w:pStyle w:val="13"/>
        <w:keepNext w:val="0"/>
        <w:keepLines w:val="0"/>
        <w:pageBreakBefore w:val="0"/>
        <w:widowControl w:val="0"/>
        <w:numPr>
          <w:ilvl w:val="0"/>
          <w:numId w:val="1"/>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评估内容</w:t>
      </w:r>
    </w:p>
    <w:p w14:paraId="28969090">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运营管理情况评估：</w:t>
      </w:r>
      <w:r>
        <w:rPr>
          <w:rFonts w:hint="eastAsia" w:ascii="仿宋_GB2312" w:hAnsi="仿宋_GB2312" w:eastAsia="仿宋_GB2312" w:cs="仿宋_GB2312"/>
          <w:b w:val="0"/>
          <w:bCs/>
          <w:sz w:val="32"/>
          <w:szCs w:val="32"/>
        </w:rPr>
        <w:t>主要从社工站人员管理、行政管理、项目宣传等方面进行评估。</w:t>
      </w:r>
    </w:p>
    <w:p w14:paraId="16ED8E6B">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2.项目服务评估：</w:t>
      </w:r>
      <w:r>
        <w:rPr>
          <w:rFonts w:hint="eastAsia" w:ascii="仿宋_GB2312" w:hAnsi="仿宋_GB2312" w:eastAsia="仿宋_GB2312" w:cs="仿宋_GB2312"/>
          <w:b w:val="0"/>
          <w:bCs/>
          <w:sz w:val="32"/>
          <w:szCs w:val="32"/>
        </w:rPr>
        <w:t>根据《广州市社工站购买服务项目评估指标体系》，结合社工站与镇街签订的三方协议规定开展的服务内容开展评估工作，主要从需求评估、服务设计、服务执行、服务成效等方面进行评估。</w:t>
      </w:r>
    </w:p>
    <w:p w14:paraId="0FABA12B">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sz w:val="32"/>
          <w:szCs w:val="32"/>
        </w:rPr>
        <w:t>3.利益相关方满意度及知晓度访谈：</w:t>
      </w:r>
      <w:r>
        <w:rPr>
          <w:rFonts w:hint="eastAsia" w:ascii="仿宋_GB2312" w:hAnsi="仿宋_GB2312" w:eastAsia="仿宋_GB2312" w:cs="仿宋_GB2312"/>
          <w:b w:val="0"/>
          <w:bCs/>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0A950A26">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4.收集整理相关方反馈</w:t>
      </w:r>
    </w:p>
    <w:p w14:paraId="325E6F4F">
      <w:pPr>
        <w:pStyle w:val="13"/>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val="0"/>
          <w:bCs/>
          <w:sz w:val="32"/>
          <w:szCs w:val="32"/>
        </w:rPr>
        <w:t>收集整理相关方意见反馈，包括街道购买方对社工站项目作用发挥情况的综合评价，监督方番禺区民政局对社工站项目的自查自纠检查情况、督查整改落实情况的综合评价，以及督导中心对服务质量保障方面情况的综合评价。</w:t>
      </w:r>
    </w:p>
    <w:p w14:paraId="7FA81A6F">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（五）评估结果说明</w:t>
      </w:r>
    </w:p>
    <w:p w14:paraId="3A13D14B">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 xml:space="preserve"> 60分至80分（不含80分）为合格，60分以下（不含60分）为不合格。评估中若发现有下列情形之一的，评估结果</w:t>
      </w:r>
      <w:r>
        <w:rPr>
          <w:rFonts w:hint="eastAsia" w:ascii="仿宋_GB2312" w:hAnsi="仿宋_GB2312" w:eastAsia="仿宋_GB2312" w:cs="仿宋_GB2312"/>
          <w:b w:val="0"/>
          <w:bCs/>
          <w:sz w:val="32"/>
          <w:szCs w:val="32"/>
          <w:lang w:eastAsia="zh-CN"/>
        </w:rPr>
        <w:t>也确</w:t>
      </w:r>
      <w:r>
        <w:rPr>
          <w:rFonts w:hint="eastAsia" w:ascii="仿宋_GB2312" w:hAnsi="仿宋_GB2312" w:eastAsia="仿宋_GB2312" w:cs="仿宋_GB2312"/>
          <w:b w:val="0"/>
          <w:bCs/>
          <w:sz w:val="32"/>
          <w:szCs w:val="32"/>
        </w:rPr>
        <w:t>定为不合格：</w:t>
      </w:r>
    </w:p>
    <w:p w14:paraId="09D29733">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（一）</w:t>
      </w:r>
      <w:r>
        <w:rPr>
          <w:rFonts w:hint="eastAsia" w:ascii="仿宋_GB2312" w:hAnsi="仿宋_GB2312" w:eastAsia="仿宋_GB2312" w:cs="仿宋_GB2312"/>
          <w:b w:val="0"/>
          <w:bCs/>
          <w:sz w:val="32"/>
          <w:szCs w:val="32"/>
        </w:rPr>
        <w:t>保洁、安保等人员占用社工名额的；</w:t>
      </w:r>
    </w:p>
    <w:p w14:paraId="60ACAEF9">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（二）</w:t>
      </w:r>
      <w:r>
        <w:rPr>
          <w:rFonts w:hint="eastAsia" w:ascii="仿宋_GB2312" w:hAnsi="仿宋_GB2312" w:eastAsia="仿宋_GB2312" w:cs="仿宋_GB2312"/>
          <w:b w:val="0"/>
          <w:bCs/>
          <w:sz w:val="32"/>
          <w:szCs w:val="32"/>
        </w:rPr>
        <w:t>社工人员配备不足的，其中中期评估累计缺少5人次或以上，末期评估累计缺少10人次或以上；</w:t>
      </w:r>
    </w:p>
    <w:p w14:paraId="4CC756F0">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（三）</w:t>
      </w:r>
      <w:r>
        <w:rPr>
          <w:rFonts w:hint="eastAsia" w:ascii="仿宋_GB2312" w:hAnsi="仿宋_GB2312" w:eastAsia="仿宋_GB2312" w:cs="仿宋_GB2312"/>
          <w:b w:val="0"/>
          <w:bCs/>
          <w:sz w:val="32"/>
          <w:szCs w:val="32"/>
        </w:rPr>
        <w:t>持证社工比例不达标的，其中中期评估累计缺少3人次或以上，末期评估累计缺少6人次或以上；</w:t>
      </w:r>
    </w:p>
    <w:p w14:paraId="66C85CF7">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（四）</w:t>
      </w:r>
      <w:r>
        <w:rPr>
          <w:rFonts w:hint="eastAsia" w:ascii="仿宋_GB2312" w:hAnsi="仿宋_GB2312" w:eastAsia="仿宋_GB2312" w:cs="仿宋_GB2312"/>
          <w:b w:val="0"/>
          <w:bCs/>
          <w:sz w:val="32"/>
          <w:szCs w:val="32"/>
        </w:rPr>
        <w:t>年度服务期内人员费用支出比例低于80%的；</w:t>
      </w:r>
    </w:p>
    <w:p w14:paraId="182C03C1">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（五）</w:t>
      </w:r>
      <w:r>
        <w:rPr>
          <w:rFonts w:hint="eastAsia" w:ascii="仿宋_GB2312" w:hAnsi="仿宋_GB2312" w:eastAsia="仿宋_GB2312" w:cs="仿宋_GB2312"/>
          <w:b w:val="0"/>
          <w:bCs/>
          <w:sz w:val="32"/>
          <w:szCs w:val="32"/>
        </w:rPr>
        <w:t>限期内整改不及时、不到位的；</w:t>
      </w:r>
    </w:p>
    <w:p w14:paraId="4BAE10D8">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（六）</w:t>
      </w:r>
      <w:r>
        <w:rPr>
          <w:rFonts w:hint="eastAsia" w:ascii="仿宋_GB2312" w:hAnsi="仿宋_GB2312" w:eastAsia="仿宋_GB2312" w:cs="仿宋_GB2312"/>
          <w:b w:val="0"/>
          <w:bCs/>
          <w:sz w:val="32"/>
          <w:szCs w:val="32"/>
        </w:rPr>
        <w:t>专业评估结果为不合格的；</w:t>
      </w:r>
    </w:p>
    <w:p w14:paraId="47CF62B7">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（七）</w:t>
      </w:r>
      <w:r>
        <w:rPr>
          <w:rFonts w:hint="eastAsia" w:ascii="仿宋_GB2312" w:hAnsi="仿宋_GB2312" w:eastAsia="仿宋_GB2312" w:cs="仿宋_GB2312"/>
          <w:b w:val="0"/>
          <w:bCs/>
          <w:sz w:val="32"/>
          <w:szCs w:val="32"/>
        </w:rPr>
        <w:t>财务评估结果为不合格的；</w:t>
      </w:r>
    </w:p>
    <w:p w14:paraId="041F875A">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eastAsia="zh-CN"/>
        </w:rPr>
        <w:t>（八）</w:t>
      </w:r>
      <w:r>
        <w:rPr>
          <w:rFonts w:hint="eastAsia" w:ascii="仿宋_GB2312" w:hAnsi="仿宋_GB2312" w:eastAsia="仿宋_GB2312" w:cs="仿宋_GB2312"/>
          <w:b w:val="0"/>
          <w:bCs/>
          <w:sz w:val="32"/>
          <w:szCs w:val="32"/>
        </w:rPr>
        <w:t>违反国家法律法规及有关规定的其他情形，情节严重的。</w:t>
      </w:r>
    </w:p>
    <w:p w14:paraId="52292FFD">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二、评估总结</w:t>
      </w:r>
    </w:p>
    <w:p w14:paraId="4D977ED5">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（―）社工站基本情况</w:t>
      </w:r>
    </w:p>
    <w:p w14:paraId="3F901527">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highlight w:val="yellow"/>
        </w:rPr>
      </w:pPr>
      <w:r>
        <w:rPr>
          <w:rFonts w:hint="eastAsia" w:ascii="仿宋_GB2312" w:eastAsia="仿宋_GB2312"/>
          <w:color w:val="auto"/>
          <w:sz w:val="32"/>
          <w:szCs w:val="32"/>
          <w:highlight w:val="none"/>
          <w:lang w:eastAsia="zh-CN"/>
        </w:rPr>
        <w:t>南村镇西片</w:t>
      </w:r>
      <w:r>
        <w:rPr>
          <w:rFonts w:hint="eastAsia" w:ascii="仿宋_GB2312" w:eastAsia="仿宋_GB2312"/>
          <w:color w:val="auto"/>
          <w:sz w:val="32"/>
          <w:szCs w:val="32"/>
          <w:highlight w:val="none"/>
        </w:rPr>
        <w:t>社工站位于</w:t>
      </w:r>
      <w:r>
        <w:rPr>
          <w:rFonts w:hint="eastAsia" w:ascii="仿宋_GB2312" w:eastAsia="仿宋_GB2312"/>
          <w:color w:val="auto"/>
          <w:sz w:val="32"/>
          <w:szCs w:val="32"/>
          <w:highlight w:val="none"/>
          <w:lang w:val="en-US" w:eastAsia="zh-CN"/>
        </w:rPr>
        <w:t>华南碧桂园社区翠云山岭御二街综合楼四楼</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于</w:t>
      </w:r>
      <w:r>
        <w:rPr>
          <w:rFonts w:hint="eastAsia" w:ascii="仿宋_GB2312" w:eastAsia="仿宋_GB2312"/>
          <w:color w:val="auto"/>
          <w:sz w:val="32"/>
          <w:szCs w:val="32"/>
          <w:lang w:val="en-US" w:eastAsia="zh-CN"/>
        </w:rPr>
        <w:t>2023</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15日</w:t>
      </w:r>
      <w:r>
        <w:rPr>
          <w:rFonts w:hint="eastAsia" w:ascii="仿宋_GB2312" w:eastAsia="仿宋_GB2312"/>
          <w:color w:val="auto"/>
          <w:sz w:val="32"/>
          <w:szCs w:val="32"/>
        </w:rPr>
        <w:t>开始，由广州市</w:t>
      </w:r>
      <w:r>
        <w:rPr>
          <w:rFonts w:hint="eastAsia" w:ascii="仿宋_GB2312" w:eastAsia="仿宋_GB2312"/>
          <w:color w:val="auto"/>
          <w:sz w:val="32"/>
          <w:szCs w:val="32"/>
          <w:lang w:val="en-US" w:eastAsia="zh-CN"/>
        </w:rPr>
        <w:t>南沙区百民社会工作服务中心</w:t>
      </w:r>
      <w:r>
        <w:rPr>
          <w:rFonts w:hint="eastAsia" w:ascii="仿宋_GB2312" w:eastAsia="仿宋_GB2312"/>
          <w:color w:val="auto"/>
          <w:sz w:val="32"/>
          <w:szCs w:val="32"/>
        </w:rPr>
        <w:t>负责运营。</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社工站主要服务包括：</w:t>
      </w:r>
      <w:r>
        <w:rPr>
          <w:rFonts w:hint="eastAsia" w:ascii="仿宋_GB2312" w:eastAsia="仿宋_GB2312"/>
          <w:color w:val="auto"/>
          <w:sz w:val="32"/>
          <w:szCs w:val="32"/>
          <w:highlight w:val="none"/>
        </w:rPr>
        <w:t>党建引领服务、兜底性民生服务、基础性民生服务、普惠性民生服务四大板块。</w:t>
      </w:r>
    </w:p>
    <w:p w14:paraId="6E92B39A">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年1月3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21</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19</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16</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，其他人员2人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19</w:t>
      </w:r>
      <w:r>
        <w:rPr>
          <w:rFonts w:hint="eastAsia" w:ascii="仿宋_GB2312" w:hAnsi="宋体" w:eastAsia="仿宋_GB2312" w:cs="宋体"/>
          <w:sz w:val="32"/>
          <w:szCs w:val="32"/>
          <w:lang w:eastAsia="zh-CN"/>
        </w:rPr>
        <w:t>名，其中社工专业人员1</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15</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其他人员1人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年以上。</w:t>
      </w:r>
    </w:p>
    <w:p w14:paraId="50AA3B0F">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lang w:eastAsia="zh-CN"/>
        </w:rPr>
        <w:t>南村镇西片</w:t>
      </w:r>
      <w:r>
        <w:rPr>
          <w:rFonts w:hint="eastAsia" w:ascii="仿宋_GB2312" w:eastAsia="仿宋_GB2312"/>
          <w:color w:val="auto"/>
          <w:sz w:val="32"/>
          <w:szCs w:val="32"/>
        </w:rPr>
        <w:t>社工站</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服务经费为</w:t>
      </w:r>
      <w:r>
        <w:rPr>
          <w:rFonts w:hint="eastAsia" w:ascii="仿宋_GB2312" w:eastAsia="仿宋_GB2312"/>
          <w:color w:val="auto"/>
          <w:sz w:val="32"/>
          <w:szCs w:val="32"/>
          <w:lang w:val="en-US" w:eastAsia="zh-CN"/>
        </w:rPr>
        <w:t>240</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评估周期</w:t>
      </w:r>
      <w:r>
        <w:rPr>
          <w:rFonts w:hint="eastAsia" w:ascii="仿宋_GB2312" w:eastAsia="仿宋_GB2312"/>
          <w:color w:val="auto"/>
          <w:sz w:val="32"/>
          <w:szCs w:val="32"/>
        </w:rPr>
        <w:t>项目合同期为202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日至</w:t>
      </w:r>
      <w:r>
        <w:rPr>
          <w:rFonts w:hint="eastAsia" w:ascii="仿宋_GB2312" w:eastAsia="仿宋_GB2312"/>
          <w:color w:val="auto"/>
          <w:sz w:val="32"/>
          <w:szCs w:val="32"/>
          <w:lang w:eastAsia="zh-CN"/>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lang w:eastAsia="zh-CN"/>
        </w:rPr>
        <w:t>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14</w:t>
      </w:r>
      <w:r>
        <w:rPr>
          <w:rFonts w:hint="eastAsia" w:ascii="仿宋_GB2312" w:eastAsia="仿宋_GB2312"/>
          <w:color w:val="auto"/>
          <w:sz w:val="32"/>
          <w:szCs w:val="32"/>
        </w:rPr>
        <w:t>日。本次考核期为202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年8月1</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年1月31日，考核5</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个月。</w:t>
      </w:r>
    </w:p>
    <w:p w14:paraId="3D5BA6BD">
      <w:pPr>
        <w:pStyle w:val="13"/>
        <w:pageBreakBefore w:val="0"/>
        <w:widowControl w:val="0"/>
        <w:kinsoku/>
        <w:wordWrap/>
        <w:overflowPunct/>
        <w:topLinePunct w:val="0"/>
        <w:autoSpaceDE/>
        <w:autoSpaceDN/>
        <w:bidi w:val="0"/>
        <w:adjustRightInd/>
        <w:snapToGrid/>
        <w:spacing w:after="0" w:line="560" w:lineRule="exact"/>
        <w:ind w:firstLine="743"/>
        <w:jc w:val="both"/>
        <w:textAlignment w:val="auto"/>
        <w:rPr>
          <w:rFonts w:ascii="仿宋_GB2312" w:eastAsia="仿宋_GB2312"/>
          <w:b/>
          <w:color w:val="auto"/>
          <w:sz w:val="32"/>
          <w:szCs w:val="32"/>
        </w:rPr>
      </w:pPr>
      <w:r>
        <w:rPr>
          <w:rFonts w:hint="eastAsia" w:ascii="仿宋_GB2312" w:eastAsia="仿宋_GB2312"/>
          <w:b/>
          <w:color w:val="auto"/>
          <w:sz w:val="32"/>
          <w:szCs w:val="32"/>
        </w:rPr>
        <w:t>（二）各项目服务进度情况</w:t>
      </w:r>
    </w:p>
    <w:p w14:paraId="283686DB">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社工站共完成家访1766人次、电访3008人次，完成协议指标量的80.27%、50.13%；个案接案8个、40节，完成协议指标量的66.67%、66.67%；完成小组2个、社区活动73场次、培育老年志愿者队伍3支，分别完成协议指标量的66.67%、77.56%、100.00%。（以上数据由社工站提供，各项目指标完成情况见附件1）。</w:t>
      </w:r>
    </w:p>
    <w:p w14:paraId="46802357">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从以上数据可知，南村镇西片社工站服务指标完成情况良好，在服务进度方面整体把握到位。</w:t>
      </w:r>
    </w:p>
    <w:p w14:paraId="551A5D9E">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color w:val="auto"/>
          <w:sz w:val="32"/>
          <w:szCs w:val="32"/>
        </w:rPr>
      </w:pPr>
      <w:r>
        <w:rPr>
          <w:rFonts w:hint="eastAsia" w:ascii="仿宋_GB2312" w:eastAsia="仿宋_GB2312"/>
          <w:b/>
          <w:bCs/>
          <w:color w:val="auto"/>
          <w:sz w:val="32"/>
          <w:szCs w:val="32"/>
          <w:lang w:eastAsia="zh-CN"/>
        </w:rPr>
        <w:t>（三）</w:t>
      </w:r>
      <w:r>
        <w:rPr>
          <w:rFonts w:hint="eastAsia" w:ascii="仿宋_GB2312" w:eastAsia="仿宋_GB2312"/>
          <w:b/>
          <w:bCs/>
          <w:color w:val="auto"/>
          <w:sz w:val="32"/>
          <w:szCs w:val="32"/>
        </w:rPr>
        <w:t>项目运营管理</w:t>
      </w:r>
    </w:p>
    <w:p w14:paraId="10A68174">
      <w:pPr>
        <w:pStyle w:val="13"/>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color w:val="auto"/>
          <w:sz w:val="32"/>
          <w:szCs w:val="32"/>
        </w:rPr>
      </w:pPr>
      <w:r>
        <w:rPr>
          <w:rFonts w:hint="eastAsia" w:ascii="仿宋_GB2312" w:eastAsia="仿宋_GB2312"/>
          <w:color w:val="auto"/>
          <w:sz w:val="32"/>
          <w:szCs w:val="32"/>
        </w:rPr>
        <w:t>通过与社工站主任、相关行政人员访谈，查阅相关资料等方式了解社工站运营管理情况，汇总成以下几点：</w:t>
      </w:r>
    </w:p>
    <w:p w14:paraId="0068F37A">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43935D19">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bookmarkStart w:id="15" w:name="bookmark31"/>
      <w:bookmarkEnd w:id="15"/>
      <w:r>
        <w:rPr>
          <w:rFonts w:hint="eastAsia" w:ascii="仿宋_GB2312" w:eastAsia="仿宋_GB2312"/>
          <w:color w:val="auto"/>
          <w:sz w:val="32"/>
          <w:szCs w:val="32"/>
          <w:lang w:val="en-US" w:eastAsia="zh-CN"/>
        </w:rPr>
        <w:t>（1）人员配置充足且队伍稳定：截至 2026 年 1 月，社工站全职工作人员达 21 人，应到岗 120 人次，实际到岗 120.5 人次，到岗情况良好。其中，持证人员 19 名，占比 90%，包括中级社工师 3 名、助理社工师 16 名，应到岗 84 人次，实际到岗 113.5 人次；非持证人员 2 名，均已获得岗前培训证书；从业3年以上社工18名，占比90%；持续在岗 17 人，稳岗率高达 85%。社工站管理层设主任 1 名、服务主任 1 名、副主任 1 名、片区主管 3 名。社工站主任具备 8 年从业经验，拥有研究生学历及中级社工师职业资格水平证书，资质和资料完全符合相关要求，为社工站的专业发展和管理引领奠定了良好基础。队伍教育培训方面，社工站除恒常性组织参加行业专业培训学习外，还紧密结合社工成长需求和岗位职能，自主开展多样化主题培训和共学活动。既有“服务对象权益保护”“消防培训与演练”等常规内容，又通过共学方式组织社工深入学习“危机干预”“家庭治疗模式”等专业知识。培训时数累计达 1412.5 小时，远超评估要求的 720 小时，达标率高达 196.18%，促进社工的专业能力和服务水平的提升。</w:t>
      </w:r>
    </w:p>
    <w:p w14:paraId="27B9843E">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有效改进专业规范管理。一是重视制度建设，社工站建立了比较完善的专业服务规范流程指引，同时构建了专业伦理价值规范的实践管理机制，为服务的标准化、规范化开展提供了有力保障。二是整改落实到位，本服务周期内，社工站积极组织社工伦理价值、服务对象权益保障知识培训和考核。针对上期评估指出的项目管理中存在的问题，社工站高度重视并积极整改，对团队稳岗率未达评估要求的情况，通过社工站层面定期团建、团督个督等形式，增强团队凝聚力，关心社工成长。同时，管理层、督导与同工联动共同制定个人成长计划，并主动为同工解决工作中遇到的问题，进一步维护了团队良好氛围，使稳岗率较上期有所提升，达到了 80%以上的评估要求。针对服务对象权益保障实践制度存在的问题，完善了服务对象权益保障实践制度中的三级投诉机制，不断加强规范化管理。</w:t>
      </w:r>
    </w:p>
    <w:p w14:paraId="77831EFA">
      <w:pPr>
        <w:pStyle w:val="13"/>
        <w:pageBreakBefore w:val="0"/>
        <w:widowControl w:val="0"/>
        <w:tabs>
          <w:tab w:val="left" w:pos="1355"/>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3）宣传工作扎实推进。社工站搬迁入新址后，周边设置的路标指引清晰，网络地图信息完善，方便周边居民查找和前往，居民知晓度逐步提升。在服务宣传推广方面，社工站制定了详细的年度宣传计划。通过公众号平台积极发布活动信息及新闻稿，累计发布 168 篇，浏览量达 19200 人次，有效扩大了宣传覆盖面，提升了社工站的社会影响力。</w:t>
      </w:r>
    </w:p>
    <w:p w14:paraId="6F37A26B">
      <w:pPr>
        <w:pStyle w:val="13"/>
        <w:pageBreakBefore w:val="0"/>
        <w:widowControl w:val="0"/>
        <w:tabs>
          <w:tab w:val="left" w:pos="1355"/>
        </w:tabs>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bookmarkStart w:id="16" w:name="bookmark37"/>
      <w:bookmarkEnd w:id="16"/>
      <w:bookmarkStart w:id="17" w:name="bookmark38"/>
      <w:bookmarkEnd w:id="17"/>
      <w:bookmarkStart w:id="18" w:name="bookmark36"/>
      <w:bookmarkEnd w:id="18"/>
      <w:bookmarkStart w:id="19" w:name="bookmark39"/>
      <w:bookmarkEnd w:id="19"/>
    </w:p>
    <w:p w14:paraId="0926A364">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）服务对象权益保障知识教育考核需进一步优化。从社工在服务对象权益保障小测的结果来看，10 名以上的社工成绩处于 60</w:t>
      </w:r>
      <w:r>
        <w:rPr>
          <w:rFonts w:hint="eastAsia" w:ascii="仿宋_GB2312" w:eastAsia="仿宋_GB2312"/>
          <w:b w:val="0"/>
          <w:bCs w:val="0"/>
          <w:color w:val="auto"/>
          <w:sz w:val="32"/>
          <w:szCs w:val="32"/>
          <w:lang w:val="en-US" w:eastAsia="zh-CN"/>
        </w:rPr>
        <w:t>-</w:t>
      </w:r>
      <w:r>
        <w:rPr>
          <w:rFonts w:hint="eastAsia" w:ascii="仿宋_GB2312" w:eastAsia="仿宋_GB2312"/>
          <w:b w:val="0"/>
          <w:bCs w:val="0"/>
          <w:color w:val="auto"/>
          <w:sz w:val="32"/>
          <w:szCs w:val="32"/>
          <w:lang w:eastAsia="zh-CN"/>
        </w:rPr>
        <w:t>70 分水平，占比接近半数。这反映出部分社工对服务对象权益保障知识的掌握不够扎实。社工站应加强对员工考核结果的分析和评估，全面了解同工对专业知识和服务对象权益保障的熟悉程度，针对存在的共性弱项，制定有针对性地强化培训方案，并将其纳入共学计划，通过系统、深入的培训，真正促进同工的专业成长，确保为服务对象提供更加专业、优质的服务。</w:t>
      </w:r>
    </w:p>
    <w:p w14:paraId="090CDF46">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b/>
          <w:bCs/>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意见收集机制需进一步完善。虽然站点设置了意见箱，并定期开箱登记，但在评估期内并未收集到服务意见和建议，这表明现有的意见收集渠道和方式可能存在局限性。建议社工站内部可建立“点—片—站”自下而上的服务意见收集机制，确保意见能够及时、有效地传递和反馈；对外，可通过微信群、工作群、公众平台等多种渠道拓宽意见收集范围。在形式上，可采用面谈、公布热线电话、设置二维码等多种方式，方便服务对象提出意见和建议，以便社工站及时了解服务需求，不断改进服务质量。</w:t>
      </w:r>
    </w:p>
    <w:p w14:paraId="5D2D83E4">
      <w:pPr>
        <w:pStyle w:val="13"/>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（四）</w:t>
      </w:r>
      <w:r>
        <w:rPr>
          <w:rFonts w:hint="eastAsia" w:ascii="仿宋_GB2312" w:eastAsia="仿宋_GB2312"/>
          <w:b/>
          <w:bCs/>
          <w:color w:val="auto"/>
          <w:sz w:val="32"/>
          <w:szCs w:val="32"/>
        </w:rPr>
        <w:t>服务成效和服务监测情况</w:t>
      </w:r>
    </w:p>
    <w:p w14:paraId="76EA399D">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1E37404D">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bookmarkStart w:id="20" w:name="bookmark40"/>
      <w:bookmarkEnd w:id="20"/>
    </w:p>
    <w:p w14:paraId="3C18D358">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党建工作方面，社工站与南村镇其他社会组织联合成立了中国共产党广州市番禺区南村镇社会组织联合支部委员会，社工站有2名正式党员，其中社工余汶峰担任支部组织委员，开展党日主题活动6次、党建宣传活动14场，与辖区14个村居党组织、2家企业签订了结对共建协议；开展兜底民生政策宣传 12场次、重大节日慰问活动2次、党建引领系列活动4场，链接帮扶物资83690元，圆梦微心愿5人次。</w:t>
      </w:r>
    </w:p>
    <w:p w14:paraId="741A1149">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整体服务方面，本年度以“精准兜底·协同赋能——共建友爱互助南村”为服务主题，聚焦困难群众和特殊群体，夯实兜底性民生保障，开展“群筑希望桥”常规服务，同时依据三个片区的群体特征与核心需求，实施“三百”计划，其中，城中村片区聚焦困境长者健康管理开展“百耆安康”服务；华新片区针对空巢长者社会支持薄弱问题开展“百心暖巢”服务；华碧片区针对“一老一小”开展“百行护耆幼”服务，整体服务逻辑清晰。服务周期，完成1146户1473人动态建档，实现困难群众和特殊群体兜底全覆盖，累计探访 1766 人次、电访 3008 人次，开展个案服务8个，小组服务2个，社区活动73场次，累计服务社区居民8072人次。任务指标完成情况较好。</w:t>
      </w:r>
    </w:p>
    <w:p w14:paraId="75955364">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hint="default"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社区培育方面，新增志愿者72人、培育初老志愿服务队3支、培育社区社会组织1支、联动了5个社区社会组织、4个志愿者队伍持续开展困难群众和特殊群体服务49场次，服务了781人次；开展志愿服务100场次，志愿服务805小时。开展慈善义卖活动5场，链接资金与物资28批次，其中，社区慈善基金累计近4万元、自主链接社会物资资源折合价值约23万元。服务评价方面，经问卷调查、电访等方式调查服务对象满意度共有114人参与，其中110人满意度达95%以上，综合满意度较高。</w:t>
      </w:r>
    </w:p>
    <w:p w14:paraId="38E7BA00">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036C0623">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经评委评估分析访谈情况和查阅项目调研、服务方案等各类服务工作痕迹记录资料，项目执行和成效总体情况有以下方面需关注：</w:t>
      </w:r>
      <w:bookmarkStart w:id="21" w:name="bookmark43"/>
      <w:bookmarkEnd w:id="21"/>
      <w:bookmarkStart w:id="22" w:name="bookmark44"/>
      <w:bookmarkEnd w:id="22"/>
      <w:bookmarkStart w:id="23" w:name="bookmark45"/>
      <w:bookmarkEnd w:id="23"/>
    </w:p>
    <w:p w14:paraId="4D1EAD5C">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关注社区慈善基金筹款过程中社工作用的发挥及成效。目前14个社区慈善基金共计筹集善款约1.9万元，有6个社区慈善基金本周期没有善款入账，辖区的公益慈善氛围有待进一步营造。通过益街坊平台探索消费捐模式，需关注社工在益街坊项目中所发挥的专业作用，提前规避社工涉足商业活动可能的伦理风险。</w:t>
      </w:r>
    </w:p>
    <w:p w14:paraId="0A9D69C2">
      <w:pPr>
        <w:pStyle w:val="13"/>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关注服务项目成效的总结和提炼。目前无专门的党建项目，其他服务项目中党建元素不突出，需呈现社工撬动基层党组织和党员参与辖区基层治理的服务策略和成效；把“三百”计划作为特色项目呈现，服务内容略显庞杂，服务深度和亮点不足；五社联动项目目前更多聚焦在单个服务计划上的产出，针对三个服务计划中的共性服务策略如队伍培养、平台搭建、机制建设等方面的提炼不够。还需持续完善广州社工“红棉守护”热线后台服务记录。</w:t>
      </w:r>
    </w:p>
    <w:p w14:paraId="71ADC200">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color w:val="auto"/>
          <w:sz w:val="32"/>
          <w:szCs w:val="32"/>
        </w:rPr>
      </w:pPr>
      <w:r>
        <w:rPr>
          <w:rFonts w:hint="eastAsia" w:ascii="仿宋_GB2312" w:eastAsia="仿宋_GB2312"/>
          <w:b/>
          <w:bCs/>
          <w:color w:val="auto"/>
          <w:sz w:val="32"/>
          <w:szCs w:val="32"/>
          <w:lang w:eastAsia="zh-CN"/>
        </w:rPr>
        <w:t>（五）</w:t>
      </w:r>
      <w:r>
        <w:rPr>
          <w:rFonts w:hint="eastAsia" w:ascii="仿宋_GB2312" w:eastAsia="仿宋_GB2312"/>
          <w:b/>
          <w:bCs/>
          <w:color w:val="auto"/>
          <w:sz w:val="32"/>
          <w:szCs w:val="32"/>
        </w:rPr>
        <w:t>服务质量情况</w:t>
      </w:r>
    </w:p>
    <w:p w14:paraId="09283295">
      <w:pPr>
        <w:pStyle w:val="13"/>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华碧片区：华南碧桂园社区、锦绣香江社区、兴南社区、兴业社区</w:t>
      </w:r>
    </w:p>
    <w:p w14:paraId="218D5016">
      <w:pPr>
        <w:pStyle w:val="13"/>
        <w:pageBreakBefore w:val="0"/>
        <w:widowControl w:val="0"/>
        <w:kinsoku/>
        <w:wordWrap/>
        <w:overflowPunct/>
        <w:topLinePunct w:val="0"/>
        <w:autoSpaceDE/>
        <w:autoSpaceDN/>
        <w:bidi w:val="0"/>
        <w:adjustRightInd/>
        <w:snapToGrid/>
        <w:spacing w:after="80" w:line="560" w:lineRule="exact"/>
        <w:ind w:firstLine="6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1.值得肯定的地方</w:t>
      </w:r>
    </w:p>
    <w:p w14:paraId="705425A7">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经评委评估分析访谈情况和查阅项目调研、服务方案等各类服务工作痕迹记录资料，项目执行和成效总体情况有以下几方面值得肯定：</w:t>
      </w:r>
    </w:p>
    <w:p w14:paraId="2D70D150">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bookmarkStart w:id="24" w:name="bookmark47"/>
      <w:bookmarkEnd w:id="24"/>
      <w:bookmarkStart w:id="25" w:name="bookmark46"/>
      <w:bookmarkEnd w:id="25"/>
      <w:bookmarkStart w:id="26" w:name="bookmark48"/>
      <w:bookmarkEnd w:id="2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）服务规范落实到位，文书撰写规范性强。个案、小组、社区服务等专业服务有规范流程和指引。从现场抽查的个案以及社区服务文书来看，整体撰写认真详实，内容到位，符合规范性要求。</w:t>
      </w:r>
    </w:p>
    <w:p w14:paraId="08DD122E">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做好兜底服务建档工作，按要求进行分级管理与服务。摸清困难群众和特殊群体底数，能够为服务对象分类建档，累计建档为306户404人。依托广州市社工站综合管理平台建立并动态更新《服务对象家庭信息汇总表》。落实服务对象分级管理要求，结合困难群众和特殊群体需求情况，开展全覆盖电访或探访等服务。同时，双工联动开展兜底民生政策宣传4场，协助落实社会救助等民生兜底政策。</w:t>
      </w:r>
    </w:p>
    <w:p w14:paraId="31602DC9">
      <w:pPr>
        <w:pStyle w:val="13"/>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社工工作态度认真，个案工作以及社区服务专业性强。本片区社工团队多次获得多方的感谢和好评，共收获锦旗1面、感谢视频1个、感谢信2封以及感谢评语3条；片区积极推进媒体宣传报道，从国家级到各级共获得媒体报道26篇。另外，专业服务方面，个案服务负责社工从问题界定到位，需求分析强，服务介入专业；社区服务社工从问题背景到目标再到服务介入与评估反思，逻辑清晰、介入到位，整体值得肯定。</w:t>
      </w:r>
    </w:p>
    <w:p w14:paraId="7C32072A">
      <w:pPr>
        <w:pStyle w:val="13"/>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hAnsi="Times New Roman" w:eastAsia="仿宋_GB2312" w:cs="Times New Roman"/>
          <w:b/>
          <w:bCs/>
          <w:color w:val="auto"/>
          <w:sz w:val="32"/>
          <w:szCs w:val="32"/>
        </w:rPr>
      </w:pPr>
      <w:r>
        <w:rPr>
          <w:rFonts w:hint="eastAsia" w:ascii="仿宋_GB2312" w:hAnsi="Times New Roman" w:eastAsia="仿宋_GB2312" w:cs="Times New Roman"/>
          <w:b/>
          <w:bCs/>
          <w:color w:val="auto"/>
          <w:sz w:val="32"/>
          <w:szCs w:val="32"/>
        </w:rPr>
        <w:t>2.需要关注的地方</w:t>
      </w:r>
    </w:p>
    <w:p w14:paraId="6E02006B">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经评委评估分析访谈情况和查阅项目调研、服务方案等各类服务工作痕迹记录资料，项目执行和成效总体情况有以下几方面需关注：</w:t>
      </w:r>
    </w:p>
    <w:p w14:paraId="1A7C9E9D">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1</w:t>
      </w:r>
      <w:r>
        <w:rPr>
          <w:rFonts w:hint="eastAsia" w:ascii="仿宋_GB2312" w:eastAsia="仿宋_GB2312"/>
          <w:b w:val="0"/>
          <w:bCs w:val="0"/>
          <w:color w:val="auto"/>
          <w:sz w:val="32"/>
          <w:szCs w:val="32"/>
          <w:lang w:eastAsia="zh-CN"/>
        </w:rPr>
        <w:t>）需求摸查形式单一，未能有效获取服务对象反馈、精准识别真实诉求。报告仅采用文献分析法，依赖既有档案、家庭信息表及问题清单等二手资料，缺乏与服务对象的直接接触与互动，导致报告缺乏服务对象的原声反馈，需求陈述多为社工人员对既有记录的归纳与转述，难以呈现服务对象的真实处境、主观感受与潜在未表达的诉求。建议丰富调研方式，通过座谈会、个别访谈、焦点小组等方式收集一手资料，进一步了解不同群体在情感支持、居家安全等维度上的差异化体验与真实期望，提升服务策略的针对性和有效性。</w:t>
      </w:r>
    </w:p>
    <w:p w14:paraId="092F2820">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2</w:t>
      </w:r>
      <w:r>
        <w:rPr>
          <w:rFonts w:hint="eastAsia" w:ascii="仿宋_GB2312" w:eastAsia="仿宋_GB2312"/>
          <w:b w:val="0"/>
          <w:bCs w:val="0"/>
          <w:color w:val="auto"/>
          <w:sz w:val="32"/>
          <w:szCs w:val="32"/>
          <w:lang w:eastAsia="zh-CN"/>
        </w:rPr>
        <w:t>）服务计划目标设定较为宽泛，服务策略与指标偏重活动产出，未能有效回应需求与目标。该片区服务计划目标设定宽泛笼统，缺乏具体化、可衡量的成效标准，规范性明显不足。与之配套的服务策略及量化指标多聚焦于活动产出与人次统计，未能准确回应目标所指向的问题与需求改善以及服务成效。如“强化情感支持”这一目标，服务策略以手工、节庆等社交活动为主，欠缺针对独居、失能等高风险群体的入户陪伴、互助陪护等深度介入设计；又比如目标“培育社区志愿服务力量”，服务策略主要以志愿服务开展而欠缺志愿培训、团队建设等内容，造成目标实现与需求回应之间存在错位，服务设计与成效难以有效衔接。建议将服务目标从“活动产出导向”转向“成效导向”，围绕片区兜底人群等服务对象核心需求，配套具体化、可衡量的成效指标与深度介入策略，确保服务设计与目标回应之间形成闭环。</w:t>
      </w:r>
    </w:p>
    <w:p w14:paraId="6122BB5B">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val="0"/>
          <w:bCs w:val="0"/>
          <w:color w:val="auto"/>
          <w:sz w:val="32"/>
          <w:szCs w:val="32"/>
          <w:lang w:eastAsia="zh-CN"/>
        </w:rPr>
      </w:pPr>
      <w:r>
        <w:rPr>
          <w:rFonts w:hint="eastAsia" w:ascii="仿宋_GB2312" w:eastAsia="仿宋_GB2312"/>
          <w:b w:val="0"/>
          <w:bCs w:val="0"/>
          <w:color w:val="auto"/>
          <w:sz w:val="32"/>
          <w:szCs w:val="32"/>
          <w:lang w:eastAsia="zh-CN"/>
        </w:rPr>
        <w:t>（</w:t>
      </w:r>
      <w:r>
        <w:rPr>
          <w:rFonts w:hint="eastAsia" w:ascii="仿宋_GB2312" w:eastAsia="仿宋_GB2312"/>
          <w:b w:val="0"/>
          <w:bCs w:val="0"/>
          <w:color w:val="auto"/>
          <w:sz w:val="32"/>
          <w:szCs w:val="32"/>
          <w:lang w:val="en-US" w:eastAsia="zh-CN"/>
        </w:rPr>
        <w:t>3</w:t>
      </w:r>
      <w:r>
        <w:rPr>
          <w:rFonts w:hint="eastAsia" w:ascii="仿宋_GB2312" w:eastAsia="仿宋_GB2312"/>
          <w:b w:val="0"/>
          <w:bCs w:val="0"/>
          <w:color w:val="auto"/>
          <w:sz w:val="32"/>
          <w:szCs w:val="32"/>
          <w:lang w:eastAsia="zh-CN"/>
        </w:rPr>
        <w:t>）困难群众和特殊群体需求评估全面性与恒常跟进针对性不足的问题依然需要关注。如对象202508-27-BMNCXP-HB-DDDA，评估为三级服务对象的困境儿童，社工在评估中提出需要“加强服务对象的社会支持网络，提供情感支持。”而跟进记录关心近况以及资源链接为主，与计划不符；又如对象202408-18-BMNCXP-HB-DDDA，评估为三级服务对象的失能长者，社工在评估中提到“避免服务对象产生孤独感与负面情绪，增强其情感支持，引导服务对象接受自己目前的身体情况，树立康复的信心，增强其对生活的掌控感与康复信心”，在跟进中则同样以了解近况及链接资源为主。因此，上周期的末期评估提及的问题和建议依然需要关注，在进行电访、探访服务时，社工依然需要强化主动挖掘需求的意识，根据不同类型的服务对象有侧重点地去收集更为具体和详细的资料，并以提升生活质量、降低风险为目标来设计服务计划。同时，在恒常跟进中需要围绕评估目标与计划有针对性介入，提升困难群众和特殊群体疑难问题及重点需求解决的有效性。</w:t>
      </w:r>
    </w:p>
    <w:p w14:paraId="1321DCA3">
      <w:pPr>
        <w:pStyle w:val="13"/>
        <w:pageBreakBefore w:val="0"/>
        <w:widowControl w:val="0"/>
        <w:kinsoku/>
        <w:wordWrap/>
        <w:overflowPunct/>
        <w:topLinePunct w:val="0"/>
        <w:autoSpaceDE/>
        <w:autoSpaceDN/>
        <w:bidi w:val="0"/>
        <w:adjustRightInd/>
        <w:snapToGrid/>
        <w:spacing w:after="0" w:line="560" w:lineRule="exact"/>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城中村</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里仁洞村、江南村、员岗村、塘步东村、塘埗西村、官堂村</w:t>
      </w:r>
    </w:p>
    <w:p w14:paraId="560C8E51">
      <w:pPr>
        <w:pStyle w:val="13"/>
        <w:pageBreakBefore w:val="0"/>
        <w:widowControl w:val="0"/>
        <w:numPr>
          <w:ilvl w:val="0"/>
          <w:numId w:val="2"/>
        </w:numPr>
        <w:tabs>
          <w:tab w:val="left" w:pos="972"/>
        </w:tabs>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bookmarkStart w:id="27" w:name="bookmark57"/>
      <w:bookmarkEnd w:id="27"/>
      <w:r>
        <w:rPr>
          <w:rFonts w:hint="eastAsia" w:ascii="仿宋_GB2312" w:eastAsia="仿宋_GB2312"/>
          <w:b/>
          <w:bCs/>
          <w:color w:val="auto"/>
          <w:sz w:val="32"/>
          <w:szCs w:val="32"/>
        </w:rPr>
        <w:t>值得肯定的地方</w:t>
      </w:r>
    </w:p>
    <w:p w14:paraId="09D9F6A1">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bookmarkStart w:id="28" w:name="bookmark59"/>
      <w:bookmarkEnd w:id="28"/>
      <w:bookmarkStart w:id="29" w:name="bookmark58"/>
      <w:bookmarkEnd w:id="29"/>
    </w:p>
    <w:p w14:paraId="633D8DB2">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bookmarkStart w:id="30" w:name="bookmark60"/>
      <w:bookmarkEnd w:id="30"/>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兜底性民生服务扎实开展。片区社工能够全面摸清片区内困难群众和特殊群体底数及现状，在本年度认真落实困难群众和特殊群体建档与跟进要求，对600户732人实现建档全覆盖，落实“一户一档”分级管理动态跟进精准服务，完成探访1259人次、电访1561人次。6个社工点形成每月常态化联动对接机制，围绕兜底民生服务开展沟通联动141次，双工联动面向困难群众和特殊群体开展社会救助、养老服务、残疾及就业支持等兜底民生政策宣传活动5场，直接受益206人次，确保民生政策的有效传递，切实提升困难群众和特殊群体对相关政策的知晓度，筑牢基层民生保障防线。</w:t>
      </w:r>
    </w:p>
    <w:p w14:paraId="768D4B64">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特色服务内容丰富。片区以“百耆安康——城中村困境长者健康管理服务计划”回应长者健康需求，联动番禺区第六人民医院及南村镇社区卫生服务中心等专业机构开展健康知识科普、用药管理等活动21场，覆盖长者超400人次；开设1个就医技能小组，培育陪诊志愿队1支，助力长者就医12次，破解困境长者“就医出行难、流程不熟悉”的痛点；开展居家安全知识活动2场普及安全知识与应急处理方法，完成10余户居家安全适老化改造，构建起了“预防+硬件升级”的双重保障体系，筑牢居家安全防线；整合医疗、慈善、企业等多元资源开展现场义诊与入户诊疗16场，链接健康包与助听器等物资，协助申请医疗救助、临时救助等服务，发挥枢纽作用，有力支撑长者健康保障。系列健康管理主题服务有效缓解困境长者健康管理困境，切实解决各类现实问题，专业服务与资源联动有温度有效度。</w:t>
      </w:r>
    </w:p>
    <w:p w14:paraId="68470B1A">
      <w:pPr>
        <w:pStyle w:val="13"/>
        <w:pageBreakBefore w:val="0"/>
        <w:widowControl w:val="0"/>
        <w:tabs>
          <w:tab w:val="left" w:pos="986"/>
        </w:tabs>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服务规范，专业作用发挥良好。片区社工在专业手法运用中能够遵循规范和指引认真落实，根据服务对象面临问题与困境制定具体、详细、有针对性的服务计划，在疑难个案跟进中，从经济救助、心理疏导、支持网络搭建各层次入手，能够联动多方力量推进多项需求的回应，构建起多元帮扶体系，具有较好的分析与执行能力，彰显服务专业性与资源联动能力。</w:t>
      </w:r>
    </w:p>
    <w:p w14:paraId="79B0EEEA">
      <w:pPr>
        <w:pStyle w:val="13"/>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需要关注的地方</w:t>
      </w:r>
    </w:p>
    <w:p w14:paraId="542D469F">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等各类服务工作痕迹记录资料，该项目以下方面需关注：</w:t>
      </w:r>
    </w:p>
    <w:p w14:paraId="44A743AF">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bookmarkStart w:id="31" w:name="bookmark61"/>
      <w:bookmarkEnd w:id="31"/>
      <w:bookmarkStart w:id="32" w:name="bookmark62"/>
      <w:bookmarkEnd w:id="32"/>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片区的资源整合与服务逻辑有待加强。片区需求调研与社区三图绘制中未能做到各相关方的有效联动与关联分析，使专业服务的深度与广度稍显欠缺。如需求调研中仅面向困特群体开展服务建档资料分析、探访、电访需求收集，调研对象及方式单一，需求分析仅停留在困难群众和特殊群体的兜底服务如困境长者健康知识普及与安全防护等浅层次，对残疾及困境儿童两类服务对象有需求分析但缺乏服务设计，仅以常规探访、电访和临时性个别化服务予以回应。建议在机构和站点层面进一步加强需求分析和服务设计的内在逻辑指导，在实施中对各类群体的服务做合理安排。</w:t>
      </w:r>
    </w:p>
    <w:p w14:paraId="67FC3F05">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片区服务资料的精准度有待提升。困难群众和特殊群体建档对象的服务需求呈现较为笼统，服务评级需准确，服务计划“一人一案”落实有待细化，服务跟进中的针对性不足；社区问题地图中呈现的部分问题未予关注和解决，服务设计的覆盖面和针对性需加强。建议在具体服务设计中做深入分析与及时跟进，切实提高建档对象服务成效。</w:t>
      </w:r>
    </w:p>
    <w:p w14:paraId="46F87CF0">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hint="eastAsia" w:ascii="仿宋_GB2312" w:eastAsia="仿宋_GB2312"/>
          <w:b/>
          <w:bCs/>
          <w:color w:val="auto"/>
          <w:sz w:val="32"/>
          <w:szCs w:val="32"/>
          <w:lang w:val="en-US" w:eastAsia="zh-CN"/>
        </w:rPr>
      </w:pPr>
      <w:r>
        <w:rPr>
          <w:rFonts w:hint="eastAsia" w:ascii="仿宋_GB2312" w:eastAsia="仿宋_GB2312"/>
          <w:b/>
          <w:bCs/>
          <w:color w:val="auto"/>
          <w:sz w:val="32"/>
          <w:szCs w:val="32"/>
          <w:lang w:val="en-US" w:eastAsia="zh-CN"/>
        </w:rPr>
        <w:t>华新</w:t>
      </w:r>
      <w:r>
        <w:rPr>
          <w:rFonts w:hint="eastAsia" w:ascii="仿宋_GB2312" w:eastAsia="仿宋_GB2312"/>
          <w:b/>
          <w:bCs/>
          <w:color w:val="auto"/>
          <w:sz w:val="32"/>
          <w:szCs w:val="32"/>
          <w:lang w:eastAsia="zh-CN"/>
        </w:rPr>
        <w:t>片区：</w:t>
      </w:r>
      <w:r>
        <w:rPr>
          <w:rFonts w:hint="eastAsia" w:ascii="仿宋_GB2312" w:eastAsia="仿宋_GB2312"/>
          <w:b/>
          <w:bCs/>
          <w:color w:val="auto"/>
          <w:sz w:val="32"/>
          <w:szCs w:val="32"/>
          <w:lang w:val="en-US" w:eastAsia="zh-CN"/>
        </w:rPr>
        <w:t>华南新城社区、星河湾东区社区、广地花园社区、海怡半岛花园社区</w:t>
      </w:r>
    </w:p>
    <w:p w14:paraId="6F48BCD6">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1</w:t>
      </w:r>
      <w:r>
        <w:rPr>
          <w:rFonts w:hint="eastAsia" w:ascii="仿宋_GB2312" w:eastAsia="仿宋_GB2312"/>
          <w:b/>
          <w:bCs/>
          <w:color w:val="auto"/>
          <w:sz w:val="32"/>
          <w:szCs w:val="32"/>
        </w:rPr>
        <w:t>.值得肯定的地方</w:t>
      </w:r>
    </w:p>
    <w:p w14:paraId="44BC3002">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w:t>
      </w:r>
      <w:r>
        <w:rPr>
          <w:rFonts w:hint="eastAsia" w:ascii="仿宋_GB2312" w:eastAsia="仿宋_GB2312"/>
          <w:color w:val="auto"/>
          <w:sz w:val="32"/>
          <w:szCs w:val="32"/>
          <w:lang w:eastAsia="zh-CN"/>
        </w:rPr>
        <w:t>目在</w:t>
      </w:r>
      <w:r>
        <w:rPr>
          <w:rFonts w:hint="eastAsia" w:ascii="仿宋_GB2312" w:eastAsia="仿宋_GB2312"/>
          <w:color w:val="auto"/>
          <w:sz w:val="32"/>
          <w:szCs w:val="32"/>
        </w:rPr>
        <w:t>以下几方面值得肯定：</w:t>
      </w:r>
    </w:p>
    <w:p w14:paraId="0D8A4EFB">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bookmarkStart w:id="33" w:name="bookmark66"/>
      <w:bookmarkEnd w:id="33"/>
      <w:bookmarkStart w:id="34" w:name="bookmark65"/>
      <w:bookmarkEnd w:id="34"/>
      <w:bookmarkStart w:id="35" w:name="bookmark64"/>
      <w:bookmarkEnd w:id="35"/>
      <w:bookmarkStart w:id="36" w:name="bookmark63"/>
      <w:bookmarkEnd w:id="36"/>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）针对上期评估提出的意见进行了整改。通过开展焦点访谈摸底服务对象共性需求，访谈资料整理较好。</w:t>
      </w:r>
    </w:p>
    <w:p w14:paraId="44B0579E">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各类指标完成进度合理。华新片区累计建档237户337人（含离世1人），完成100%建档，为17类困难群众和特殊群众提供探访234人次，电访（含红棉热线）644人次；开展专业个案2个，结案1个；开展小组1个；各类活动22场次。</w:t>
      </w:r>
    </w:p>
    <w:p w14:paraId="0C73C506">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）个别社工的个案管理能力较强。周期内共有1例个案完成结案（202509-01-BMNCXP-XHW-GA），个案目标设定合理，能在本次个案管理中综合运用三大服务手法及社区资源，服务对象问题得到改善，专业成效较为明确。</w:t>
      </w:r>
    </w:p>
    <w:p w14:paraId="1F91CB2A">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5778FF9F">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ascii="仿宋_GB2312" w:eastAsia="仿宋_GB2312"/>
          <w:color w:val="auto"/>
          <w:sz w:val="32"/>
          <w:szCs w:val="32"/>
        </w:rPr>
      </w:pPr>
      <w:r>
        <w:rPr>
          <w:rFonts w:hint="eastAsia" w:ascii="仿宋_GB2312" w:eastAsia="仿宋_GB2312"/>
          <w:color w:val="auto"/>
          <w:sz w:val="32"/>
          <w:szCs w:val="32"/>
        </w:rPr>
        <w:t>经评委评估分析访谈情况和查阅项目调研、</w:t>
      </w:r>
      <w:r>
        <w:rPr>
          <w:rFonts w:hint="eastAsia" w:ascii="仿宋_GB2312" w:eastAsia="仿宋_GB2312"/>
          <w:color w:val="auto"/>
          <w:sz w:val="32"/>
          <w:szCs w:val="32"/>
          <w:lang w:eastAsia="zh-CN"/>
        </w:rPr>
        <w:t>服务方案</w:t>
      </w:r>
      <w:r>
        <w:rPr>
          <w:rFonts w:hint="eastAsia" w:ascii="仿宋_GB2312" w:eastAsia="仿宋_GB2312"/>
          <w:color w:val="auto"/>
          <w:sz w:val="32"/>
          <w:szCs w:val="32"/>
        </w:rPr>
        <w:t>等各类服务工作痕迹记录资料，该项目以下几方面需关注：</w:t>
      </w:r>
    </w:p>
    <w:p w14:paraId="1B9808C8">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bookmarkStart w:id="37" w:name="bookmark68"/>
      <w:bookmarkEnd w:id="37"/>
      <w:bookmarkStart w:id="38" w:name="bookmark67"/>
      <w:bookmarkEnd w:id="38"/>
      <w:bookmarkStart w:id="39" w:name="bookmark69"/>
      <w:bookmarkEnd w:id="39"/>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1</w:t>
      </w:r>
      <w:r>
        <w:rPr>
          <w:rFonts w:hint="eastAsia" w:ascii="仿宋_GB2312" w:eastAsia="仿宋_GB2312"/>
          <w:color w:val="auto"/>
          <w:sz w:val="32"/>
          <w:szCs w:val="32"/>
          <w:lang w:eastAsia="zh-CN"/>
        </w:rPr>
        <w:t>）进一步提高分级评估的准确性。经查，存在评估依据不足、结论有误的情况，如档案号202508-28-BMNCXP-HY-DDDA、202508-16-BMNCXP-HX-DDDA</w:t>
      </w:r>
      <w:r>
        <w:rPr>
          <w:rFonts w:hint="eastAsia" w:ascii="仿宋_GB2312" w:eastAsia="仿宋_GB2312"/>
          <w:color w:val="auto"/>
          <w:sz w:val="32"/>
          <w:szCs w:val="32"/>
          <w:lang w:val="en-US" w:eastAsia="zh-CN"/>
        </w:rPr>
        <w:t>等五级对象，</w:t>
      </w:r>
      <w:r>
        <w:rPr>
          <w:rFonts w:hint="eastAsia" w:ascii="仿宋_GB2312" w:eastAsia="仿宋_GB2312"/>
          <w:color w:val="auto"/>
          <w:sz w:val="32"/>
          <w:szCs w:val="32"/>
          <w:lang w:eastAsia="zh-CN"/>
        </w:rPr>
        <w:t>考虑级别结论有误，建议全面复查分级评估的准确性。</w:t>
      </w:r>
    </w:p>
    <w:p w14:paraId="5A1C64A1">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2</w:t>
      </w:r>
      <w:r>
        <w:rPr>
          <w:rFonts w:hint="eastAsia" w:ascii="仿宋_GB2312" w:eastAsia="仿宋_GB2312"/>
          <w:color w:val="auto"/>
          <w:sz w:val="32"/>
          <w:szCs w:val="32"/>
          <w:lang w:eastAsia="zh-CN"/>
        </w:rPr>
        <w:t>）进一步提高探访、电访服务的质量，严格按照分级标准提供频次相符、服务内容匹配的服务。档案号202508-12-BMNCXP-XHW-DDDA（三级对象，独居老人），未按照《广州市社工站购买服务项目服务清单（民政领域社会工作）》对独居长者的服务内容清单开展服务，服务方式亦不符合相关要求（每季度至少入户一次），该个案人户分离，但未转介至居住地的社工站，因此，华新片区仍需要承担兜底责任。此外，还抽查到该片区其他三级对象（202509-102-BMNCXP-HX-DDDA，肢体二级残疾）的服务频次及服务内容与购买清单不符的情况。</w:t>
      </w:r>
    </w:p>
    <w:p w14:paraId="6B1E3BA1">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）专业服务质量有待提升。百心暖巢“轻运动，乐生活”长者互助支持小组目标设定过低，覆盖面过低（</w:t>
      </w:r>
      <w:r>
        <w:rPr>
          <w:rFonts w:hint="eastAsia" w:ascii="仿宋_GB2312" w:eastAsia="仿宋_GB2312"/>
          <w:color w:val="auto"/>
          <w:sz w:val="32"/>
          <w:szCs w:val="32"/>
          <w:lang w:val="en-US" w:eastAsia="zh-CN"/>
        </w:rPr>
        <w:t>受益</w:t>
      </w:r>
      <w:r>
        <w:rPr>
          <w:rFonts w:hint="eastAsia" w:ascii="仿宋_GB2312" w:eastAsia="仿宋_GB2312"/>
          <w:color w:val="auto"/>
          <w:sz w:val="32"/>
          <w:szCs w:val="32"/>
          <w:lang w:eastAsia="zh-CN"/>
        </w:rPr>
        <w:t>人数仅有3名困难群众和特殊群体），深度不足（有康乐文化活动倾向），此三名服务对象的需求可以优先通过日常开展的社区活动给予满足。本次小组考虑专业服务形式选择不当，建议团队合理分配服务指标，开展有深度的小组服务。建议从社工站层面规范专业服务的质量管理，完善分级评估结论的审核机制，督查个案、小组服务的服务质量。</w:t>
      </w:r>
    </w:p>
    <w:p w14:paraId="553FAF7F">
      <w:pPr>
        <w:pStyle w:val="13"/>
        <w:pageBreakBefore w:val="0"/>
        <w:widowControl w:val="0"/>
        <w:kinsoku/>
        <w:wordWrap/>
        <w:overflowPunct/>
        <w:topLinePunct w:val="0"/>
        <w:autoSpaceDE/>
        <w:autoSpaceDN/>
        <w:bidi w:val="0"/>
        <w:adjustRightInd/>
        <w:snapToGrid/>
        <w:spacing w:after="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lang w:eastAsia="zh-CN"/>
        </w:rPr>
        <w:t>（六）</w:t>
      </w:r>
      <w:r>
        <w:rPr>
          <w:rFonts w:hint="eastAsia" w:ascii="仿宋_GB2312" w:eastAsia="仿宋_GB2312"/>
          <w:b/>
          <w:bCs/>
          <w:color w:val="auto"/>
          <w:sz w:val="32"/>
          <w:szCs w:val="32"/>
        </w:rPr>
        <w:t>购买方反馈情况</w:t>
      </w:r>
    </w:p>
    <w:p w14:paraId="72B01BA9">
      <w:pPr>
        <w:pStyle w:val="13"/>
        <w:pageBreakBefore w:val="0"/>
        <w:widowControl w:val="0"/>
        <w:kinsoku/>
        <w:wordWrap/>
        <w:overflowPunct/>
        <w:topLinePunct w:val="0"/>
        <w:autoSpaceDE/>
        <w:autoSpaceDN/>
        <w:bidi w:val="0"/>
        <w:adjustRightInd/>
        <w:snapToGrid/>
        <w:spacing w:after="80" w:line="560" w:lineRule="exact"/>
        <w:ind w:firstLine="740"/>
        <w:jc w:val="both"/>
        <w:textAlignment w:val="auto"/>
        <w:rPr>
          <w:rFonts w:ascii="仿宋_GB2312" w:eastAsia="仿宋_GB2312"/>
          <w:b/>
          <w:bCs/>
          <w:color w:val="auto"/>
          <w:sz w:val="32"/>
          <w:szCs w:val="32"/>
        </w:rPr>
      </w:pPr>
      <w:r>
        <w:rPr>
          <w:rFonts w:hint="eastAsia" w:ascii="仿宋_GB2312" w:eastAsia="仿宋_GB2312"/>
          <w:b/>
          <w:bCs/>
          <w:color w:val="auto"/>
          <w:sz w:val="32"/>
          <w:szCs w:val="32"/>
        </w:rPr>
        <w:t>1.值得肯定的地方</w:t>
      </w:r>
    </w:p>
    <w:p w14:paraId="6822DF53">
      <w:pPr>
        <w:pStyle w:val="13"/>
        <w:pageBreakBefore w:val="0"/>
        <w:widowControl w:val="0"/>
        <w:kinsoku/>
        <w:wordWrap/>
        <w:overflowPunct/>
        <w:topLinePunct w:val="0"/>
        <w:autoSpaceDE/>
        <w:autoSpaceDN/>
        <w:bidi w:val="0"/>
        <w:adjustRightInd/>
        <w:snapToGrid/>
        <w:spacing w:after="0" w:line="560" w:lineRule="exact"/>
        <w:ind w:firstLine="578"/>
        <w:jc w:val="both"/>
        <w:textAlignment w:val="auto"/>
        <w:rPr>
          <w:rFonts w:hint="default" w:ascii="仿宋_GB2312" w:eastAsia="仿宋_GB2312" w:hAnsiTheme="minorEastAsia"/>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）认为，</w:t>
      </w:r>
      <w:r>
        <w:rPr>
          <w:rFonts w:hint="eastAsia" w:ascii="仿宋_GB2312" w:eastAsia="仿宋_GB2312"/>
          <w:color w:val="auto"/>
          <w:sz w:val="32"/>
          <w:szCs w:val="32"/>
          <w:lang w:eastAsia="zh-CN"/>
        </w:rPr>
        <w:t>社工站在</w:t>
      </w:r>
      <w:r>
        <w:rPr>
          <w:rFonts w:hint="eastAsia" w:ascii="仿宋_GB2312" w:eastAsia="仿宋_GB2312"/>
          <w:color w:val="auto"/>
          <w:sz w:val="32"/>
          <w:szCs w:val="32"/>
          <w:lang w:val="en-US" w:eastAsia="zh-CN"/>
        </w:rPr>
        <w:t>链接资源方面积极主动。</w:t>
      </w:r>
    </w:p>
    <w:p w14:paraId="50E98C87">
      <w:pPr>
        <w:pStyle w:val="13"/>
        <w:pageBreakBefore w:val="0"/>
        <w:widowControl w:val="0"/>
        <w:kinsoku/>
        <w:wordWrap/>
        <w:overflowPunct/>
        <w:topLinePunct w:val="0"/>
        <w:autoSpaceDE/>
        <w:autoSpaceDN/>
        <w:bidi w:val="0"/>
        <w:adjustRightInd/>
        <w:snapToGrid/>
        <w:spacing w:after="0" w:line="560" w:lineRule="exact"/>
        <w:ind w:firstLine="580"/>
        <w:jc w:val="both"/>
        <w:textAlignment w:val="auto"/>
        <w:rPr>
          <w:rFonts w:ascii="仿宋_GB2312" w:eastAsia="仿宋_GB2312"/>
          <w:color w:val="auto"/>
          <w:sz w:val="32"/>
          <w:szCs w:val="32"/>
        </w:rPr>
      </w:pPr>
      <w:r>
        <w:rPr>
          <w:rFonts w:hint="eastAsia" w:ascii="仿宋_GB2312" w:hAnsi="Times New Roman" w:eastAsia="仿宋_GB2312" w:cs="Times New Roman"/>
          <w:b/>
          <w:bCs/>
          <w:color w:val="auto"/>
          <w:sz w:val="32"/>
          <w:szCs w:val="32"/>
        </w:rPr>
        <w:t>2</w:t>
      </w:r>
      <w:r>
        <w:rPr>
          <w:rFonts w:hint="eastAsia" w:ascii="仿宋_GB2312" w:eastAsia="仿宋_GB2312"/>
          <w:b/>
          <w:bCs/>
          <w:color w:val="auto"/>
          <w:sz w:val="32"/>
          <w:szCs w:val="32"/>
        </w:rPr>
        <w:t>.需要关注的地方</w:t>
      </w:r>
    </w:p>
    <w:p w14:paraId="59AC1944">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rPr>
        <w:t>购买方（</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）认为，社工站</w:t>
      </w:r>
      <w:r>
        <w:rPr>
          <w:rFonts w:hint="eastAsia" w:ascii="仿宋_GB2312" w:eastAsia="仿宋_GB2312"/>
          <w:color w:val="auto"/>
          <w:sz w:val="32"/>
          <w:szCs w:val="32"/>
          <w:lang w:eastAsia="zh-CN"/>
        </w:rPr>
        <w:t>在</w:t>
      </w:r>
      <w:r>
        <w:rPr>
          <w:rFonts w:hint="eastAsia" w:ascii="仿宋_GB2312" w:eastAsia="仿宋_GB2312"/>
          <w:color w:val="auto"/>
          <w:sz w:val="32"/>
          <w:szCs w:val="32"/>
        </w:rPr>
        <w:t>链接资源和开展活动针对17类困难群众和特殊群体的覆盖和深度还需提高。</w:t>
      </w:r>
    </w:p>
    <w:p w14:paraId="1006A018">
      <w:pPr>
        <w:pStyle w:val="13"/>
        <w:keepNext w:val="0"/>
        <w:keepLines w:val="0"/>
        <w:pageBreakBefore w:val="0"/>
        <w:widowControl w:val="0"/>
        <w:numPr>
          <w:ilvl w:val="0"/>
          <w:numId w:val="3"/>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355D0972">
      <w:pPr>
        <w:pStyle w:val="13"/>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603F044F">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61424CBD">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1）项目加强了能力提升体系建设。结合上期评估意见，以需求为导向，通过一对一面谈及建立《社工成长档案》，深入分析，精准把握社工成长需求，从而明确目标与措施，制定了培训、督导、共学三大制度与计划，为人员能力提升提供制度保障。在执行方面，内部共学明确带领人，有效调动内部督导、资深社工常态化开展主题学习，同时完善了内部督导制度，并有效落实内部督导工作。</w:t>
      </w:r>
    </w:p>
    <w:p w14:paraId="24CE65E3">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2）项目社工与村（居）、直聘社工保持常态化沟通与服务合作。项目社工通过“一社区一社工”服务模式，深入对接困难群众和特殊群体情况，精准挖掘潜在个案、小组等服务对象，同时通过与村（居）、直聘社工联合开展政策宣传、入户走访、组织慈善基金募捐、跟进应急情况及举办重大节假日活动等，实现兜底民生服务资源的精准匹配和各方优势的有效发挥。</w:t>
      </w:r>
    </w:p>
    <w:p w14:paraId="439EB7CF">
      <w:pPr>
        <w:pStyle w:val="13"/>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3）项目扎实做好信息公开与安全管理工作。在信息公开方面，项目对照民政领域社会工作相关文件及指引要求，及时动态更新《广州市社工站购买服务项目服务清单（民政领域社会工作）》等信息，确保信息公开透明，保障服务对象知情权；在安全管理方面，健全和完善相关制度及应急预案，明确安全管理责任，日常工作中严格落实安全隐患排查及消防、三防应急培训演练，有效防范各类风险隐患，保障项目安全有序运营。</w:t>
      </w:r>
    </w:p>
    <w:p w14:paraId="465C72C1">
      <w:pPr>
        <w:pStyle w:val="13"/>
        <w:pageBreakBefore w:val="0"/>
        <w:widowControl w:val="0"/>
        <w:kinsoku/>
        <w:wordWrap/>
        <w:overflowPunct/>
        <w:topLinePunct w:val="0"/>
        <w:autoSpaceDE/>
        <w:autoSpaceDN/>
        <w:bidi w:val="0"/>
        <w:adjustRightInd/>
        <w:snapToGrid/>
        <w:spacing w:after="0" w:line="560" w:lineRule="exact"/>
        <w:ind w:left="0" w:leftChars="0" w:firstLine="643" w:firstLineChars="200"/>
        <w:jc w:val="both"/>
        <w:textAlignment w:val="auto"/>
        <w:rPr>
          <w:rFonts w:ascii="仿宋_GB2312" w:hAnsi="Times New Roman" w:eastAsia="仿宋_GB2312" w:cs="Times New Roman"/>
          <w:b/>
          <w:bCs/>
          <w:color w:val="auto"/>
          <w:sz w:val="32"/>
          <w:szCs w:val="32"/>
          <w:lang w:val="zh-CN" w:eastAsia="zh-CN" w:bidi="zh-CN"/>
        </w:rPr>
      </w:pPr>
      <w:r>
        <w:rPr>
          <w:rFonts w:hint="eastAsia" w:ascii="仿宋_GB2312" w:hAnsi="Times New Roman" w:eastAsia="仿宋_GB2312" w:cs="Times New Roman"/>
          <w:b/>
          <w:bCs/>
          <w:color w:val="auto"/>
          <w:sz w:val="32"/>
          <w:szCs w:val="32"/>
          <w:lang w:val="zh-CN" w:eastAsia="zh-CN" w:bidi="zh-CN"/>
        </w:rPr>
        <w:t>2</w:t>
      </w:r>
      <w:r>
        <w:rPr>
          <w:rFonts w:ascii="仿宋_GB2312" w:hAnsi="Times New Roman" w:eastAsia="仿宋_GB2312" w:cs="Times New Roman"/>
          <w:b/>
          <w:bCs/>
          <w:color w:val="auto"/>
          <w:sz w:val="32"/>
          <w:szCs w:val="32"/>
          <w:lang w:val="zh-CN" w:eastAsia="zh-CN" w:bidi="zh-CN"/>
        </w:rPr>
        <w:t>.需要关注的地方</w:t>
      </w:r>
    </w:p>
    <w:p w14:paraId="7F40E5A6">
      <w:pPr>
        <w:pStyle w:val="13"/>
        <w:pageBreakBefore w:val="0"/>
        <w:widowControl w:val="0"/>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经评委评估分析访谈情况和查阅项目调研、服务方案等各类服务工作痕迹记录资料，该项目以下几方面需关注：</w:t>
      </w:r>
    </w:p>
    <w:p w14:paraId="0007E160">
      <w:pPr>
        <w:pStyle w:val="13"/>
        <w:pageBreakBefore w:val="0"/>
        <w:widowControl w:val="0"/>
        <w:numPr>
          <w:ilvl w:val="0"/>
          <w:numId w:val="4"/>
        </w:numPr>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需进一步优化能力提升体系的逻辑架构与成效反馈机制。建议对现有能力提升体系进行系统梳理与整合，通过归纳提炼核心要素，消除内容重复与层次不清的问题，构建目标明确、逻辑清晰、层次分明的规划框架。在成效反馈方面，应在计划实施情况总结的基础上，进一步强化结果分析与运用，呈现社工能力提升的阶段性成果，增强取得成效的客观性与科学性，推动体系运行更加高效、可持续。</w:t>
      </w:r>
    </w:p>
    <w:p w14:paraId="303DADB2">
      <w:pPr>
        <w:pStyle w:val="13"/>
        <w:pageBreakBefore w:val="0"/>
        <w:widowControl w:val="0"/>
        <w:numPr>
          <w:ilvl w:val="0"/>
          <w:numId w:val="4"/>
        </w:numPr>
        <w:kinsoku/>
        <w:wordWrap/>
        <w:overflowPunct/>
        <w:topLinePunct w:val="0"/>
        <w:autoSpaceDE/>
        <w:autoSpaceDN/>
        <w:bidi w:val="0"/>
        <w:adjustRightInd/>
        <w:snapToGrid/>
        <w:spacing w:after="0" w:line="560" w:lineRule="exact"/>
        <w:ind w:firstLine="6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双工”联动机制需进一步明确指引。建议结合实际情况，总结经验，明确项目社工与直聘社工之间的联动机制，打造具有本土化的“一社区一社工”伙伴式联动模式，以更有效地指引项目一线社工与直聘社工的沟通合作。</w:t>
      </w:r>
    </w:p>
    <w:p w14:paraId="500A8F93">
      <w:pPr>
        <w:pStyle w:val="11"/>
        <w:keepNext/>
        <w:keepLines/>
        <w:pageBreakBefore w:val="0"/>
        <w:widowControl w:val="0"/>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eastAsia="仿宋_GB2312" w:hAnsiTheme="minorEastAsia"/>
          <w:color w:val="auto"/>
          <w:sz w:val="32"/>
          <w:szCs w:val="32"/>
          <w:lang w:eastAsia="zh-CN"/>
        </w:rPr>
      </w:pP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3</w:t>
      </w:r>
      <w:r>
        <w:rPr>
          <w:rFonts w:hint="eastAsia" w:ascii="仿宋_GB2312" w:eastAsia="仿宋_GB2312" w:hAnsiTheme="minorEastAsia"/>
          <w:color w:val="auto"/>
          <w:sz w:val="32"/>
          <w:szCs w:val="32"/>
          <w:lang w:eastAsia="zh-CN"/>
        </w:rPr>
        <w:t>）项目成果宣传与经验推广工作有待加强。一方面，需持续提升团队提炼与研究能力，结合现有服务案例基础，深度剖析服务经验，形成可复制推广的实务模式与工具包，并转化为深度案例报道；另一方面，主动对接更多元的传播平台，结合宣传与服务需求，探索建立稳定深度的合作模式，有效扩大宣传广度与影响力。</w:t>
      </w:r>
    </w:p>
    <w:p w14:paraId="3FC19041">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三、评估反馈</w:t>
      </w:r>
    </w:p>
    <w:p w14:paraId="0A625A2A">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仿宋_GB2312"/>
          <w:color w:val="auto"/>
          <w:sz w:val="32"/>
          <w:szCs w:val="32"/>
        </w:rPr>
      </w:pPr>
      <w:r>
        <w:rPr>
          <w:rFonts w:hint="eastAsia" w:ascii="仿宋_GB2312" w:eastAsia="仿宋_GB2312"/>
          <w:color w:val="auto"/>
          <w:sz w:val="32"/>
          <w:szCs w:val="32"/>
        </w:rPr>
        <w:t>评估反馈主要分为两大环节，一是现场反馈环节，二是对评估报告初稿的意见反馈环节。本次</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社工站的反馈如下：</w:t>
      </w:r>
      <w:bookmarkStart w:id="40" w:name="bookmark85"/>
      <w:bookmarkEnd w:id="40"/>
    </w:p>
    <w:p w14:paraId="22E6A370">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1.现场反馈：</w:t>
      </w:r>
      <w:r>
        <w:rPr>
          <w:rFonts w:hint="eastAsia" w:ascii="仿宋_GB2312" w:eastAsia="仿宋_GB2312" w:hAnsiTheme="minorEastAsia"/>
          <w:color w:val="auto"/>
          <w:sz w:val="32"/>
          <w:szCs w:val="32"/>
          <w:lang w:eastAsia="zh-CN"/>
        </w:rPr>
        <w:t>经过为期一天的评估，评委针对</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社工站的情况，进行了现场总结反馈，在总结反馈环节，</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社工站表示对评委们提出的意见和建议无异议。</w:t>
      </w:r>
    </w:p>
    <w:p w14:paraId="42785E72">
      <w:pPr>
        <w:pStyle w:val="13"/>
        <w:pageBreakBefore w:val="0"/>
        <w:widowControl w:val="0"/>
        <w:kinsoku/>
        <w:wordWrap/>
        <w:overflowPunct/>
        <w:topLinePunct w:val="0"/>
        <w:autoSpaceDE/>
        <w:autoSpaceDN/>
        <w:bidi w:val="0"/>
        <w:adjustRightInd/>
        <w:snapToGrid/>
        <w:spacing w:after="0" w:line="560" w:lineRule="exact"/>
        <w:ind w:firstLine="720"/>
        <w:jc w:val="both"/>
        <w:textAlignment w:val="auto"/>
        <w:rPr>
          <w:rFonts w:ascii="仿宋_GB2312" w:eastAsia="仿宋_GB2312" w:hAnsiTheme="minorEastAsia"/>
          <w:color w:val="auto"/>
          <w:sz w:val="32"/>
          <w:szCs w:val="32"/>
          <w:lang w:eastAsia="zh-CN"/>
        </w:rPr>
      </w:pPr>
      <w:r>
        <w:rPr>
          <w:rFonts w:hint="eastAsia" w:ascii="仿宋_GB2312" w:eastAsia="仿宋_GB2312" w:hAnsiTheme="minorEastAsia"/>
          <w:b/>
          <w:color w:val="auto"/>
          <w:sz w:val="32"/>
          <w:szCs w:val="32"/>
          <w:lang w:eastAsia="zh-CN"/>
        </w:rPr>
        <w:t>2.对评估报告初稿的反馈：</w:t>
      </w:r>
      <w:r>
        <w:rPr>
          <w:rFonts w:hint="eastAsia" w:ascii="仿宋_GB2312" w:eastAsia="仿宋_GB2312" w:hAnsiTheme="minorEastAsia"/>
          <w:color w:val="auto"/>
          <w:sz w:val="32"/>
          <w:szCs w:val="32"/>
          <w:lang w:eastAsia="zh-CN"/>
        </w:rPr>
        <w:t>番禺区民政局、</w:t>
      </w:r>
      <w:r>
        <w:rPr>
          <w:rFonts w:hint="eastAsia" w:ascii="仿宋_GB2312" w:eastAsia="仿宋_GB2312" w:hAnsiTheme="minorEastAsia"/>
          <w:color w:val="auto"/>
          <w:sz w:val="32"/>
          <w:szCs w:val="32"/>
          <w:lang w:val="en-US" w:eastAsia="zh-CN"/>
        </w:rPr>
        <w:t>南村镇人民政府</w:t>
      </w:r>
      <w:r>
        <w:rPr>
          <w:rFonts w:hint="eastAsia" w:ascii="仿宋_GB2312" w:eastAsia="仿宋_GB2312" w:hAnsiTheme="minorEastAsia"/>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hAnsiTheme="minorEastAsia"/>
          <w:color w:val="auto"/>
          <w:sz w:val="32"/>
          <w:szCs w:val="32"/>
          <w:lang w:eastAsia="zh-CN"/>
        </w:rPr>
        <w:t>社工站对评估报告初稿无异议。</w:t>
      </w:r>
    </w:p>
    <w:p w14:paraId="7ABC453F">
      <w:pPr>
        <w:pStyle w:val="11"/>
        <w:keepNext/>
        <w:keepLines/>
        <w:pageBreakBefore w:val="0"/>
        <w:widowControl w:val="0"/>
        <w:kinsoku/>
        <w:wordWrap/>
        <w:overflowPunct/>
        <w:topLinePunct w:val="0"/>
        <w:autoSpaceDE/>
        <w:autoSpaceDN/>
        <w:bidi w:val="0"/>
        <w:adjustRightInd/>
        <w:snapToGrid/>
        <w:spacing w:before="0" w:after="0" w:line="560" w:lineRule="exact"/>
        <w:ind w:firstLine="643" w:firstLineChars="200"/>
        <w:jc w:val="both"/>
        <w:textAlignment w:val="auto"/>
        <w:rPr>
          <w:rFonts w:ascii="方正小标宋简体" w:eastAsia="方正小标宋简体"/>
          <w:b/>
          <w:bCs/>
          <w:color w:val="auto"/>
          <w:sz w:val="32"/>
          <w:szCs w:val="28"/>
          <w:lang w:val="en-US"/>
        </w:rPr>
      </w:pPr>
      <w:bookmarkStart w:id="41" w:name="bookmark86"/>
      <w:r>
        <w:rPr>
          <w:rFonts w:hint="eastAsia" w:ascii="方正小标宋简体" w:eastAsia="方正小标宋简体"/>
          <w:b/>
          <w:bCs/>
          <w:color w:val="auto"/>
          <w:sz w:val="32"/>
          <w:szCs w:val="28"/>
          <w:lang w:val="en-US"/>
        </w:rPr>
        <w:t>四</w:t>
      </w:r>
      <w:bookmarkEnd w:id="41"/>
      <w:r>
        <w:rPr>
          <w:rFonts w:hint="eastAsia" w:ascii="方正小标宋简体" w:eastAsia="方正小标宋简体"/>
          <w:b/>
          <w:bCs/>
          <w:color w:val="auto"/>
          <w:sz w:val="32"/>
          <w:szCs w:val="28"/>
          <w:lang w:val="en-US"/>
        </w:rPr>
        <w:t>、评估等级</w:t>
      </w:r>
    </w:p>
    <w:p w14:paraId="07476F85">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1DFB7A2D">
      <w:pPr>
        <w:pStyle w:val="13"/>
        <w:pageBreakBefore w:val="0"/>
        <w:widowControl w:val="0"/>
        <w:kinsoku/>
        <w:wordWrap/>
        <w:overflowPunct/>
        <w:topLinePunct w:val="0"/>
        <w:autoSpaceDE/>
        <w:autoSpaceDN/>
        <w:bidi w:val="0"/>
        <w:adjustRightInd/>
        <w:snapToGrid/>
        <w:spacing w:after="120" w:line="560" w:lineRule="exact"/>
        <w:ind w:firstLine="640"/>
        <w:jc w:val="both"/>
        <w:textAlignment w:val="auto"/>
        <w:rPr>
          <w:rFonts w:ascii="仿宋_GB2312" w:eastAsia="PMingLiU"/>
          <w:color w:val="auto"/>
          <w:sz w:val="32"/>
          <w:szCs w:val="32"/>
          <w:highlight w:val="none"/>
        </w:rPr>
      </w:pPr>
      <w:r>
        <w:rPr>
          <w:rFonts w:hint="eastAsia" w:ascii="仿宋_GB2312" w:eastAsia="仿宋_GB2312"/>
          <w:color w:val="auto"/>
          <w:sz w:val="32"/>
          <w:szCs w:val="32"/>
        </w:rPr>
        <w:t>经过评估</w:t>
      </w:r>
      <w:r>
        <w:rPr>
          <w:rFonts w:hint="eastAsia" w:ascii="仿宋_GB2312" w:eastAsia="仿宋_GB2312"/>
          <w:color w:val="auto"/>
          <w:sz w:val="32"/>
          <w:szCs w:val="32"/>
          <w:lang w:eastAsia="zh-CN"/>
        </w:rPr>
        <w:t>，</w:t>
      </w: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社工站本次</w:t>
      </w:r>
      <w:r>
        <w:rPr>
          <w:rFonts w:hint="eastAsia" w:ascii="仿宋_GB2312" w:eastAsia="仿宋_GB2312"/>
          <w:color w:val="auto"/>
          <w:sz w:val="32"/>
          <w:szCs w:val="32"/>
          <w:lang w:eastAsia="zh-CN"/>
        </w:rPr>
        <w:t>中期</w:t>
      </w:r>
      <w:r>
        <w:rPr>
          <w:rFonts w:hint="eastAsia" w:ascii="仿宋_GB2312" w:eastAsia="仿宋_GB2312"/>
          <w:color w:val="auto"/>
          <w:sz w:val="32"/>
          <w:szCs w:val="32"/>
        </w:rPr>
        <w:t>评估的等级为</w:t>
      </w:r>
      <w:r>
        <w:rPr>
          <w:rFonts w:hint="eastAsia" w:ascii="仿宋_GB2312" w:eastAsia="仿宋_GB2312"/>
          <w:b/>
          <w:bCs w:val="0"/>
          <w:color w:val="auto"/>
          <w:sz w:val="32"/>
          <w:szCs w:val="32"/>
          <w:highlight w:val="none"/>
        </w:rPr>
        <w:t>“</w:t>
      </w:r>
      <w:r>
        <w:rPr>
          <w:rFonts w:hint="eastAsia" w:ascii="仿宋_GB2312" w:hAnsi="仿宋_GB2312" w:eastAsia="仿宋_GB2312" w:cs="仿宋_GB2312"/>
          <w:b/>
          <w:bCs w:val="0"/>
          <w:sz w:val="32"/>
          <w:szCs w:val="32"/>
          <w:lang w:val="en-US" w:eastAsia="zh-CN" w:bidi="ar"/>
        </w:rPr>
        <w:t>良好</w:t>
      </w:r>
      <w:r>
        <w:rPr>
          <w:rFonts w:hint="eastAsia" w:ascii="仿宋_GB2312" w:eastAsia="仿宋_GB2312"/>
          <w:b/>
          <w:bCs w:val="0"/>
          <w:color w:val="auto"/>
          <w:sz w:val="32"/>
          <w:szCs w:val="32"/>
          <w:highlight w:val="none"/>
        </w:rPr>
        <w:t>”</w:t>
      </w:r>
      <w:r>
        <w:rPr>
          <w:rFonts w:hint="eastAsia" w:ascii="仿宋_GB2312" w:eastAsia="仿宋_GB2312"/>
          <w:b/>
          <w:bCs w:val="0"/>
          <w:color w:val="auto"/>
          <w:sz w:val="32"/>
          <w:szCs w:val="32"/>
          <w:highlight w:val="none"/>
          <w:lang w:eastAsia="zh-CN"/>
        </w:rPr>
        <w:t>（</w:t>
      </w:r>
      <w:r>
        <w:rPr>
          <w:rFonts w:hint="eastAsia" w:ascii="仿宋_GB2312" w:hAnsi="仿宋_GB2312" w:eastAsia="仿宋_GB2312" w:cs="仿宋_GB2312"/>
          <w:b/>
          <w:bCs w:val="0"/>
          <w:sz w:val="32"/>
          <w:szCs w:val="32"/>
          <w:lang w:val="en-US" w:eastAsia="zh-CN" w:bidi="ar"/>
        </w:rPr>
        <w:t>86.17</w:t>
      </w:r>
      <w:r>
        <w:rPr>
          <w:rFonts w:ascii="仿宋_GB2312" w:eastAsia="仿宋_GB2312"/>
          <w:b/>
          <w:bCs w:val="0"/>
          <w:sz w:val="32"/>
          <w:szCs w:val="32"/>
          <w:highlight w:val="none"/>
          <w:lang w:val="en-US" w:eastAsia="zh-CN"/>
        </w:rPr>
        <w:t>分</w:t>
      </w:r>
      <w:r>
        <w:rPr>
          <w:rFonts w:hint="eastAsia" w:ascii="仿宋_GB2312" w:eastAsia="仿宋_GB2312"/>
          <w:b/>
          <w:bCs w:val="0"/>
          <w:color w:val="auto"/>
          <w:sz w:val="32"/>
          <w:szCs w:val="32"/>
          <w:highlight w:val="none"/>
          <w:lang w:eastAsia="zh-CN"/>
        </w:rPr>
        <w:t>）</w:t>
      </w:r>
      <w:r>
        <w:rPr>
          <w:rFonts w:hint="eastAsia" w:ascii="仿宋_GB2312" w:eastAsia="仿宋_GB2312"/>
          <w:color w:val="auto"/>
          <w:sz w:val="32"/>
          <w:szCs w:val="32"/>
          <w:highlight w:val="none"/>
        </w:rPr>
        <w:t>。</w:t>
      </w:r>
    </w:p>
    <w:p w14:paraId="203E1C02">
      <w:pPr>
        <w:pStyle w:val="13"/>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bookmarkStart w:id="43" w:name="_GoBack"/>
      <w:bookmarkEnd w:id="43"/>
      <w:r>
        <w:rPr>
          <w:rFonts w:hint="eastAsia" w:ascii="仿宋_GB2312" w:eastAsia="仿宋_GB2312"/>
          <w:sz w:val="32"/>
          <w:szCs w:val="32"/>
          <w:lang w:val="en-US" w:eastAsia="zh-CN"/>
        </w:rPr>
        <w:t>以下是详细的评分情况：</w:t>
      </w:r>
    </w:p>
    <w:tbl>
      <w:tblPr>
        <w:tblStyle w:val="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6"/>
        <w:gridCol w:w="1508"/>
        <w:gridCol w:w="1514"/>
        <w:gridCol w:w="1757"/>
      </w:tblGrid>
      <w:tr w14:paraId="3C92C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E844103">
            <w:pPr>
              <w:pStyle w:val="13"/>
              <w:spacing w:after="0" w:line="560" w:lineRule="exact"/>
              <w:jc w:val="center"/>
              <w:rPr>
                <w:rFonts w:ascii="仿宋_GB2312" w:hAnsi="仿宋_GB2312" w:eastAsia="仿宋_GB2312" w:cs="仿宋_GB2312"/>
                <w:b/>
                <w:bCs/>
                <w:lang w:val="en-US" w:eastAsia="zh-CN"/>
              </w:rPr>
            </w:pPr>
            <w:bookmarkStart w:id="42" w:name="bookmark87"/>
            <w:r>
              <w:rPr>
                <w:rFonts w:hint="eastAsia" w:ascii="仿宋_GB2312" w:hAnsi="仿宋_GB2312" w:eastAsia="仿宋_GB2312" w:cs="仿宋_GB2312"/>
                <w:b/>
                <w:bCs/>
                <w:lang w:val="en-US" w:eastAsia="zh-CN"/>
              </w:rPr>
              <w:t>评估内容</w:t>
            </w:r>
          </w:p>
        </w:tc>
        <w:tc>
          <w:tcPr>
            <w:tcW w:w="728" w:type="pct"/>
            <w:noWrap w:val="0"/>
            <w:vAlign w:val="center"/>
          </w:tcPr>
          <w:p w14:paraId="1CC8FE4B">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91A1CF0">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6D7B3BED">
            <w:pPr>
              <w:pStyle w:val="13"/>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0226F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B0B8CF9">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442BEF1E">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11F21196">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45.97</w:t>
            </w:r>
          </w:p>
        </w:tc>
        <w:tc>
          <w:tcPr>
            <w:tcW w:w="848" w:type="pct"/>
            <w:noWrap w:val="0"/>
            <w:vAlign w:val="center"/>
          </w:tcPr>
          <w:p w14:paraId="1455733F">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45.97</w:t>
            </w:r>
          </w:p>
        </w:tc>
      </w:tr>
      <w:tr w14:paraId="387AF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7B6CF4B">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购买方</w:t>
            </w:r>
          </w:p>
        </w:tc>
        <w:tc>
          <w:tcPr>
            <w:tcW w:w="728" w:type="pct"/>
            <w:noWrap w:val="0"/>
            <w:vAlign w:val="center"/>
          </w:tcPr>
          <w:p w14:paraId="0C4DDAD1">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1B586B3C">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18.5</w:t>
            </w:r>
          </w:p>
        </w:tc>
        <w:tc>
          <w:tcPr>
            <w:tcW w:w="848" w:type="pct"/>
            <w:noWrap w:val="0"/>
            <w:vAlign w:val="center"/>
          </w:tcPr>
          <w:p w14:paraId="59DBADD4">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18.5</w:t>
            </w:r>
          </w:p>
        </w:tc>
      </w:tr>
      <w:tr w14:paraId="0D63E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3830B5BD">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57A8AA9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4562F393">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12.8</w:t>
            </w:r>
          </w:p>
        </w:tc>
        <w:tc>
          <w:tcPr>
            <w:tcW w:w="848" w:type="pct"/>
            <w:noWrap w:val="0"/>
            <w:vAlign w:val="center"/>
          </w:tcPr>
          <w:p w14:paraId="14ABF1A5">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12.8</w:t>
            </w:r>
          </w:p>
        </w:tc>
      </w:tr>
      <w:tr w14:paraId="2856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53024531">
            <w:pPr>
              <w:widowControl/>
              <w:jc w:val="center"/>
              <w:textAlignment w:val="center"/>
              <w:rPr>
                <w:rFonts w:ascii="仿宋_GB2312" w:hAnsi="仿宋_GB2312" w:eastAsia="仿宋_GB2312" w:cs="仿宋_GB2312"/>
                <w:sz w:val="28"/>
                <w:szCs w:val="28"/>
                <w:lang w:eastAsia="zh-CN" w:bidi="ar"/>
              </w:rPr>
            </w:pPr>
            <w:r>
              <w:rPr>
                <w:rStyle w:val="32"/>
                <w:rFonts w:hint="default" w:ascii="仿宋_GB2312" w:hAnsi="仿宋_GB2312" w:eastAsia="仿宋_GB2312" w:cs="仿宋_GB2312"/>
                <w:sz w:val="28"/>
                <w:szCs w:val="28"/>
                <w:lang w:eastAsia="zh-CN" w:bidi="ar"/>
              </w:rPr>
              <w:t>监督方</w:t>
            </w:r>
          </w:p>
        </w:tc>
        <w:tc>
          <w:tcPr>
            <w:tcW w:w="728" w:type="pct"/>
            <w:noWrap w:val="0"/>
            <w:vAlign w:val="center"/>
          </w:tcPr>
          <w:p w14:paraId="5BAB7B9D">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18786EDA">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8.9</w:t>
            </w:r>
          </w:p>
        </w:tc>
        <w:tc>
          <w:tcPr>
            <w:tcW w:w="848" w:type="pct"/>
            <w:noWrap w:val="0"/>
            <w:vAlign w:val="center"/>
          </w:tcPr>
          <w:p w14:paraId="778F43DB">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8.9</w:t>
            </w:r>
          </w:p>
        </w:tc>
      </w:tr>
      <w:tr w14:paraId="11AC5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4FBA923C">
            <w:pPr>
              <w:pStyle w:val="13"/>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16C1C272">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sz w:val="28"/>
                <w:szCs w:val="28"/>
                <w:lang w:val="en-US" w:eastAsia="zh-CN" w:bidi="ar"/>
              </w:rPr>
              <w:t>86.17</w:t>
            </w:r>
          </w:p>
        </w:tc>
      </w:tr>
    </w:tbl>
    <w:p w14:paraId="10EF87DB">
      <w:pPr>
        <w:pStyle w:val="11"/>
        <w:keepNext/>
        <w:keepLines/>
        <w:spacing w:before="0" w:after="0" w:line="560" w:lineRule="exact"/>
        <w:ind w:firstLine="643" w:firstLineChars="200"/>
        <w:jc w:val="both"/>
        <w:rPr>
          <w:rFonts w:ascii="方正小标宋简体" w:eastAsia="方正小标宋简体"/>
          <w:b/>
          <w:bCs/>
          <w:color w:val="auto"/>
          <w:sz w:val="32"/>
          <w:szCs w:val="28"/>
          <w:lang w:val="en-US"/>
        </w:rPr>
      </w:pPr>
      <w:r>
        <w:rPr>
          <w:rFonts w:hint="eastAsia" w:ascii="方正小标宋简体" w:eastAsia="方正小标宋简体"/>
          <w:b/>
          <w:bCs/>
          <w:color w:val="auto"/>
          <w:sz w:val="32"/>
          <w:szCs w:val="28"/>
          <w:lang w:val="en-US"/>
        </w:rPr>
        <w:t>五</w:t>
      </w:r>
      <w:bookmarkEnd w:id="42"/>
      <w:r>
        <w:rPr>
          <w:rFonts w:hint="eastAsia" w:ascii="方正小标宋简体" w:eastAsia="方正小标宋简体"/>
          <w:b/>
          <w:bCs/>
          <w:color w:val="auto"/>
          <w:sz w:val="32"/>
          <w:szCs w:val="28"/>
          <w:lang w:val="en-US"/>
        </w:rPr>
        <w:t>、结语</w:t>
      </w:r>
    </w:p>
    <w:p w14:paraId="248C1F00">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仿宋_GB2312" w:eastAsia="仿宋_GB2312"/>
          <w:color w:val="auto"/>
          <w:sz w:val="32"/>
          <w:szCs w:val="32"/>
          <w:lang w:val="en-US" w:eastAsia="zh-CN"/>
        </w:rPr>
      </w:pPr>
      <w:r>
        <w:rPr>
          <w:rFonts w:hint="eastAsia" w:ascii="仿宋_GB2312" w:eastAsia="仿宋_GB2312" w:hAnsiTheme="minorEastAsia"/>
          <w:color w:val="auto"/>
          <w:sz w:val="32"/>
          <w:szCs w:val="32"/>
          <w:lang w:val="en-US" w:eastAsia="zh-CN"/>
        </w:rPr>
        <w:t>南村镇西片</w:t>
      </w:r>
      <w:r>
        <w:rPr>
          <w:rFonts w:hint="eastAsia" w:ascii="仿宋_GB2312" w:eastAsia="仿宋_GB2312"/>
          <w:color w:val="auto"/>
          <w:sz w:val="32"/>
          <w:szCs w:val="32"/>
        </w:rPr>
        <w:t>社工服务站在番禺区民政局、</w:t>
      </w:r>
      <w:r>
        <w:rPr>
          <w:rFonts w:hint="eastAsia" w:ascii="仿宋_GB2312" w:eastAsia="仿宋_GB2312"/>
          <w:color w:val="auto"/>
          <w:sz w:val="32"/>
          <w:szCs w:val="32"/>
          <w:lang w:val="en-US" w:eastAsia="zh-CN"/>
        </w:rPr>
        <w:t>南村镇党委</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南村镇人民政府</w:t>
      </w:r>
      <w:r>
        <w:rPr>
          <w:rFonts w:hint="eastAsia" w:ascii="仿宋_GB2312" w:eastAsia="仿宋_GB2312"/>
          <w:color w:val="auto"/>
          <w:sz w:val="32"/>
          <w:szCs w:val="32"/>
        </w:rPr>
        <w:t>的大力支持下，在</w:t>
      </w:r>
      <w:r>
        <w:rPr>
          <w:rFonts w:hint="eastAsia" w:ascii="仿宋_GB2312" w:eastAsia="仿宋_GB2312"/>
          <w:color w:val="auto"/>
          <w:sz w:val="32"/>
          <w:szCs w:val="32"/>
          <w:lang w:val="en-US" w:eastAsia="zh-CN"/>
        </w:rPr>
        <w:t>广州市南沙区百民社会</w:t>
      </w:r>
      <w:r>
        <w:rPr>
          <w:rFonts w:hint="eastAsia" w:ascii="仿宋_GB2312" w:eastAsia="仿宋_GB2312"/>
          <w:color w:val="auto"/>
          <w:sz w:val="32"/>
          <w:szCs w:val="32"/>
        </w:rPr>
        <w:t>工作服务</w:t>
      </w:r>
      <w:r>
        <w:rPr>
          <w:rFonts w:hint="eastAsia" w:ascii="仿宋_GB2312" w:eastAsia="仿宋_GB2312"/>
          <w:color w:val="auto"/>
          <w:sz w:val="32"/>
          <w:szCs w:val="32"/>
          <w:lang w:eastAsia="zh-CN"/>
        </w:rPr>
        <w:t>中心</w:t>
      </w:r>
      <w:r>
        <w:rPr>
          <w:rFonts w:hint="eastAsia" w:ascii="仿宋_GB2312" w:eastAsia="仿宋_GB2312"/>
          <w:color w:val="auto"/>
          <w:sz w:val="32"/>
          <w:szCs w:val="32"/>
        </w:rPr>
        <w:t>的努力下，</w:t>
      </w:r>
      <w:r>
        <w:rPr>
          <w:rFonts w:hint="eastAsia" w:ascii="仿宋_GB2312" w:eastAsia="仿宋_GB2312"/>
          <w:color w:val="auto"/>
          <w:sz w:val="32"/>
          <w:szCs w:val="32"/>
          <w:lang w:val="en-US" w:eastAsia="zh-CN"/>
        </w:rPr>
        <w:t>社工站有效改进了专业规范管理，社工工作态度认真，能够按协议配备人员，稳岗率较高；宣传工作扎实推进，关注兜底人群服务，与村（居）、直聘社工保持常态化沟通与服务合作，服务满意度较高。</w:t>
      </w:r>
    </w:p>
    <w:p w14:paraId="0A06A907">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建议社工站关注</w:t>
      </w:r>
      <w:r>
        <w:rPr>
          <w:rFonts w:hint="eastAsia" w:ascii="仿宋_GB2312" w:eastAsia="仿宋_GB2312"/>
          <w:color w:val="auto"/>
          <w:sz w:val="32"/>
          <w:szCs w:val="32"/>
          <w:lang w:eastAsia="zh-CN"/>
        </w:rPr>
        <w:t>社区慈善基金筹款过程中社工作用的发挥及成效，进一步为困难群众和特殊群众提高探访、电访服务的质量，严格按照分级标准提供频次相符、服务内容匹配的服务，</w:t>
      </w:r>
      <w:r>
        <w:rPr>
          <w:rFonts w:hint="eastAsia" w:ascii="仿宋_GB2312" w:eastAsia="仿宋_GB2312"/>
          <w:color w:val="auto"/>
          <w:sz w:val="32"/>
          <w:szCs w:val="32"/>
          <w:lang w:val="en-US" w:eastAsia="zh-CN"/>
        </w:rPr>
        <w:t>优化能力提升体系的逻辑架构与成效反馈机制，需持续提升团队提炼与研究能力，结合现有服务案例基础，深度剖析服务经验，形成可复制推广的实务模式与工具包，并转化为深度案例报道。</w:t>
      </w:r>
    </w:p>
    <w:p w14:paraId="6FAB33AE">
      <w:pPr>
        <w:pStyle w:val="13"/>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lang w:val="en-US" w:eastAsia="zh-CN"/>
        </w:rPr>
      </w:pPr>
    </w:p>
    <w:p w14:paraId="306DE2C8">
      <w:pPr>
        <w:pStyle w:val="13"/>
        <w:spacing w:after="160" w:line="560" w:lineRule="exact"/>
        <w:ind w:firstLine="640"/>
        <w:jc w:val="both"/>
        <w:rPr>
          <w:rFonts w:ascii="仿宋_GB2312" w:eastAsia="仿宋_GB2312"/>
          <w:color w:val="auto"/>
          <w:sz w:val="32"/>
          <w:szCs w:val="32"/>
        </w:rPr>
      </w:pPr>
      <w:r>
        <w:rPr>
          <w:rFonts w:hint="eastAsia" w:ascii="仿宋_GB2312" w:eastAsia="仿宋_GB2312"/>
          <w:color w:val="auto"/>
          <w:sz w:val="32"/>
          <w:szCs w:val="32"/>
        </w:rPr>
        <w:t>附件：</w:t>
      </w:r>
      <w:r>
        <w:rPr>
          <w:rFonts w:hint="eastAsia" w:ascii="仿宋_GB2312" w:hAnsi="Times New Roman" w:eastAsia="仿宋_GB2312" w:cs="Times New Roman"/>
          <w:color w:val="auto"/>
          <w:sz w:val="32"/>
          <w:szCs w:val="32"/>
        </w:rPr>
        <w:t>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社工服务站指标完成情况统计表</w:t>
      </w:r>
    </w:p>
    <w:p w14:paraId="7306E00A">
      <w:pPr>
        <w:pStyle w:val="13"/>
        <w:spacing w:after="160" w:line="560" w:lineRule="exact"/>
        <w:ind w:firstLine="1600" w:firstLineChars="500"/>
        <w:jc w:val="both"/>
        <w:rPr>
          <w:rFonts w:eastAsia="PMingLiU"/>
          <w:color w:val="auto"/>
          <w:lang w:eastAsia="zh-CN"/>
        </w:rPr>
      </w:pPr>
      <w:r>
        <w:rPr>
          <w:rFonts w:hint="eastAsia" w:ascii="仿宋_GB2312" w:hAnsi="Times New Roman" w:eastAsia="仿宋_GB2312" w:cs="Times New Roman"/>
          <w:color w:val="auto"/>
          <w:sz w:val="32"/>
          <w:szCs w:val="32"/>
        </w:rPr>
        <w:t>2</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南村镇西片</w:t>
      </w:r>
      <w:r>
        <w:rPr>
          <w:rFonts w:hint="eastAsia" w:ascii="仿宋_GB2312" w:eastAsia="仿宋_GB2312"/>
          <w:color w:val="auto"/>
          <w:sz w:val="32"/>
          <w:szCs w:val="32"/>
        </w:rPr>
        <w:t>社工服务站工作人员情况统计表</w:t>
      </w:r>
    </w:p>
    <w:p w14:paraId="7E52995E">
      <w:pPr>
        <w:pStyle w:val="2"/>
        <w:pageBreakBefore w:val="0"/>
        <w:widowControl w:val="0"/>
        <w:kinsoku/>
        <w:wordWrap/>
        <w:overflowPunct/>
        <w:topLinePunct w:val="0"/>
        <w:autoSpaceDE/>
        <w:autoSpaceDN/>
        <w:bidi w:val="0"/>
        <w:adjustRightInd/>
        <w:snapToGrid/>
        <w:spacing w:line="560" w:lineRule="exact"/>
        <w:textAlignment w:val="auto"/>
        <w:rPr>
          <w:lang w:eastAsia="zh-CN"/>
        </w:rPr>
      </w:pPr>
    </w:p>
    <w:p w14:paraId="4558AF94">
      <w:pPr>
        <w:tabs>
          <w:tab w:val="left" w:pos="7330"/>
        </w:tabs>
        <w:spacing w:line="560" w:lineRule="exact"/>
        <w:ind w:firstLine="5120" w:firstLineChars="1600"/>
        <w:jc w:val="both"/>
        <w:rPr>
          <w:rFonts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广州市番禺区社会组织联合会</w:t>
      </w:r>
    </w:p>
    <w:p w14:paraId="2D205D60">
      <w:pPr>
        <w:tabs>
          <w:tab w:val="left" w:pos="7330"/>
        </w:tabs>
        <w:spacing w:line="560" w:lineRule="exact"/>
        <w:ind w:firstLine="6080" w:firstLineChars="1900"/>
        <w:jc w:val="both"/>
        <w:rPr>
          <w:lang w:val="en-US" w:eastAsia="zh-CN"/>
        </w:rPr>
      </w:pPr>
      <w:r>
        <w:rPr>
          <w:rFonts w:hint="eastAsia" w:ascii="仿宋_GB2312" w:hAnsi="仿宋_GB2312" w:eastAsia="仿宋_GB2312" w:cs="仿宋_GB2312"/>
          <w:color w:val="auto"/>
          <w:sz w:val="32"/>
          <w:szCs w:val="32"/>
          <w:lang w:eastAsia="zh-CN"/>
        </w:rPr>
        <w:t>202</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lang w:eastAsia="zh-CN"/>
        </w:rPr>
        <w:t>年</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lang w:eastAsia="zh-CN"/>
        </w:rPr>
        <w:t>日</w:t>
      </w:r>
    </w:p>
    <w:sectPr>
      <w:footerReference r:id="rId3" w:type="default"/>
      <w:footerReference r:id="rId4" w:type="even"/>
      <w:pgSz w:w="11900" w:h="16840"/>
      <w:pgMar w:top="1301" w:right="876" w:bottom="1373" w:left="885" w:header="457" w:footer="44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4CAF9">
    <w:pPr>
      <w:pStyle w:val="5"/>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FF93B9">
                          <w:pPr>
                            <w:pStyle w:val="5"/>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8FF93B9">
                    <w:pPr>
                      <w:pStyle w:val="5"/>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E71A4">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EF6E9">
                          <w:pPr>
                            <w:pStyle w:val="5"/>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1B0EF6E9">
                    <w:pPr>
                      <w:pStyle w:val="5"/>
                    </w:pPr>
                    <w:r>
                      <w:fldChar w:fldCharType="begin"/>
                    </w:r>
                    <w:r>
                      <w:instrText xml:space="preserve"> PAGE  \* MERGEFORMAT </w:instrText>
                    </w:r>
                    <w:r>
                      <w:fldChar w:fldCharType="separate"/>
                    </w:r>
                    <w:r>
                      <w:t>18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7B3DEE"/>
    <w:multiLevelType w:val="singleLevel"/>
    <w:tmpl w:val="917B3DEE"/>
    <w:lvl w:ilvl="0" w:tentative="0">
      <w:start w:val="1"/>
      <w:numFmt w:val="decimal"/>
      <w:suff w:val="nothing"/>
      <w:lvlText w:val="（%1）"/>
      <w:lvlJc w:val="left"/>
    </w:lvl>
  </w:abstractNum>
  <w:abstractNum w:abstractNumId="1">
    <w:nsid w:val="C7167EC6"/>
    <w:multiLevelType w:val="singleLevel"/>
    <w:tmpl w:val="C7167EC6"/>
    <w:lvl w:ilvl="0" w:tentative="0">
      <w:start w:val="7"/>
      <w:numFmt w:val="chineseCounting"/>
      <w:suff w:val="nothing"/>
      <w:lvlText w:val="（%1）"/>
      <w:lvlJc w:val="left"/>
      <w:rPr>
        <w:rFonts w:hint="eastAsia"/>
      </w:rPr>
    </w:lvl>
  </w:abstractNum>
  <w:abstractNum w:abstractNumId="2">
    <w:nsid w:val="00000004"/>
    <w:multiLevelType w:val="singleLevel"/>
    <w:tmpl w:val="00000004"/>
    <w:lvl w:ilvl="0" w:tentative="0">
      <w:start w:val="1"/>
      <w:numFmt w:val="decimal"/>
      <w:lvlText w:val="%1."/>
      <w:lvlJc w:val="left"/>
      <w:rPr>
        <w:rFonts w:ascii="Times New Roman" w:hAnsi="Times New Roman" w:eastAsia="Times New Roman" w:cs="Times New Roman"/>
        <w:b/>
        <w:bCs/>
        <w:i w:val="0"/>
        <w:iCs w:val="0"/>
        <w:smallCaps w:val="0"/>
        <w:color w:val="000000"/>
        <w:spacing w:val="0"/>
        <w:w w:val="100"/>
        <w:position w:val="0"/>
        <w:sz w:val="30"/>
        <w:szCs w:val="30"/>
        <w:u w:val="none"/>
        <w:shd w:val="clear" w:color="auto" w:fill="auto"/>
        <w:lang w:val="zh-TW" w:eastAsia="zh-TW" w:bidi="zh-TW"/>
      </w:rPr>
    </w:lvl>
  </w:abstractNum>
  <w:abstractNum w:abstractNumId="3">
    <w:nsid w:val="6EC500CD"/>
    <w:multiLevelType w:val="singleLevel"/>
    <w:tmpl w:val="6EC500CD"/>
    <w:lvl w:ilvl="0" w:tentative="0">
      <w:start w:val="4"/>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40785D"/>
    <w:rsid w:val="000628D7"/>
    <w:rsid w:val="000653D4"/>
    <w:rsid w:val="000669A8"/>
    <w:rsid w:val="000707EC"/>
    <w:rsid w:val="00153735"/>
    <w:rsid w:val="001543BA"/>
    <w:rsid w:val="001D6D30"/>
    <w:rsid w:val="002C77AF"/>
    <w:rsid w:val="0031205B"/>
    <w:rsid w:val="003261A9"/>
    <w:rsid w:val="00346C72"/>
    <w:rsid w:val="00347385"/>
    <w:rsid w:val="003878B8"/>
    <w:rsid w:val="003B4EB3"/>
    <w:rsid w:val="003D31DC"/>
    <w:rsid w:val="003E34FA"/>
    <w:rsid w:val="0040785D"/>
    <w:rsid w:val="0046241A"/>
    <w:rsid w:val="004A7570"/>
    <w:rsid w:val="004B3BEE"/>
    <w:rsid w:val="004C2DF8"/>
    <w:rsid w:val="004D431C"/>
    <w:rsid w:val="004F3EE1"/>
    <w:rsid w:val="004F7E29"/>
    <w:rsid w:val="00567037"/>
    <w:rsid w:val="00584628"/>
    <w:rsid w:val="00587928"/>
    <w:rsid w:val="005A2068"/>
    <w:rsid w:val="005D4F1A"/>
    <w:rsid w:val="00614C46"/>
    <w:rsid w:val="0062173D"/>
    <w:rsid w:val="006275E1"/>
    <w:rsid w:val="006538C0"/>
    <w:rsid w:val="006A0A99"/>
    <w:rsid w:val="006D594E"/>
    <w:rsid w:val="00710916"/>
    <w:rsid w:val="00714A48"/>
    <w:rsid w:val="00741C47"/>
    <w:rsid w:val="00775F46"/>
    <w:rsid w:val="00780069"/>
    <w:rsid w:val="007D05BA"/>
    <w:rsid w:val="008216CC"/>
    <w:rsid w:val="00840E3F"/>
    <w:rsid w:val="00873946"/>
    <w:rsid w:val="00893F1F"/>
    <w:rsid w:val="008D7F4E"/>
    <w:rsid w:val="008E6CB5"/>
    <w:rsid w:val="00922FBC"/>
    <w:rsid w:val="00923280"/>
    <w:rsid w:val="0092338A"/>
    <w:rsid w:val="00941150"/>
    <w:rsid w:val="0097122E"/>
    <w:rsid w:val="00981EBA"/>
    <w:rsid w:val="00991B02"/>
    <w:rsid w:val="009B278D"/>
    <w:rsid w:val="00A053E1"/>
    <w:rsid w:val="00A30B74"/>
    <w:rsid w:val="00A909D6"/>
    <w:rsid w:val="00A94F7B"/>
    <w:rsid w:val="00B46E65"/>
    <w:rsid w:val="00B519CD"/>
    <w:rsid w:val="00B63718"/>
    <w:rsid w:val="00B723D6"/>
    <w:rsid w:val="00B72C15"/>
    <w:rsid w:val="00B910E4"/>
    <w:rsid w:val="00B963AF"/>
    <w:rsid w:val="00BD3AE1"/>
    <w:rsid w:val="00C1200D"/>
    <w:rsid w:val="00C25A91"/>
    <w:rsid w:val="00C43B75"/>
    <w:rsid w:val="00C473FF"/>
    <w:rsid w:val="00C504C0"/>
    <w:rsid w:val="00C56F8F"/>
    <w:rsid w:val="00C80652"/>
    <w:rsid w:val="00C95142"/>
    <w:rsid w:val="00C97B30"/>
    <w:rsid w:val="00CD36BA"/>
    <w:rsid w:val="00CD7A0E"/>
    <w:rsid w:val="00CE0DC3"/>
    <w:rsid w:val="00D24F5D"/>
    <w:rsid w:val="00D930C4"/>
    <w:rsid w:val="00D95067"/>
    <w:rsid w:val="00DB425A"/>
    <w:rsid w:val="00DD2355"/>
    <w:rsid w:val="00DD5901"/>
    <w:rsid w:val="00DE4F4A"/>
    <w:rsid w:val="00E1379F"/>
    <w:rsid w:val="00E96C76"/>
    <w:rsid w:val="00EB23CE"/>
    <w:rsid w:val="00EF786E"/>
    <w:rsid w:val="00F00D84"/>
    <w:rsid w:val="00F03905"/>
    <w:rsid w:val="00F621C4"/>
    <w:rsid w:val="00F74221"/>
    <w:rsid w:val="00F7505A"/>
    <w:rsid w:val="00FA40E6"/>
    <w:rsid w:val="00FE6AC9"/>
    <w:rsid w:val="016941A0"/>
    <w:rsid w:val="043B2EAD"/>
    <w:rsid w:val="05CD061E"/>
    <w:rsid w:val="080849AF"/>
    <w:rsid w:val="09BA0A50"/>
    <w:rsid w:val="0CED1904"/>
    <w:rsid w:val="0E5660BB"/>
    <w:rsid w:val="1083680B"/>
    <w:rsid w:val="122C2101"/>
    <w:rsid w:val="12473866"/>
    <w:rsid w:val="1351449B"/>
    <w:rsid w:val="138C2E16"/>
    <w:rsid w:val="143B7776"/>
    <w:rsid w:val="17034184"/>
    <w:rsid w:val="19F45A67"/>
    <w:rsid w:val="1BB33DA5"/>
    <w:rsid w:val="21635C00"/>
    <w:rsid w:val="231B319B"/>
    <w:rsid w:val="23922880"/>
    <w:rsid w:val="253B6D01"/>
    <w:rsid w:val="25AE1813"/>
    <w:rsid w:val="3240539A"/>
    <w:rsid w:val="33C03219"/>
    <w:rsid w:val="34C21DA4"/>
    <w:rsid w:val="3BB47C7C"/>
    <w:rsid w:val="3BC44428"/>
    <w:rsid w:val="3CEF4B2F"/>
    <w:rsid w:val="3D0E630E"/>
    <w:rsid w:val="41203BA6"/>
    <w:rsid w:val="419A69E9"/>
    <w:rsid w:val="438F3C66"/>
    <w:rsid w:val="46CD7A34"/>
    <w:rsid w:val="4A246FC0"/>
    <w:rsid w:val="4ECA5D66"/>
    <w:rsid w:val="4FEE036C"/>
    <w:rsid w:val="501A5ADD"/>
    <w:rsid w:val="50892358"/>
    <w:rsid w:val="50A43895"/>
    <w:rsid w:val="52B9640E"/>
    <w:rsid w:val="56A40CE5"/>
    <w:rsid w:val="57C86C54"/>
    <w:rsid w:val="59B83A98"/>
    <w:rsid w:val="5A4A08C9"/>
    <w:rsid w:val="5C3343A1"/>
    <w:rsid w:val="5C627366"/>
    <w:rsid w:val="5CE67A24"/>
    <w:rsid w:val="618F5B1C"/>
    <w:rsid w:val="65E25E59"/>
    <w:rsid w:val="684D5AC1"/>
    <w:rsid w:val="68E464EF"/>
    <w:rsid w:val="69557DDE"/>
    <w:rsid w:val="69726A9D"/>
    <w:rsid w:val="6EA83A3B"/>
    <w:rsid w:val="700C6F8E"/>
    <w:rsid w:val="75864A53"/>
    <w:rsid w:val="75F1249E"/>
    <w:rsid w:val="76046742"/>
    <w:rsid w:val="7B065502"/>
    <w:rsid w:val="7D284F5A"/>
    <w:rsid w:val="7D3B6B3F"/>
    <w:rsid w:val="7DAC4138"/>
    <w:rsid w:val="7E764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link w:val="31"/>
    <w:autoRedefine/>
    <w:qFormat/>
    <w:uiPriority w:val="0"/>
    <w:pPr>
      <w:spacing w:after="120"/>
    </w:pPr>
  </w:style>
  <w:style w:type="paragraph" w:styleId="5">
    <w:name w:val="footer"/>
    <w:basedOn w:val="1"/>
    <w:link w:val="29"/>
    <w:autoRedefine/>
    <w:qFormat/>
    <w:uiPriority w:val="0"/>
    <w:pPr>
      <w:tabs>
        <w:tab w:val="center" w:pos="4153"/>
        <w:tab w:val="right" w:pos="8306"/>
      </w:tabs>
      <w:snapToGrid w:val="0"/>
    </w:pPr>
    <w:rPr>
      <w:sz w:val="18"/>
      <w:szCs w:val="18"/>
    </w:rPr>
  </w:style>
  <w:style w:type="paragraph" w:styleId="6">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Heading #1|1_"/>
    <w:basedOn w:val="9"/>
    <w:link w:val="11"/>
    <w:autoRedefine/>
    <w:qFormat/>
    <w:uiPriority w:val="0"/>
    <w:rPr>
      <w:rFonts w:ascii="宋体" w:hAnsi="宋体" w:eastAsia="宋体" w:cs="宋体"/>
      <w:sz w:val="40"/>
      <w:szCs w:val="40"/>
      <w:u w:val="none"/>
      <w:shd w:val="clear" w:color="auto" w:fill="auto"/>
      <w:lang w:val="zh-TW" w:eastAsia="zh-TW" w:bidi="zh-TW"/>
    </w:rPr>
  </w:style>
  <w:style w:type="paragraph" w:customStyle="1" w:styleId="11">
    <w:name w:val="Heading #1|1"/>
    <w:basedOn w:val="1"/>
    <w:link w:val="10"/>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2">
    <w:name w:val="Body text|1_"/>
    <w:basedOn w:val="9"/>
    <w:link w:val="13"/>
    <w:autoRedefine/>
    <w:qFormat/>
    <w:uiPriority w:val="0"/>
    <w:rPr>
      <w:rFonts w:ascii="宋体" w:hAnsi="宋体" w:eastAsia="宋体" w:cs="宋体"/>
      <w:sz w:val="28"/>
      <w:szCs w:val="28"/>
      <w:u w:val="none"/>
      <w:shd w:val="clear" w:color="auto" w:fill="auto"/>
      <w:lang w:val="zh-TW" w:eastAsia="zh-TW" w:bidi="zh-TW"/>
    </w:rPr>
  </w:style>
  <w:style w:type="paragraph" w:customStyle="1" w:styleId="13">
    <w:name w:val="Body text|1"/>
    <w:basedOn w:val="1"/>
    <w:link w:val="12"/>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4">
    <w:name w:val="Header or footer|2_"/>
    <w:basedOn w:val="9"/>
    <w:link w:val="15"/>
    <w:autoRedefine/>
    <w:qFormat/>
    <w:uiPriority w:val="0"/>
    <w:rPr>
      <w:sz w:val="20"/>
      <w:szCs w:val="20"/>
      <w:u w:val="none"/>
      <w:shd w:val="clear" w:color="auto" w:fill="auto"/>
      <w:lang w:val="zh-TW" w:eastAsia="zh-TW" w:bidi="zh-TW"/>
    </w:rPr>
  </w:style>
  <w:style w:type="paragraph" w:customStyle="1" w:styleId="15">
    <w:name w:val="Header or footer|2"/>
    <w:basedOn w:val="1"/>
    <w:link w:val="14"/>
    <w:autoRedefine/>
    <w:qFormat/>
    <w:uiPriority w:val="0"/>
    <w:rPr>
      <w:sz w:val="20"/>
      <w:szCs w:val="20"/>
      <w:lang w:val="zh-TW" w:eastAsia="zh-TW" w:bidi="zh-TW"/>
    </w:rPr>
  </w:style>
  <w:style w:type="character" w:customStyle="1" w:styleId="16">
    <w:name w:val="Header or footer|1_"/>
    <w:basedOn w:val="9"/>
    <w:link w:val="17"/>
    <w:autoRedefine/>
    <w:qFormat/>
    <w:uiPriority w:val="0"/>
    <w:rPr>
      <w:rFonts w:ascii="宋体" w:hAnsi="宋体" w:eastAsia="宋体" w:cs="宋体"/>
      <w:sz w:val="26"/>
      <w:szCs w:val="26"/>
      <w:u w:val="none"/>
      <w:shd w:val="clear" w:color="auto" w:fill="auto"/>
      <w:lang w:val="zh-TW" w:eastAsia="zh-TW" w:bidi="zh-TW"/>
    </w:rPr>
  </w:style>
  <w:style w:type="paragraph" w:customStyle="1" w:styleId="17">
    <w:name w:val="Header or footer|1"/>
    <w:basedOn w:val="1"/>
    <w:link w:val="16"/>
    <w:autoRedefine/>
    <w:qFormat/>
    <w:uiPriority w:val="0"/>
    <w:rPr>
      <w:rFonts w:ascii="宋体" w:hAnsi="宋体" w:eastAsia="宋体" w:cs="宋体"/>
      <w:sz w:val="26"/>
      <w:szCs w:val="26"/>
      <w:lang w:val="zh-TW" w:eastAsia="zh-TW" w:bidi="zh-TW"/>
    </w:rPr>
  </w:style>
  <w:style w:type="character" w:customStyle="1" w:styleId="18">
    <w:name w:val="Body text|2_"/>
    <w:basedOn w:val="9"/>
    <w:link w:val="19"/>
    <w:autoRedefine/>
    <w:qFormat/>
    <w:uiPriority w:val="0"/>
    <w:rPr>
      <w:rFonts w:ascii="宋体" w:hAnsi="宋体" w:eastAsia="宋体" w:cs="宋体"/>
      <w:sz w:val="22"/>
      <w:szCs w:val="22"/>
      <w:u w:val="none"/>
      <w:shd w:val="clear" w:color="auto" w:fill="auto"/>
      <w:lang w:val="zh-TW" w:eastAsia="zh-TW" w:bidi="zh-TW"/>
    </w:rPr>
  </w:style>
  <w:style w:type="paragraph" w:customStyle="1" w:styleId="19">
    <w:name w:val="Body text|2"/>
    <w:basedOn w:val="1"/>
    <w:link w:val="18"/>
    <w:autoRedefine/>
    <w:qFormat/>
    <w:uiPriority w:val="0"/>
    <w:pPr>
      <w:spacing w:after="240"/>
    </w:pPr>
    <w:rPr>
      <w:rFonts w:ascii="宋体" w:hAnsi="宋体" w:eastAsia="宋体" w:cs="宋体"/>
      <w:sz w:val="22"/>
      <w:szCs w:val="22"/>
      <w:lang w:val="zh-TW" w:eastAsia="zh-TW" w:bidi="zh-TW"/>
    </w:rPr>
  </w:style>
  <w:style w:type="character" w:customStyle="1" w:styleId="20">
    <w:name w:val="Other|1_"/>
    <w:basedOn w:val="9"/>
    <w:link w:val="21"/>
    <w:autoRedefine/>
    <w:qFormat/>
    <w:uiPriority w:val="0"/>
    <w:rPr>
      <w:rFonts w:ascii="宋体" w:hAnsi="宋体" w:eastAsia="宋体" w:cs="宋体"/>
      <w:sz w:val="28"/>
      <w:szCs w:val="28"/>
      <w:u w:val="none"/>
      <w:shd w:val="clear" w:color="auto" w:fill="auto"/>
      <w:lang w:val="zh-TW" w:eastAsia="zh-TW" w:bidi="zh-TW"/>
    </w:rPr>
  </w:style>
  <w:style w:type="paragraph" w:customStyle="1" w:styleId="21">
    <w:name w:val="Other|1"/>
    <w:basedOn w:val="1"/>
    <w:link w:val="20"/>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2">
    <w:name w:val="Other|2_"/>
    <w:basedOn w:val="9"/>
    <w:link w:val="23"/>
    <w:autoRedefine/>
    <w:qFormat/>
    <w:uiPriority w:val="0"/>
    <w:rPr>
      <w:rFonts w:ascii="宋体" w:hAnsi="宋体" w:eastAsia="宋体" w:cs="宋体"/>
      <w:sz w:val="15"/>
      <w:szCs w:val="15"/>
      <w:u w:val="none"/>
      <w:shd w:val="clear" w:color="auto" w:fill="auto"/>
      <w:lang w:val="zh-TW" w:eastAsia="zh-TW" w:bidi="zh-TW"/>
    </w:rPr>
  </w:style>
  <w:style w:type="paragraph" w:customStyle="1" w:styleId="23">
    <w:name w:val="Other|2"/>
    <w:basedOn w:val="1"/>
    <w:link w:val="22"/>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4">
    <w:name w:val="Body text|3_"/>
    <w:basedOn w:val="9"/>
    <w:link w:val="25"/>
    <w:autoRedefine/>
    <w:qFormat/>
    <w:uiPriority w:val="0"/>
    <w:rPr>
      <w:rFonts w:ascii="宋体" w:hAnsi="宋体" w:eastAsia="宋体" w:cs="宋体"/>
      <w:sz w:val="15"/>
      <w:szCs w:val="15"/>
      <w:u w:val="none"/>
      <w:shd w:val="clear" w:color="auto" w:fill="auto"/>
      <w:lang w:val="zh-TW" w:eastAsia="zh-TW" w:bidi="zh-TW"/>
    </w:rPr>
  </w:style>
  <w:style w:type="paragraph" w:customStyle="1" w:styleId="25">
    <w:name w:val="Body text|3"/>
    <w:basedOn w:val="1"/>
    <w:link w:val="24"/>
    <w:autoRedefine/>
    <w:qFormat/>
    <w:uiPriority w:val="0"/>
    <w:rPr>
      <w:rFonts w:ascii="宋体" w:hAnsi="宋体" w:eastAsia="宋体" w:cs="宋体"/>
      <w:sz w:val="15"/>
      <w:szCs w:val="15"/>
      <w:lang w:val="zh-TW" w:eastAsia="zh-TW" w:bidi="zh-TW"/>
    </w:rPr>
  </w:style>
  <w:style w:type="character" w:customStyle="1" w:styleId="26">
    <w:name w:val="Picture caption|1_"/>
    <w:basedOn w:val="9"/>
    <w:link w:val="27"/>
    <w:autoRedefine/>
    <w:qFormat/>
    <w:uiPriority w:val="0"/>
    <w:rPr>
      <w:rFonts w:ascii="宋体" w:hAnsi="宋体" w:eastAsia="宋体" w:cs="宋体"/>
      <w:sz w:val="20"/>
      <w:szCs w:val="20"/>
      <w:u w:val="none"/>
      <w:shd w:val="clear" w:color="auto" w:fill="auto"/>
      <w:lang w:val="zh-TW" w:eastAsia="zh-TW" w:bidi="zh-TW"/>
    </w:rPr>
  </w:style>
  <w:style w:type="paragraph" w:customStyle="1" w:styleId="27">
    <w:name w:val="Picture caption|1"/>
    <w:basedOn w:val="1"/>
    <w:link w:val="26"/>
    <w:autoRedefine/>
    <w:qFormat/>
    <w:uiPriority w:val="0"/>
    <w:pPr>
      <w:jc w:val="center"/>
    </w:pPr>
    <w:rPr>
      <w:rFonts w:ascii="宋体" w:hAnsi="宋体" w:eastAsia="宋体" w:cs="宋体"/>
      <w:sz w:val="20"/>
      <w:szCs w:val="20"/>
      <w:lang w:val="zh-TW" w:eastAsia="zh-TW" w:bidi="zh-TW"/>
    </w:rPr>
  </w:style>
  <w:style w:type="character" w:customStyle="1" w:styleId="28">
    <w:name w:val="页眉 Char"/>
    <w:basedOn w:val="9"/>
    <w:link w:val="6"/>
    <w:autoRedefine/>
    <w:qFormat/>
    <w:uiPriority w:val="0"/>
    <w:rPr>
      <w:rFonts w:eastAsia="Times New Roman"/>
      <w:color w:val="000000"/>
      <w:sz w:val="18"/>
      <w:szCs w:val="18"/>
      <w:lang w:eastAsia="en-US" w:bidi="en-US"/>
    </w:rPr>
  </w:style>
  <w:style w:type="character" w:customStyle="1" w:styleId="29">
    <w:name w:val="页脚 Char"/>
    <w:basedOn w:val="9"/>
    <w:link w:val="5"/>
    <w:autoRedefine/>
    <w:qFormat/>
    <w:uiPriority w:val="0"/>
    <w:rPr>
      <w:rFonts w:eastAsia="Times New Roman"/>
      <w:color w:val="000000"/>
      <w:sz w:val="18"/>
      <w:szCs w:val="18"/>
      <w:lang w:eastAsia="en-US" w:bidi="en-US"/>
    </w:rPr>
  </w:style>
  <w:style w:type="paragraph" w:customStyle="1" w:styleId="30">
    <w:name w:val="NOTE_Normal"/>
    <w:basedOn w:val="1"/>
    <w:next w:val="4"/>
    <w:autoRedefine/>
    <w:qFormat/>
    <w:uiPriority w:val="0"/>
    <w:pPr>
      <w:spacing w:after="160" w:line="259" w:lineRule="auto"/>
      <w:jc w:val="both"/>
    </w:pPr>
    <w:rPr>
      <w:rFonts w:ascii="Calibri" w:hAnsi="Calibri" w:eastAsia="宋体" w:cs="Arial"/>
      <w:color w:val="auto"/>
      <w:kern w:val="2"/>
      <w:sz w:val="21"/>
      <w:lang w:eastAsia="zh-CN" w:bidi="ar-SA"/>
    </w:rPr>
  </w:style>
  <w:style w:type="character" w:customStyle="1" w:styleId="31">
    <w:name w:val="正文文本 Char"/>
    <w:basedOn w:val="9"/>
    <w:link w:val="4"/>
    <w:autoRedefine/>
    <w:qFormat/>
    <w:uiPriority w:val="0"/>
    <w:rPr>
      <w:rFonts w:eastAsia="Times New Roman"/>
      <w:color w:val="000000"/>
      <w:sz w:val="24"/>
      <w:szCs w:val="24"/>
      <w:lang w:eastAsia="en-US" w:bidi="en-US"/>
    </w:rPr>
  </w:style>
  <w:style w:type="character" w:customStyle="1" w:styleId="32">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ontractReview xmlns="http://schemas.wps.cn/vas-ai-hub/contract-review">
  <reviewItems>
    <reviewItem>
      <errorID>ae53dacd-0453-4f0b-912a-c16ad47c06ac</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926A364</paraID>
      <start>164</start>
      <end>166</end>
      <status>modified</status>
      <modifiedWord>地</modifiedWord>
      <trackRevisions>true</trackRevisions>
    </reviewItem>
    <reviewItem>
      <errorID>94c713de-44ec-4240-bb01-6ecc594114cf</errorID>
      <errorWord>个</errorWord>
      <group>L1_Word</group>
      <groupName>字词问题</groupName>
      <ability>L2_Typo</ability>
      <abilityName>字词错误</abilityName>
      <candidateList>
        <item>家</item>
      </candidateList>
      <explain/>
      <paraID>3C18D358</paraID>
      <start>115</start>
      <end>117</end>
      <status>modified</status>
      <modifiedWord>家</modifiedWord>
      <trackRevisions>true</trackRevisions>
    </reviewItem>
    <reviewItem>
      <errorID>7d6fd760-f90c-46f2-9fcf-e50e111329fc</errorID>
      <errorWord>,</errorWord>
      <group>L1_Format</group>
      <groupName>格式问题</groupName>
      <ability>L2_HalfPunc</ability>
      <abilityName>全半角检查</abilityName>
      <candidateList>
        <item>，</item>
      </candidateList>
      <explain>文本全半角错误。</explain>
      <paraID>75955364</paraID>
      <start>122</start>
      <end>124</end>
      <status>modified</status>
      <modifiedWord>，</modifiedWord>
      <trackRevisions>true</trackRevisions>
    </reviewItem>
    <reviewItem>
      <errorID>f4542d18-b141-413a-895e-37e8ab3f6677</errorID>
      <errorWord>过程过程</errorWord>
      <group>L1_Word</group>
      <groupName>字词问题</groupName>
      <ability>L2_Typo</ability>
      <abilityName>字词错误</abilityName>
      <candidateList>
        <item>过程</item>
      </candidateList>
      <explain/>
      <paraID>4D1EAD5C</paraID>
      <start>13</start>
      <end>19</end>
      <status>modified</status>
      <modifiedWord>过程</modifiedWord>
      <trackRevisions>true</trackRevisions>
    </reviewItem>
    <reviewItem>
      <errorID>7877ff16-270d-443d-a525-12ebc49f0702</errorID>
      <errorWord>详实</errorWord>
      <group>L1_Word</group>
      <groupName>字词问题</groupName>
      <ability>L2_Typo</ability>
      <abilityName>字词错误</abilityName>
      <candidateList>
        <item>翔实</item>
      </candidateList>
      <explain/>
      <paraID>2D70D150</paraID>
      <start>70</start>
      <end>72</end>
      <status>ignored</status>
      <modifiedWord/>
      <trackRevisions>false</trackRevisions>
    </reviewItem>
    <reviewItem>
      <errorID>a9c6f816-741e-4085-a3ea-06b33bde0308</errorID>
      <errorWord>服务服务</errorWord>
      <group>L1_Word</group>
      <groupName>字词问题</groupName>
      <ability>L2_Typo</ability>
      <abilityName>字词错误</abilityName>
      <candidateList>
        <item>服务</item>
      </candidateList>
      <explain>〈动〉为集体（或别人的）利益或为某种事业而工作：～行业｜为人民～｜科学为生产～｜他在邮局～了三十年。</explain>
      <paraID>31602DC9</paraID>
      <start>148</start>
      <end>154</end>
      <status>modified</status>
      <modifiedWord>服务</modifiedWord>
      <trackRevisions>true</trackRevisions>
    </reviewItem>
    <reviewItem>
      <errorID>9bd1b125-9f0e-4363-9949-d53fdb5c163e</errorID>
      <errorWord>主要关心近况以及资源链接为主</errorWord>
      <group>L1_Grammar</group>
      <groupName>语法问题</groupName>
      <ability>L2_Grammar</ability>
      <abilityName>语法错误</abilityName>
      <candidateList>
        <item>关心近况以及资源链接为主</item>
      </candidateList>
      <explain/>
      <paraID>6122BB5B</paraID>
      <start>120</start>
      <end>146</end>
      <status>modified</status>
      <modifiedWord>关心近况以及资源链接为主</modifiedWord>
      <trackRevisions>true</trackRevisions>
    </reviewItem>
    <reviewItem>
      <errorID>db3d87f7-87e2-4a8c-92e5-16e6e1e38d70</errorID>
      <errorWord>目</errorWord>
      <group>L1_Word</group>
      <groupName>字词问题</groupName>
      <ability>L2_Typo</ability>
      <abilityName>字词错误</abilityName>
      <candidateList>
        <item>目在</item>
      </candidateList>
      <explain/>
      <paraID> 9D9F6A1</paraID>
      <start>39</start>
      <end>42</end>
      <status>modified</status>
      <modifiedWord>目在</modifiedWord>
      <trackRevisions>true</trackRevisions>
    </reviewItem>
    <reviewItem>
      <errorID>4fa4d16b-e80a-42a2-befc-daab4de9335d</errorID>
      <errorWord>做</errorWord>
      <group>L1_Word</group>
      <groupName>字词问题</groupName>
      <ability>L2_Typo</ability>
      <abilityName>字词错误</abilityName>
      <candidateList>
        <item>做到</item>
      </candidateList>
      <explain/>
      <paraID>44A743AF</paraID>
      <start>36</start>
      <end>39</end>
      <status>modified</status>
      <modifiedWord>做到</modifiedWord>
      <trackRevisions>true</trackRevisions>
    </reviewItem>
    <reviewItem>
      <errorID>df0477bb-a861-46c5-83c8-c3730e2693cf</errorID>
      <errorWord>实</errorWord>
      <group>L1_Word</group>
      <groupName>字词问题</groupName>
      <ability>L2_Typo</ability>
      <abilityName>字词错误</abilityName>
      <candidateList>
        <item>实有</item>
      </candidateList>
      <explain/>
      <paraID>67FC3F05</paraID>
      <start>62</start>
      <end>65</end>
      <status>modified</status>
      <modifiedWord>实有</modifiedWord>
      <trackRevisions>true</trackRevisions>
    </reviewItem>
    <reviewItem>
      <errorID>290081ec-5960-46c1-9da8-dd395ca4b78d</errorID>
      <errorWord>目</errorWord>
      <group>L1_Word</group>
      <groupName>字词问题</groupName>
      <ability>L2_Typo</ability>
      <abilityName>字词错误</abilityName>
      <candidateList>
        <item>目在</item>
      </candidateList>
      <explain/>
      <paraID>44BC3002</paraID>
      <start>39</start>
      <end>42</end>
      <status>modified</status>
      <modifiedWord>目在</modifiedWord>
      <trackRevisions>true</trackRevisions>
    </reviewItem>
    <reviewItem>
      <errorID>f5d28b30-78b3-4320-838b-3c09afd150fb</errorID>
      <errorWord>量</errorWord>
      <group>L1_Word</group>
      <groupName>字词问题</groupName>
      <ability>L2_Typo</ability>
      <abilityName>字词错误</abilityName>
      <candidateList>
        <item>量有</item>
      </candidateList>
      <explain/>
      <paraID>6B1E3BA1</paraID>
      <start>8</start>
      <end>11</end>
      <status>modified</status>
      <modifiedWord>量有</modifiedWord>
      <trackRevisions>true</trackRevisions>
    </reviewItem>
    <reviewItem>
      <errorID>660342fc-a246-4d9f-b62c-94cd0d85768b</errorID>
      <errorWord>在在</errorWord>
      <group>L1_Word</group>
      <groupName>字词问题</groupName>
      <ability>L2_Typo</ability>
      <abilityName>字词错误</abilityName>
      <candidateList>
        <item>在</item>
      </candidateList>
      <explain>❶〈动〉存在；生存：精神永～｜留得青山～，不怕没柴烧｜父母都～。❷〈动〉表示人或事物的位置：我今天晚上不～厂里｜你的钢笔～桌子上呢。❸〈动〉留在：～职｜～位。❹〈动〉参加（某团体）；属于（某团体）：～党｜～组织。❺〈动〉在于；决定于：事～人为｜学习好，主要～自己努力。❻“在”和“所”连用，表示强调，下面多连“不”：～所不辞｜～所不惜｜～所不计｜～所难免。</explain>
      <paraID>6822DF53</paraID>
      <start>18</start>
      <end>21</end>
      <status>modified</status>
      <modifiedWord>在</modifiedWord>
      <trackRevisions>true</trackRevisions>
    </reviewItem>
    <reviewItem>
      <errorID>12c8d787-b25f-4e04-84e4-1ddc17842f02</errorID>
      <errorWord>目</errorWord>
      <group>L1_Word</group>
      <groupName>字词问题</groupName>
      <ability>L2_Typo</ability>
      <abilityName>字词错误</abilityName>
      <candidateList>
        <item>目在</item>
      </candidateList>
      <explain/>
      <paraID>603F044F</paraID>
      <start>39</start>
      <end>42</end>
      <status>modified</status>
      <modifiedWord>目在</modifiedWord>
      <trackRevisions>true</trackRevisions>
    </reviewItem>
    <reviewItem>
      <errorID>e4cbc142-62f4-4900-813e-570d4c7f904b</errorID>
      <errorWord>进</errorWord>
      <group>L1_Word</group>
      <groupName>字词问题</groupName>
      <ability>L2_Typo</ability>
      <abilityName>字词错误</abilityName>
      <candidateList>
        <item>进了</item>
      </candidateList>
      <explain/>
      <paraID>248C1F00</paraID>
      <start>66</start>
      <end>69</end>
      <status>modified</status>
      <modifiedWord>进了</modifiedWord>
      <trackRevisions>true</trackRevisions>
    </reviewItem>
    <reviewItem>
      <errorID>d6f4ab92-24a0-43ba-befe-d6b888230cff</errorID>
      <errorWord>过程过程</errorWord>
      <group>L1_Word</group>
      <groupName>字词问题</groupName>
      <ability>L2_Typo</ability>
      <abilityName>字词错误</abilityName>
      <candidateList>
        <item>过程</item>
      </candidateList>
      <explain/>
      <paraID> A06A907</paraID>
      <start>15</start>
      <end>21</end>
      <status>modified</status>
      <modifiedWord>过程</modifiedWord>
      <trackRevisions>true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255780-2BA4-4433-9966-2B7DCE716B1E}">
  <ds:schemaRefs/>
</ds:datastoreItem>
</file>

<file path=customXml/itemProps3.xml><?xml version="1.0" encoding="utf-8"?>
<ds:datastoreItem xmlns:ds="http://schemas.openxmlformats.org/officeDocument/2006/customXml" ds:itemID="{e79d0492-8c54-4846-b4de-7d89786382c5}">
  <ds:schemaRefs/>
</ds:datastoreItem>
</file>

<file path=docProps/app.xml><?xml version="1.0" encoding="utf-8"?>
<Properties xmlns="http://schemas.openxmlformats.org/officeDocument/2006/extended-properties" xmlns:vt="http://schemas.openxmlformats.org/officeDocument/2006/docPropsVTypes">
  <Template>Normal</Template>
  <Pages>20</Pages>
  <Words>11958</Words>
  <Characters>12484</Characters>
  <Lines>70</Lines>
  <Paragraphs>19</Paragraphs>
  <TotalTime>1</TotalTime>
  <ScaleCrop>false</ScaleCrop>
  <LinksUpToDate>false</LinksUpToDate>
  <CharactersWithSpaces>12540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2023-08-15T07:15:00Z</dcterms:created>
  <dc:creator>WPS Office</dc:creator>
  <cp:lastModifiedBy>番禺区社联会</cp:lastModifiedBy>
  <dcterms:modified xsi:type="dcterms:W3CDTF">2026-03-20T03:20:31Z</dcterms:modified>
  <dc:title>KM_C364e-20200923144555</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AD9E3D04A7CB47C69453F84E0CD76AF6_13</vt:lpwstr>
  </property>
  <property fmtid="{D5CDD505-2E9C-101B-9397-08002B2CF9AE}" pid="4" name="KSOTemplateDocerSaveRecord">
    <vt:lpwstr>eyJoZGlkIjoiZDZhZGYwNTVjNmEwZDlmYmM0M2UzYmUxZTMyY2ZhNTgiLCJ1c2VySWQiOiIyOTU1NTMyNTMifQ==</vt:lpwstr>
  </property>
</Properties>
</file>