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A2A52"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77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 w14:paraId="7DAA81CD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番禺区政协十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届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五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次会议提案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284"/>
        <w:gridCol w:w="1276"/>
        <w:gridCol w:w="992"/>
        <w:gridCol w:w="1326"/>
      </w:tblGrid>
      <w:tr w14:paraId="699CD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8D5FE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</w:t>
            </w: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目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DA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bookmarkStart w:id="0" w:name="OLE_LINK3"/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关于加快推进营业性演出政务服务改革 </w:t>
            </w:r>
          </w:p>
          <w:p w14:paraId="4EDDB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进一步激活演艺经济新引擎的建议</w:t>
            </w:r>
            <w:bookmarkEnd w:id="0"/>
          </w:p>
        </w:tc>
      </w:tr>
      <w:tr w14:paraId="7A3A6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AC5F3">
            <w:pPr>
              <w:spacing w:line="680" w:lineRule="exact"/>
              <w:jc w:val="center"/>
              <w:rPr>
                <w:rFonts w:hint="eastAsia" w:ascii="仿宋_GB2312" w:hAnsi="宋体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提</w:t>
            </w: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案</w:t>
            </w:r>
            <w:r>
              <w:rPr>
                <w:rFonts w:hint="eastAsia" w:ascii="仿宋_GB2312" w:hAnsi="宋体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Times New Roman"/>
                <w:sz w:val="32"/>
                <w:szCs w:val="32"/>
              </w:rPr>
              <w:t>者</w:t>
            </w:r>
          </w:p>
          <w:p w14:paraId="57AB2571">
            <w:pPr>
              <w:spacing w:line="680" w:lineRule="exact"/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eastAsia="zh-CN"/>
              </w:rPr>
              <w:t>（主笔）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33ADB">
            <w:pPr>
              <w:spacing w:line="6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陈琨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68520">
            <w:pPr>
              <w:spacing w:line="6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联系人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297FC">
            <w:pPr>
              <w:spacing w:line="6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陈琨</w:t>
            </w:r>
          </w:p>
        </w:tc>
      </w:tr>
      <w:tr w14:paraId="2DD7E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B6A68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07046">
            <w:pPr>
              <w:spacing w:line="68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番禺区融媒体中心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87C9B">
            <w:pPr>
              <w:spacing w:line="6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  务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C9BA3">
            <w:pPr>
              <w:spacing w:line="6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主任</w:t>
            </w:r>
          </w:p>
        </w:tc>
      </w:tr>
      <w:tr w14:paraId="2C64F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9947B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833CE">
            <w:pPr>
              <w:spacing w:line="6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9D72C">
            <w:pPr>
              <w:spacing w:line="6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办公电话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9E348">
            <w:pPr>
              <w:spacing w:line="6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 w14:paraId="587F4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BDCD8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A4459">
            <w:pPr>
              <w:spacing w:line="6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34B7A">
            <w:pPr>
              <w:spacing w:line="6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邮编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8B539">
            <w:pPr>
              <w:spacing w:line="6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510000</w:t>
            </w:r>
          </w:p>
        </w:tc>
      </w:tr>
      <w:tr w14:paraId="11131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C5359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 w14:paraId="2E0D87AE">
            <w:pPr>
              <w:spacing w:line="68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一经提交不得再增加联名提案人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C2662">
            <w:pPr>
              <w:spacing w:line="68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bookmarkStart w:id="1" w:name="OLE_LINK2"/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李丽娟</w:t>
            </w:r>
            <w:bookmarkEnd w:id="1"/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、崔亚伟、陈扬</w:t>
            </w:r>
          </w:p>
        </w:tc>
      </w:tr>
      <w:tr w14:paraId="0718C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D8152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 w14:paraId="01E611B0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E8DB9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 w14:paraId="4E4645D1">
      <w:pPr>
        <w:spacing w:line="560" w:lineRule="exact"/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根据实际情况在</w:t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（）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内打勾确认：</w:t>
      </w:r>
    </w:p>
    <w:p w14:paraId="5B211766"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是否同意公开</w:t>
      </w:r>
      <w:r>
        <w:rPr>
          <w:rFonts w:hint="eastAsia" w:ascii="宋体" w:hAnsi="宋体"/>
          <w:b/>
          <w:sz w:val="30"/>
          <w:szCs w:val="30"/>
        </w:rPr>
        <w:t>：</w:t>
      </w:r>
    </w:p>
    <w:p w14:paraId="2A4A87F2">
      <w:pPr>
        <w:spacing w:line="440" w:lineRule="exac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  <w:lang w:eastAsia="zh-CN"/>
        </w:rPr>
        <w:t>是（</w:t>
      </w:r>
      <w:r>
        <w:rPr>
          <w:rFonts w:hint="default" w:ascii="Arial" w:hAnsi="Arial" w:cs="Arial"/>
          <w:sz w:val="30"/>
          <w:szCs w:val="30"/>
          <w:lang w:eastAsia="zh-CN"/>
        </w:rPr>
        <w:t>√</w:t>
      </w:r>
      <w:r>
        <w:rPr>
          <w:rFonts w:hint="eastAsia" w:ascii="宋体" w:hAnsi="宋体"/>
          <w:sz w:val="30"/>
          <w:szCs w:val="30"/>
          <w:lang w:eastAsia="zh-CN"/>
        </w:rPr>
        <w:t>）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  <w:lang w:eastAsia="zh-CN"/>
        </w:rPr>
        <w:t>否（）</w:t>
      </w:r>
      <w:r>
        <w:rPr>
          <w:rFonts w:ascii="宋体" w:hAnsi="宋体"/>
          <w:sz w:val="30"/>
          <w:szCs w:val="30"/>
        </w:rPr>
        <w:t xml:space="preserve"> </w:t>
      </w:r>
    </w:p>
    <w:p w14:paraId="2251C17D">
      <w:pPr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br w:type="page"/>
      </w:r>
    </w:p>
    <w:p w14:paraId="5C717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理由：</w:t>
      </w:r>
    </w:p>
    <w:p w14:paraId="2F59BB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当下，文旅消费的“演出+”模式正在颠覆传统文旅发展格局。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年，全国营业性演出场次达到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48.84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万场，同比增长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10.85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%；票房收入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579.54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亿元，同比增长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15.37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%。</w:t>
      </w:r>
    </w:p>
    <w:p w14:paraId="1C3AB5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番禺区在发展演出经济方面，具有诸多独特优势：番禺区地理区位优势明显，背靠广州南站交通枢纽，交通通达度高；番禺是享誉世界的灯光音响重要制造基地，能够为演出活动提供优质的音响和灯光效果；区内拥有广州大学城体育中心体育馆、广州亚运城综合体育馆等多个一流大型演出场馆，演出基础设施雄厚；区内广州大学城为全国在校学生人数最多的大学城，拥有具备演出消费潜力和活力的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万高校大学生，以上优势条件均为番禺打造“演艺之城”奠定利好基础。</w:t>
      </w:r>
    </w:p>
    <w:p w14:paraId="66A7B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然而，通过对比全国知名演出场馆所在地、演艺活动集聚区，番禺区在涉及大型演出活动相关审批、监管等政务服务整体的效率性、规范化等方面仍有提升空间，具体说明如下：</w:t>
      </w:r>
    </w:p>
    <w:p w14:paraId="49A335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一是流程效率有待提高。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对比全国部分地区举办营业性演出活动系列行政审批情况发现，番禺区营业性演出活动所涉及的“举办国内营业性演出”（文化行政部门）、“大型群众性活动安全许可”（公安机关）两项行政审批事项对比先进地区仍有提升空间。</w:t>
      </w:r>
    </w:p>
    <w:p w14:paraId="4D1269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在“举办国内营业性演出”这一审批环节，番禺区对于该审批事项承诺办结时限为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个工作日，最少提交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项材料，而杭州市萧山区对该审批事项承诺办结时限为“即办”、上海市虹口区为“当场办结”，杭州市萧山区、上海市闵行区最少仅需提交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材料。</w:t>
      </w:r>
    </w:p>
    <w:p w14:paraId="22BCB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在“大型群众性活动安全许可”这一审批环节，番禺区对于该审批事项承诺办结时限为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个工作日，最少提交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项材料，而杭州市萧山区对该审批事项承诺办结时限为“即办”，最少提交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项材料，上海市闵行区为“当场办结”，最少提交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项材料。这表明，我区在涉营业性演出审批速度、材料数量要求等方面可提速、“瘦身”。</w:t>
      </w:r>
    </w:p>
    <w:tbl>
      <w:tblPr>
        <w:tblStyle w:val="10"/>
        <w:tblW w:w="85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1332"/>
        <w:gridCol w:w="1332"/>
        <w:gridCol w:w="1332"/>
        <w:gridCol w:w="1332"/>
        <w:gridCol w:w="1332"/>
      </w:tblGrid>
      <w:tr w14:paraId="7F4A8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545" w:type="dxa"/>
            <w:gridSpan w:val="6"/>
            <w:vAlign w:val="center"/>
          </w:tcPr>
          <w:p w14:paraId="2668E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【文化】举办国内营业性演出审批</w:t>
            </w:r>
          </w:p>
        </w:tc>
      </w:tr>
      <w:tr w14:paraId="73D98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885" w:type="dxa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 w14:paraId="57E33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textAlignment w:val="auto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67392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vAlign w:val="center"/>
          </w:tcPr>
          <w:p w14:paraId="367B9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杭州市</w:t>
            </w:r>
          </w:p>
          <w:p w14:paraId="4E1FF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萧山区</w:t>
            </w:r>
          </w:p>
        </w:tc>
        <w:tc>
          <w:tcPr>
            <w:tcW w:w="1332" w:type="dxa"/>
            <w:vAlign w:val="center"/>
          </w:tcPr>
          <w:p w14:paraId="5F4DE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上海市</w:t>
            </w:r>
          </w:p>
          <w:p w14:paraId="1B82F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虹口区</w:t>
            </w:r>
          </w:p>
        </w:tc>
        <w:tc>
          <w:tcPr>
            <w:tcW w:w="1332" w:type="dxa"/>
            <w:vAlign w:val="center"/>
          </w:tcPr>
          <w:p w14:paraId="3CFB7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南京市</w:t>
            </w:r>
          </w:p>
          <w:p w14:paraId="4D900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浦口区</w:t>
            </w:r>
          </w:p>
        </w:tc>
        <w:tc>
          <w:tcPr>
            <w:tcW w:w="1332" w:type="dxa"/>
            <w:vAlign w:val="center"/>
          </w:tcPr>
          <w:p w14:paraId="5B182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广州市</w:t>
            </w:r>
          </w:p>
          <w:p w14:paraId="03A12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黄埔区</w:t>
            </w:r>
          </w:p>
        </w:tc>
        <w:tc>
          <w:tcPr>
            <w:tcW w:w="1332" w:type="dxa"/>
            <w:vAlign w:val="center"/>
          </w:tcPr>
          <w:p w14:paraId="46C1E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广州市</w:t>
            </w:r>
          </w:p>
          <w:p w14:paraId="3825F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番禺区</w:t>
            </w:r>
          </w:p>
        </w:tc>
      </w:tr>
      <w:tr w14:paraId="2534E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885" w:type="dxa"/>
          </w:tcPr>
          <w:p w14:paraId="18B44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承诺办结时限（工作日）</w:t>
            </w:r>
          </w:p>
        </w:tc>
        <w:tc>
          <w:tcPr>
            <w:tcW w:w="1332" w:type="dxa"/>
            <w:vAlign w:val="center"/>
          </w:tcPr>
          <w:p w14:paraId="0C9FC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即办</w:t>
            </w:r>
          </w:p>
        </w:tc>
        <w:tc>
          <w:tcPr>
            <w:tcW w:w="1332" w:type="dxa"/>
            <w:vAlign w:val="center"/>
          </w:tcPr>
          <w:p w14:paraId="6B9B1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当场</w:t>
            </w:r>
          </w:p>
          <w:p w14:paraId="2308BD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办结</w:t>
            </w:r>
          </w:p>
        </w:tc>
        <w:tc>
          <w:tcPr>
            <w:tcW w:w="1332" w:type="dxa"/>
            <w:vAlign w:val="center"/>
          </w:tcPr>
          <w:p w14:paraId="36242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332" w:type="dxa"/>
            <w:vAlign w:val="center"/>
          </w:tcPr>
          <w:p w14:paraId="10006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332" w:type="dxa"/>
            <w:vAlign w:val="center"/>
          </w:tcPr>
          <w:p w14:paraId="2F03B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 w14:paraId="6D481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885" w:type="dxa"/>
          </w:tcPr>
          <w:p w14:paraId="585E19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材料数量要求（项）</w:t>
            </w:r>
          </w:p>
        </w:tc>
        <w:tc>
          <w:tcPr>
            <w:tcW w:w="1332" w:type="dxa"/>
            <w:vAlign w:val="center"/>
          </w:tcPr>
          <w:p w14:paraId="1FD40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332" w:type="dxa"/>
            <w:vAlign w:val="center"/>
          </w:tcPr>
          <w:p w14:paraId="49EAB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332" w:type="dxa"/>
            <w:vAlign w:val="center"/>
          </w:tcPr>
          <w:p w14:paraId="02AF1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332" w:type="dxa"/>
            <w:vAlign w:val="center"/>
          </w:tcPr>
          <w:p w14:paraId="31181C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332" w:type="dxa"/>
            <w:vAlign w:val="center"/>
          </w:tcPr>
          <w:p w14:paraId="3B252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</w:tr>
    </w:tbl>
    <w:tbl>
      <w:tblPr>
        <w:tblStyle w:val="10"/>
        <w:tblpPr w:leftFromText="180" w:rightFromText="180" w:vertAnchor="text" w:horzAnchor="page" w:tblpXSpec="center" w:tblpY="171"/>
        <w:tblOverlap w:val="never"/>
        <w:tblW w:w="85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1332"/>
        <w:gridCol w:w="1332"/>
        <w:gridCol w:w="1332"/>
        <w:gridCol w:w="1332"/>
        <w:gridCol w:w="1332"/>
      </w:tblGrid>
      <w:tr w14:paraId="424A4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545" w:type="dxa"/>
            <w:gridSpan w:val="6"/>
            <w:vAlign w:val="center"/>
          </w:tcPr>
          <w:p w14:paraId="39CD7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【公安】大型群众性活动安全许可</w:t>
            </w:r>
          </w:p>
        </w:tc>
      </w:tr>
      <w:tr w14:paraId="17C41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885" w:type="dxa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 w14:paraId="332D7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textAlignment w:val="auto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2BDA7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2" w:type="dxa"/>
            <w:vAlign w:val="center"/>
          </w:tcPr>
          <w:p w14:paraId="73A21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杭州市</w:t>
            </w:r>
          </w:p>
          <w:p w14:paraId="21BDD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萧山区</w:t>
            </w:r>
          </w:p>
        </w:tc>
        <w:tc>
          <w:tcPr>
            <w:tcW w:w="1332" w:type="dxa"/>
            <w:vAlign w:val="center"/>
          </w:tcPr>
          <w:p w14:paraId="792F6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上海市</w:t>
            </w:r>
          </w:p>
          <w:p w14:paraId="020E8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闵行区</w:t>
            </w:r>
          </w:p>
        </w:tc>
        <w:tc>
          <w:tcPr>
            <w:tcW w:w="1332" w:type="dxa"/>
            <w:vAlign w:val="center"/>
          </w:tcPr>
          <w:p w14:paraId="63000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湖州市</w:t>
            </w:r>
          </w:p>
        </w:tc>
        <w:tc>
          <w:tcPr>
            <w:tcW w:w="1332" w:type="dxa"/>
            <w:vAlign w:val="center"/>
          </w:tcPr>
          <w:p w14:paraId="61AD76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昆明市晋宁区</w:t>
            </w:r>
          </w:p>
        </w:tc>
        <w:tc>
          <w:tcPr>
            <w:tcW w:w="1332" w:type="dxa"/>
            <w:vAlign w:val="center"/>
          </w:tcPr>
          <w:p w14:paraId="40BD5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广州市</w:t>
            </w:r>
          </w:p>
          <w:p w14:paraId="2851E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番禺区</w:t>
            </w:r>
          </w:p>
        </w:tc>
      </w:tr>
      <w:tr w14:paraId="00CA6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885" w:type="dxa"/>
          </w:tcPr>
          <w:p w14:paraId="5C38A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承诺办结时限（工作日）</w:t>
            </w:r>
          </w:p>
        </w:tc>
        <w:tc>
          <w:tcPr>
            <w:tcW w:w="1332" w:type="dxa"/>
            <w:vAlign w:val="center"/>
          </w:tcPr>
          <w:p w14:paraId="79FEE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即办</w:t>
            </w:r>
          </w:p>
        </w:tc>
        <w:tc>
          <w:tcPr>
            <w:tcW w:w="1332" w:type="dxa"/>
            <w:vAlign w:val="center"/>
          </w:tcPr>
          <w:p w14:paraId="1ABDAD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当场</w:t>
            </w:r>
          </w:p>
          <w:p w14:paraId="3DE43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办结</w:t>
            </w:r>
          </w:p>
        </w:tc>
        <w:tc>
          <w:tcPr>
            <w:tcW w:w="1332" w:type="dxa"/>
            <w:vAlign w:val="center"/>
          </w:tcPr>
          <w:p w14:paraId="5C08A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332" w:type="dxa"/>
            <w:vAlign w:val="center"/>
          </w:tcPr>
          <w:p w14:paraId="09468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332" w:type="dxa"/>
            <w:vAlign w:val="center"/>
          </w:tcPr>
          <w:p w14:paraId="0AD674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 w14:paraId="09BE9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5" w:type="dxa"/>
          </w:tcPr>
          <w:p w14:paraId="5C1BF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材料数量要求（项）</w:t>
            </w:r>
          </w:p>
        </w:tc>
        <w:tc>
          <w:tcPr>
            <w:tcW w:w="1332" w:type="dxa"/>
            <w:vAlign w:val="center"/>
          </w:tcPr>
          <w:p w14:paraId="26226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332" w:type="dxa"/>
            <w:vAlign w:val="center"/>
          </w:tcPr>
          <w:p w14:paraId="26788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332" w:type="dxa"/>
            <w:vAlign w:val="center"/>
          </w:tcPr>
          <w:p w14:paraId="12B49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332" w:type="dxa"/>
            <w:vAlign w:val="center"/>
          </w:tcPr>
          <w:p w14:paraId="7D072D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332" w:type="dxa"/>
            <w:vAlign w:val="center"/>
          </w:tcPr>
          <w:p w14:paraId="6A743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</w:tr>
    </w:tbl>
    <w:p w14:paraId="58EC64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二是机制协同有待加强。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黄埔区公布的《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年营商环境改革典型案例 服务企业发展篇》，黄埔区针对区内宝能广州国际体育演艺中心，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已建立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关于其营业性演出的“一站式”联合审批机制，由文化行政部门、公安机关进行对接联调，优化流程，快审快办，提高审批效率。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对比之下，番禺区尚未建立有关营业性演出的联合审批或监管机制，可能会造成事项重复审批、现场重复踏勘的情况，给企业带来一定的审查负担。</w:t>
      </w:r>
    </w:p>
    <w:p w14:paraId="38265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三是规范指引有待出台。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近年来，番禺区演出市场蓬勃发展，文旅消费“引擎效应”显著的同时，也存在演出市场质量参差不齐、涉演出各类申请事项办理不明晰、演出现场监管薄弱等问题，一定程度上影响了番禺演出市场健康有序发展。反观其他演出集聚区，青岛市市北区出台了《市北区营业性演出“一件事”实施方案》，宁波市奉化区出台了《举办其他营业性演出（临时搭建舞台、看台的）“一件事”标准及操作指南》，以上政策和方案对演出事项提供了较为全面的政务服务指引。基于此，我区应进一步学习先进、结合实际，推出涉营业性演出的专项性、规范性服务指引。</w:t>
      </w:r>
    </w:p>
    <w:p w14:paraId="61F7CF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eastAsia="仿宋_GB2312"/>
          <w:b/>
          <w:bCs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四是服务事项有待创新。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，广州市人民政府办公厅印发《广州市“文旅体一证通”行政审批改革工作方案》，该方案要求“黄埔区、番禺区等试点区要结合实际，大胆创新，积极探索，形成一批可复制、可借鉴的成功经验”。目前，针对“演出活动政务服务”这一方向，杭州萧山、青岛市北、宁波奉化等地均已推出专项性、创新性的改革方案，为优化服务流程、释放文旅活力提质赋能。然而，番禺区在“演出活动政务服务”这一方向尚未产生创新改革方案或典型服务案例，下一步应结合实际情况，在联调机制、重点服务、专项对接和部门协同等方面推陈致新，以最大决心释放市场最大活力。</w:t>
      </w:r>
    </w:p>
    <w:p w14:paraId="5DFC85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</w:pPr>
    </w:p>
    <w:p w14:paraId="287A14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办法：</w:t>
      </w:r>
    </w:p>
    <w:p w14:paraId="2B1F5B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加力提升审批效率，探索协同审批机制</w:t>
      </w:r>
    </w:p>
    <w:p w14:paraId="134F02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建议对照宁波奉化、枣庄薛城等地，在审批时长方面，压缩举办营业性演出所涉及的“举办国内营业性演出审批”“大型群众性活动安全许可”两项审批事项的承诺审批时限；</w:t>
      </w:r>
    </w:p>
    <w:p w14:paraId="6F8063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建议在申请材料方面，适当缩减“举办国内营业性演出审批”和“大型群众性活动安全许可”两项审批事项所需递交材料数量和填报字段量，以此提高总体审批效率，提升优质演出落地吸引力；</w:t>
      </w:r>
    </w:p>
    <w:p w14:paraId="79723A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在提速度、缩材料的基础上，探索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“一站式”联合审批机制，文化行政部门和公安机关对“举办国内营业性演出审批”“大型群众性活动安全许可”审批对接联调，探索设立“营业性演出审批一件事联办”机制。一次性告知两个审批事项所需全部材料，统一提交后形成内部流转材料，由系统自动推送材料至相关部门进行审批办理，办理结束后汇总部门意见，系统统一进行结果反馈，申请人可一次性领取两个许可证照，从而形成“一次告知、一表申请、一套材料、一网办理”的联合审批机制。</w:t>
      </w:r>
    </w:p>
    <w:p w14:paraId="66403A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二、增强联合服务动能，优化演出监管安排</w:t>
      </w:r>
    </w:p>
    <w:p w14:paraId="6AB088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在番禺区“文旅体一证通”行政审批改革试点工作联席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会议的基础上，联动文化、公安、市监、消防、网信、宣传等部门成立“营业性演出工作专班”，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强化部门协同，在演出全阶段加强演出信息同步、演出资料共享，对演出安全、网络舆情、票务经营、消费引导等方面加强联动处理以增强服务效能；</w:t>
      </w:r>
    </w:p>
    <w:p w14:paraId="634AA1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建议将涉及营业性演出举办前文化主管部门实地检查事项（临时搭建舞台、看台的营业性演出）、公安部门实地检查事项（大型群众性活动安全许可），由文化、公安两部门进行联合现场勘查，提高监督管理效率；</w:t>
      </w:r>
    </w:p>
    <w:p w14:paraId="486169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建议进一步优化公安部门现场安全监管，对部分有延伸发展夜经济条件的演唱会、音乐节、现场音乐厅（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LiveHouse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）等场地和空间，改进和加强现场安全监管和道路交通管理方式，适当延长监管时间，为进一步服务夜经济发展、促进文商旅融合提供保障。</w:t>
      </w:r>
    </w:p>
    <w:p w14:paraId="3C55AD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三、出台演出服务指引，形成全面服务体系</w:t>
      </w:r>
    </w:p>
    <w:p w14:paraId="6D9F09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建议出台“番禺区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营业性演出活动‘一件事’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综合服务指引”，将涉及营业性演出活动所涉及的相关审批事项（营业性演出、大型群众性活动安全许可、消防许可等）纳入一次办理情形，部门间材料共享、数据互认、信息互通，协同办理，进一步提升审批服务效率。此外，综合服务指引还应包含举办营业性演出的一揽子审批（包括变更事项、增加事项等）具体要求、演出落地指导、监管要求细则等内容，以此让申请人更为清晰地了解管理要求、更为便利地享受更多服务。</w:t>
      </w:r>
    </w:p>
    <w:p w14:paraId="662B319A">
      <w:pPr>
        <w:pStyle w:val="4"/>
        <w:rPr>
          <w:rFonts w:hint="eastAsia"/>
          <w:sz w:val="30"/>
          <w:szCs w:val="30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911E2B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EC1813">
                          <w:pPr>
                            <w:pStyle w:val="5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EC1813">
                    <w:pPr>
                      <w:pStyle w:val="5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0ODdmNWI3ZjQ4Y2E2MmJjZjExYWVmOGJlMzM4MmIifQ=="/>
  </w:docVars>
  <w:rsids>
    <w:rsidRoot w:val="126705C8"/>
    <w:rsid w:val="030C361F"/>
    <w:rsid w:val="0D142E1F"/>
    <w:rsid w:val="0D6C382C"/>
    <w:rsid w:val="115A19CF"/>
    <w:rsid w:val="126705C8"/>
    <w:rsid w:val="1306193D"/>
    <w:rsid w:val="182051F3"/>
    <w:rsid w:val="183D78FE"/>
    <w:rsid w:val="184E2227"/>
    <w:rsid w:val="19B50FD2"/>
    <w:rsid w:val="1C39475F"/>
    <w:rsid w:val="3C3E6389"/>
    <w:rsid w:val="3E3A6429"/>
    <w:rsid w:val="4AD036F8"/>
    <w:rsid w:val="514C3C34"/>
    <w:rsid w:val="5C2C458F"/>
    <w:rsid w:val="61CE2B44"/>
    <w:rsid w:val="63572AE4"/>
    <w:rsid w:val="6A6D6CE8"/>
    <w:rsid w:val="740D6566"/>
    <w:rsid w:val="746A5F38"/>
    <w:rsid w:val="75DC7CED"/>
    <w:rsid w:val="77936075"/>
    <w:rsid w:val="782E17BB"/>
    <w:rsid w:val="7F16604E"/>
    <w:rsid w:val="7F5430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Calibri" w:hAnsi="Calibri" w:eastAsia="仿宋_GB2312"/>
      <w:sz w:val="32"/>
      <w:szCs w:val="20"/>
    </w:rPr>
  </w:style>
  <w:style w:type="paragraph" w:styleId="3">
    <w:name w:val="toc 5"/>
    <w:basedOn w:val="1"/>
    <w:next w:val="1"/>
    <w:qFormat/>
    <w:uiPriority w:val="0"/>
    <w:pPr>
      <w:ind w:left="1680"/>
    </w:pPr>
  </w:style>
  <w:style w:type="paragraph" w:styleId="4">
    <w:name w:val="Plain Text"/>
    <w:basedOn w:val="1"/>
    <w:qFormat/>
    <w:uiPriority w:val="0"/>
    <w:rPr>
      <w:rFonts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">
    <w:name w:val="Body Text First Indent"/>
    <w:basedOn w:val="2"/>
    <w:autoRedefine/>
    <w:qFormat/>
    <w:uiPriority w:val="0"/>
    <w:pPr>
      <w:ind w:firstLine="420" w:firstLineChars="100"/>
    </w:pPr>
    <w:rPr>
      <w:rFonts w:ascii="Calibri" w:hAnsi="Calibri" w:cs="Times New Roman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区政协</Company>
  <Pages>7</Pages>
  <Words>2813</Words>
  <Characters>2879</Characters>
  <Lines>0</Lines>
  <Paragraphs>0</Paragraphs>
  <TotalTime>52</TotalTime>
  <ScaleCrop>false</ScaleCrop>
  <LinksUpToDate>false</LinksUpToDate>
  <CharactersWithSpaces>2898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2023-12-12T01:52:00Z</dcterms:created>
  <dc:creator>Administrator</dc:creator>
  <cp:lastModifiedBy>Administrator</cp:lastModifiedBy>
  <dcterms:modified xsi:type="dcterms:W3CDTF">2026-02-14T02:00:49Z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CD228644219E42F9A8C6D56F5C561ABF_13</vt:lpwstr>
  </property>
</Properties>
</file>