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before="0" w:after="0" w:line="560" w:lineRule="exact"/>
        <w:rPr>
          <w:rFonts w:ascii="方正小标宋简体" w:eastAsia="方正小标宋简体"/>
          <w:color w:val="auto"/>
          <w:lang w:val="en-US"/>
        </w:rPr>
      </w:pPr>
      <w:bookmarkStart w:id="0" w:name="bookmark2"/>
      <w:bookmarkStart w:id="1" w:name="bookmark0"/>
      <w:bookmarkStart w:id="2" w:name="bookmark1"/>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pPr>
        <w:pStyle w:val="12"/>
        <w:spacing w:after="0" w:line="560" w:lineRule="exact"/>
        <w:ind w:firstLine="2522" w:firstLineChars="900"/>
        <w:jc w:val="both"/>
        <w:rPr>
          <w:rFonts w:ascii="仿宋_GB2312" w:eastAsia="PMingLiU"/>
          <w:b/>
          <w:color w:val="auto"/>
        </w:rPr>
      </w:pPr>
      <w:bookmarkStart w:id="3" w:name="bookmark3"/>
      <w:bookmarkStart w:id="4" w:name="bookmark4"/>
      <w:bookmarkStart w:id="5" w:name="bookmark5"/>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522" w:firstLineChars="900"/>
        <w:jc w:val="both"/>
        <w:rPr>
          <w:rFonts w:ascii="仿宋_GB2312" w:eastAsia="PMingLiU"/>
          <w:b/>
          <w:color w:val="auto"/>
        </w:rPr>
      </w:pPr>
    </w:p>
    <w:p>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2"/>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化龙镇人民政府</w:t>
      </w:r>
    </w:p>
    <w:p>
      <w:pPr>
        <w:pStyle w:val="12"/>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项目承办方：广州市番禺区普爱社会工作服务社</w:t>
      </w:r>
    </w:p>
    <w:p>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2026年1</w:t>
      </w:r>
      <w:r>
        <w:rPr>
          <w:rFonts w:hint="eastAsia" w:ascii="仿宋_GB2312" w:eastAsia="仿宋_GB2312"/>
          <w:b/>
          <w:color w:val="auto"/>
          <w:lang w:val="en-US"/>
        </w:rPr>
        <w:t>月</w:t>
      </w:r>
      <w:r>
        <w:rPr>
          <w:rFonts w:hint="eastAsia" w:ascii="仿宋_GB2312" w:eastAsia="仿宋_GB2312"/>
          <w:b/>
          <w:color w:val="auto"/>
          <w:lang w:val="en-US" w:eastAsia="zh-CN"/>
        </w:rPr>
        <w:t>23</w:t>
      </w:r>
      <w:r>
        <w:rPr>
          <w:rFonts w:hint="eastAsia" w:ascii="仿宋_GB2312" w:eastAsia="仿宋_GB2312"/>
          <w:b/>
          <w:color w:val="auto"/>
          <w:lang w:val="en-US"/>
        </w:rPr>
        <w:t>日</w:t>
      </w: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2"/>
        <w:spacing w:after="0" w:line="240" w:lineRule="auto"/>
        <w:ind w:firstLine="0"/>
        <w:rPr>
          <w:color w:val="auto"/>
        </w:rPr>
      </w:pPr>
    </w:p>
    <w:bookmarkEnd w:id="3"/>
    <w:bookmarkEnd w:id="4"/>
    <w:bookmarkEnd w:id="5"/>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pPr>
        <w:pStyle w:val="12"/>
        <w:spacing w:after="0" w:line="560" w:lineRule="exact"/>
        <w:ind w:firstLine="0"/>
        <w:rPr>
          <w:rFonts w:hint="eastAsia" w:ascii="方正小标宋简体" w:eastAsia="方正小标宋简体"/>
          <w:b/>
          <w:bCs/>
          <w:color w:val="auto"/>
          <w:sz w:val="44"/>
          <w:szCs w:val="44"/>
          <w:lang w:val="en-US" w:eastAsia="zh-CN"/>
        </w:rPr>
      </w:pP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化龙镇社工服务站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1月23日，番禺区社会组织联合会5位评委及2名工作人员对化龙镇社工站展开了中期评估工作。评估为期1天，主要通过听取社工站介绍、实地考察、线上线下查阅资料、面谈（访谈）、填写问卷、电访困难群众询问等形式，对化龙镇社工站的项目管理、服务开展情况以及项目成效等方面进行评估。评估团队主要完成了以下几方面的工作：</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2"/>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w:t>
      </w:r>
      <w:r>
        <w:rPr>
          <w:rFonts w:hint="eastAsia" w:ascii="仿宋_GB2312" w:hAnsi="仿宋_GB2312" w:eastAsia="仿宋_GB2312" w:cs="仿宋_GB2312"/>
          <w:sz w:val="32"/>
          <w:szCs w:val="32"/>
          <w:lang w:eastAsia="zh-CN"/>
        </w:rPr>
        <w:t>况等</w:t>
      </w:r>
      <w:r>
        <w:rPr>
          <w:rFonts w:hint="eastAsia" w:ascii="仿宋_GB2312" w:hAnsi="仿宋_GB2312" w:eastAsia="仿宋_GB2312" w:cs="仿宋_GB2312"/>
          <w:sz w:val="32"/>
          <w:szCs w:val="32"/>
        </w:rPr>
        <w:t>方面进行观察，以评估其设施开展专业服务的适宜性。</w:t>
      </w:r>
    </w:p>
    <w:p>
      <w:pPr>
        <w:pStyle w:val="12"/>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2"/>
        <w:pageBreakBefore w:val="0"/>
        <w:widowControl w:val="0"/>
        <w:numPr>
          <w:ilvl w:val="0"/>
          <w:numId w:val="2"/>
        </w:numPr>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2"/>
        <w:pageBreakBefore w:val="0"/>
        <w:widowControl w:val="0"/>
        <w:numPr>
          <w:ilvl w:val="0"/>
          <w:numId w:val="2"/>
        </w:numPr>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2"/>
        <w:pageBreakBefore w:val="0"/>
        <w:widowControl w:val="0"/>
        <w:numPr>
          <w:ilvl w:val="0"/>
          <w:numId w:val="2"/>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根据最新管理办法要求及化龙镇社工站项目合同期限确定评估时间，制定好评估计划和评估通知。</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2"/>
        <w:pageBreakBefore w:val="0"/>
        <w:widowControl w:val="0"/>
        <w:numPr>
          <w:ilvl w:val="0"/>
          <w:numId w:val="3"/>
        </w:numPr>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社工站进行评估工作。</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化龙镇政府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化龙镇政府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社工站各出具一份评估报告，提出项目存在的问题及改进建议。</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2"/>
        <w:pageBreakBefore w:val="0"/>
        <w:widowControl w:val="0"/>
        <w:tabs>
          <w:tab w:val="left" w:pos="1006"/>
        </w:tabs>
        <w:kinsoku/>
        <w:wordWrap/>
        <w:overflowPunct/>
        <w:topLinePunct w:val="0"/>
        <w:autoSpaceDE/>
        <w:autoSpaceDN/>
        <w:bidi w:val="0"/>
        <w:adjustRightInd/>
        <w:snapToGrid/>
        <w:spacing w:after="0" w:line="54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2"/>
        <w:pageBreakBefore w:val="0"/>
        <w:widowControl w:val="0"/>
        <w:kinsoku/>
        <w:wordWrap/>
        <w:overflowPunct/>
        <w:topLinePunct w:val="0"/>
        <w:autoSpaceDE/>
        <w:autoSpaceDN/>
        <w:bidi w:val="0"/>
        <w:adjustRightInd/>
        <w:snapToGrid/>
        <w:spacing w:after="0" w:line="540" w:lineRule="exact"/>
        <w:ind w:firstLine="641"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w:t>
      </w:r>
      <w:r>
        <w:rPr>
          <w:rFonts w:hint="eastAsia" w:ascii="仿宋_GB2312" w:hAnsi="仿宋_GB2312" w:eastAsia="仿宋_GB2312" w:cs="仿宋_GB2312"/>
          <w:sz w:val="32"/>
          <w:szCs w:val="32"/>
          <w:lang w:eastAsia="zh-CN"/>
        </w:rPr>
        <w:t>双</w:t>
      </w:r>
      <w:r>
        <w:rPr>
          <w:rFonts w:ascii="仿宋_GB2312" w:hAnsi="仿宋_GB2312" w:eastAsia="仿宋_GB2312" w:cs="仿宋_GB2312"/>
          <w:sz w:val="32"/>
          <w:szCs w:val="32"/>
          <w:lang w:eastAsia="zh-CN"/>
        </w:rPr>
        <w:t>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2"/>
        <w:pageBreakBefore w:val="0"/>
        <w:widowControl w:val="0"/>
        <w:tabs>
          <w:tab w:val="left" w:pos="1480"/>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社工人员配备不足的，其中中期评估累计缺少5人次或以上，末期评估累计缺少10人次或以上；</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持证社工比例不达标的，其中中期评估累计缺少3人次或以上，末期评估累计缺少6人次或以上；</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年度服务期内人员费用支出比例低于80%的；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限期内整改不及时、不到位的；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专业评估结果为不合格的；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财务评估结果为不合格的；</w:t>
      </w:r>
    </w:p>
    <w:p>
      <w:pPr>
        <w:pStyle w:val="12"/>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（八）</w:t>
      </w:r>
      <w:r>
        <w:rPr>
          <w:rFonts w:hint="eastAsia" w:ascii="仿宋_GB2312" w:eastAsia="仿宋_GB2312"/>
          <w:sz w:val="32"/>
          <w:szCs w:val="32"/>
        </w:rPr>
        <w:t>违反国家法律法规及有关规定的其他情形，情节严重的。</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化龙镇社工站位于番禺区化龙镇亭南路15号化龙公园星光老年之家2楼。化龙镇社工服务站挂牌成立于2012年6月29日，至今一直由番禺区普爱社会工作服务社承接运营，社工站主要服务包括：党建引领服务、兜底性民生服务、基础性民生服务、普惠性民生服务四大板块。</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截至2025年1</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9.5</w:t>
      </w:r>
      <w:r>
        <w:rPr>
          <w:rFonts w:hint="eastAsia" w:ascii="仿宋_GB2312" w:hAnsi="宋体" w:eastAsia="仿宋_GB2312" w:cs="宋体"/>
          <w:sz w:val="32"/>
          <w:szCs w:val="32"/>
          <w:lang w:eastAsia="zh-CN"/>
        </w:rPr>
        <w:t>年以上。</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204</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年8月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日——2025年1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个月。</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社工站共完成家访2089户，电访891户，分别完成协议指标量的67.45%、52.47%；咨询个案22人，专业个案接案22人，服务节数135节，分别完成指标量73.33%，66.67%，49.63%。开展小组8个，完成48节，分别完成指标的53.33%、53.33%。完成社区活动21场，服务2319人次，分别完成指标的52.50%和131.76%。培育老年志愿者队伍2支，完成指标量的100.00%。（以上数据由社工站提供）。</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从以上数据可知，化龙镇社工站服务指标完成情况良好，在服务进度方面整体把握到位。</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人员配置方面：人员结构稳定，专业资质扎实。截至2025年12月31日，社工站项目在岗社工17人，应到85人次，实际到岗85人次。其中持证社工16人，持证率达94.12%。从业3年以上的社工共14人，占协议总人数的82.35%，全体社工持续在岗，稳岗率达100%。培训时数达标率为194.71%。项目负责人累计从事社工服务与管理达14年，具有中级社工师且参与社工督导学习，社工服务和管理经验丰富。</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规范方面：服务制度具体，落实有力。社工站已设立服务质量内控机制及定期内部反思总结制度，通过站点、片区月底会议推动服务有效跟进。定期组织社工开展专业伦理与服务对象权益保障相关培训与考核，初步形成制度学习与监督相结合的机制。</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（3）宣传工作方面：宣传渠道多样，信息传播有效。社工站能综合利用宣传折页、社区宣传栏、微信公众号及其他媒体平台，以多种形式发布服务动态，拓宽宣传覆盖面，增强服务知晓度与参与度。</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7"/>
      <w:bookmarkEnd w:id="31"/>
      <w:bookmarkStart w:id="32" w:name="bookmark36"/>
      <w:bookmarkEnd w:id="32"/>
      <w:bookmarkStart w:id="33" w:name="bookmark39"/>
      <w:bookmarkEnd w:id="33"/>
      <w:bookmarkStart w:id="34" w:name="bookmark38"/>
      <w:bookmarkEnd w:id="34"/>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 xml:space="preserve">（1）在服务规范与伦理实践方面：建议进一步体系化、工具化推进专业服务及成长建设。站点有定期组织社工进行服务规范、专业伦理价值等考核工作，有开展考核总结工作，但缺少考核后续的跟进提升工作。建议结合工作需要，在月度会议环节中增设“伦理议题常态化研讨计划”，由社工轮流围绕一个核心伦理议题（如“保密与保护的冲突”“如何应对服务对象过度请求”等）进行讨论，尝试建立本站点的《伦理困境案例库》，收集本站或外站的真实案例，作为研讨素材，让学习更有针对性，形成经验总结来提升实践效果。二是建议结合服务类型形成基础的《伦理自查清单》，如：个案接案的伦理清单有：知情同意书、是否解释保密原则、是否做到澄清双方角色期待等表单，借助工具更好地指引社工开展工作。 </w:t>
      </w:r>
    </w:p>
    <w:p>
      <w:pPr>
        <w:pStyle w:val="12"/>
        <w:pageBreakBefore w:val="0"/>
        <w:widowControl w:val="0"/>
        <w:numPr>
          <w:ilvl w:val="0"/>
          <w:numId w:val="4"/>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服务持续改进层面：要重点关注从“落实”到“反思”“总结”再到“优化”，形成“成效”的闭环思路。社工站可进一步跟督导商议“社工专业能力提升计划”，在督导和共学环节，建议能围绕当年度的服务内容开展针对性的研讨。如：半年阶段和年末阶段，能够对开展的个案、小组和活动进行分类研讨或者专题督导，对社工的具体服务中的角色定位、理论运用、目标设定和服务设计等方面的合适、合理和专业运用进行反思，通过具体服务来反思、总结、整改优化的思路，真正促进服务质量的持续改善。</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服务有成效。以社工站为阵地，建立“党员学习园地”、开展“一月一党课”学习。以社工党员为核心，签订《普爱党员任务清单及承诺书》，强化服务引领先锋作用。以“党建+慈善”为切入口，依托组织盘活社区资源。与本土企业党组织制定“党建连心桥服务清单”，常态化为困难群众和特殊群体提供物资、心理和社会支持服务，服务群众3991人次。与党支部联动开展“社区微管家”居家安全兜底帮扶，发动辖区内企业党组织党员，联动爱心企业、社会组织，举办公益市集，开展“非遗承光・文益共生”化龙镇传统文化传播与公益赋能项目，营造慈善氛围。与此同时，积极响应配合镇党组织开展流浪人员的临时救助和关怀、盛龙社区二期回迁政策宣导、村居换届选举等工作，完成重大节日慰问全覆盖，微心愿圆梦42个。</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兜底民生服务重落实。通过实施“益心守护”支持计划，运用“四大工作机制”，确保服务的精准和高效。完成困难群众和特殊群体建档1061人，覆盖全；入户探访2089人次，探访率达到67.45%；制定民生政策宣传计划，开展政策宣传9场次，服务1281人次，确保困难群众和特殊群体及时获取政策支持，完成困难群众和特殊群体政策咨询解答425人次、助学补助47 人次、长者饭堂配餐服务168 人次、申领残疾人两项补贴338人次，通过“线上+线下”多维度，事务岗、服务岗协同，其中“多方筑网，以任务中心模式助力困境儿童成长”的典型案例，实现了“政策找人”目标，确保政策服务落地见效。</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特色帮扶、基础民生、慈善创新项目多点开花。社工站项目结合辖区特点，充分发挥社会工作专业优势，打造困难群众和特殊群体特色帮扶项目。“社区微管家”居家安全项目直接受益1684人次，深化“五社联动”，共筑平安；“少年盾·赋能成长”小青龙成长营项目，探索“心理+成长”双轨模式，四位一体；“未”爱护航，服务493人次；“非遗承光・文益共生”社工慈善创新项目，打造“社工+慈善”融合模式，旨在通过文旅创新，助力乡村振兴。</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广州社工“红棉守护”热线后台服务记录详实，没有缺漏；社工站培育了2支老年志愿者队伍，联动了9个社区社会组织和11个志愿者队伍，持续开展困难群众和特殊群体服务16次，服务了1205人次。服务评价方面，经问卷调查、电访等方式调查服务对象满意度116人，其中109人满意度达95%以上，综合满意度较高。</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w:t>
      </w:r>
      <w:r>
        <w:rPr>
          <w:rFonts w:hint="eastAsia" w:ascii="仿宋_GB2312" w:eastAsia="仿宋_GB2312"/>
          <w:color w:val="auto"/>
          <w:sz w:val="32"/>
          <w:szCs w:val="32"/>
          <w:lang w:eastAsia="zh-CN"/>
        </w:rPr>
        <w:t>需要</w:t>
      </w:r>
      <w:r>
        <w:rPr>
          <w:rFonts w:hint="eastAsia" w:ascii="仿宋_GB2312" w:eastAsia="仿宋_GB2312"/>
          <w:color w:val="auto"/>
          <w:sz w:val="32"/>
          <w:szCs w:val="32"/>
        </w:rPr>
        <w:t>关注：</w:t>
      </w:r>
      <w:bookmarkStart w:id="36" w:name="bookmark44"/>
      <w:bookmarkEnd w:id="36"/>
      <w:bookmarkStart w:id="37" w:name="bookmark43"/>
      <w:bookmarkEnd w:id="37"/>
      <w:bookmarkStart w:id="38" w:name="bookmark45"/>
      <w:bookmarkEnd w:id="38"/>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（1）党的组织建设严谨性需要加强。一是《关于化龙镇社工站党员纳入化龙镇非公党支部复函》没有界定社工站的组织建设性质，在社工站尚未建立党组织的情况下开展“第一议题”学习、</w:t>
      </w:r>
      <w:bookmarkStart w:id="58" w:name="_GoBack"/>
      <w:bookmarkEnd w:id="58"/>
      <w:r>
        <w:rPr>
          <w:rFonts w:hint="eastAsia" w:ascii="仿宋_GB2312" w:eastAsia="仿宋_GB2312"/>
          <w:color w:val="auto"/>
          <w:sz w:val="32"/>
          <w:szCs w:val="32"/>
          <w:lang w:eastAsia="zh-CN"/>
        </w:rPr>
        <w:t>“主题党日”缺少组织依托，不严谨；二是按党章要求对党员社工进行教育、管理、监督和服务需要社工党员组织关系所在党组织提供相关资料，建议以党员日常教育管理相关材料和党员评议结果为依据。</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社工站项目的顶层设计需要优化。一是服务框架要体现出站、片、点的三层逻辑和服务侧重。站层面要聚资源，强化资源输入，突出资源整合，以组织资源和创新服务项目为抓手；片区层面要按困难群众和特殊群体分层分类情况为依据，强化困难群众和特殊群体共性需求，做好片区模块化服务设计，侧重残疾人、独居空巢长者和低保低收困难人群服务，突出专业性；点层面要建立兜底保障机制，规范服务流程，强化困难群众和特殊群体的服务针对性和有效性，夯实保障。二是服务策略方面要整合各层面项目数量，集中资源和力量明确并打造基于社工站层面的特色亮点、创新服务和“五社联动”项目，整合压缩片层面的项目及计划，回归困难群众和特殊群体共性服务模块化本质，聚焦17类困难群众和特殊群体服务清单，强化点层面精准性、有效性服务导向。</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特色亮点项目体现辖区特色方面还略显不足，亮点不鲜明，创新服务项目在资源整合链接方面的力度尚有限。建议思考化龙镇花卉农业特色和产业布局情况，充分利用在地资源，拓宽慈善创新项目的维度，将文旅、绿植、产业结合起来打造特色亮点项目和创新服务项目，强化项目的经济效益和可持续性，进一步盘活辖区社会慈善资源。此外，截至中期的服务指标，资源链接成效尚未达标，建议关注。</w:t>
      </w:r>
    </w:p>
    <w:p>
      <w:pPr>
        <w:pStyle w:val="12"/>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2"/>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第一片区：莘汀村、沙亭村、柏堂村、草堂村、复甦村</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2"/>
        <w:pageBreakBefore w:val="0"/>
        <w:widowControl w:val="0"/>
        <w:numPr>
          <w:ilvl w:val="0"/>
          <w:numId w:val="5"/>
        </w:numPr>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9" w:name="bookmark48"/>
      <w:bookmarkEnd w:id="39"/>
      <w:bookmarkStart w:id="40" w:name="bookmark46"/>
      <w:bookmarkEnd w:id="40"/>
      <w:bookmarkStart w:id="41" w:name="bookmark47"/>
      <w:bookmarkEnd w:id="41"/>
      <w:r>
        <w:rPr>
          <w:rFonts w:hint="eastAsia" w:ascii="仿宋_GB2312" w:eastAsia="仿宋_GB2312"/>
          <w:color w:val="auto"/>
          <w:sz w:val="32"/>
          <w:szCs w:val="32"/>
          <w:lang w:eastAsia="zh-CN"/>
        </w:rPr>
        <w:t>第一片区深入片区各个社工点调研需求，制定具体年度服务计划。第一片区采取服务回顾、与村居内的民政干部及书记进行焦点访谈和社区观察等方式深入调研需求，形成了具体的需求报告。在此基础上制定了片区具体可行的年度服务计划，落实兜底民生、基础性民生服务和普惠性民生服务。</w:t>
      </w:r>
    </w:p>
    <w:p>
      <w:pPr>
        <w:pStyle w:val="12"/>
        <w:pageBreakBefore w:val="0"/>
        <w:widowControl w:val="0"/>
        <w:numPr>
          <w:ilvl w:val="0"/>
          <w:numId w:val="5"/>
        </w:numPr>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第一片区户籍17类困难群众及特殊群体共建档</w:t>
      </w:r>
      <w:r>
        <w:rPr>
          <w:rFonts w:hint="default" w:ascii="仿宋_GB2312" w:eastAsia="仿宋_GB2312"/>
          <w:color w:val="auto"/>
          <w:sz w:val="32"/>
          <w:szCs w:val="32"/>
          <w:lang w:val="en-US" w:eastAsia="zh-CN"/>
        </w:rPr>
        <w:t>383</w:t>
      </w:r>
      <w:r>
        <w:rPr>
          <w:rFonts w:hint="eastAsia" w:ascii="仿宋_GB2312" w:eastAsia="仿宋_GB2312"/>
          <w:color w:val="auto"/>
          <w:sz w:val="32"/>
          <w:szCs w:val="32"/>
          <w:lang w:eastAsia="zh-CN"/>
        </w:rPr>
        <w:t>人，社工在新周期的服务中能全部落实对17类困难群众及特殊群体的分级分类建档，定期跟进服务，本周期提供探访641人次，电访（红棉热线）370人次。</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第一片区积极落实民生政策宣传工作。第一片区通过活动宣传和入户的形式，双工双岗联动向困难群众和特殊群体以及一般居民宣传居家养老、社会救助、未成年人保护、残疾人福利等多元化民生政策。评估周期内累计开展3次民生政策宣传，服务540人次，其中4名困难群众通过临时救助相关政策获得慈善助学金累计9200元，政策宣传成效较好。</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第一片区服务执行和产出较好，社工在兜底民生服务中展现了较好的专业服务精神。截至评估时间节点，第一片区各项服务指标落实推进的进度合理，部分服务指标还超额完成。社工在开展兜底民生服务中能积极关注困难群众和特殊群体的迫切需求，积极联动相关资源切实解决群众急难愁盼问题，展现了较好的专业服务精神。</w:t>
      </w:r>
    </w:p>
    <w:p>
      <w:pPr>
        <w:pStyle w:val="12"/>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w:t>
      </w:r>
      <w:r>
        <w:rPr>
          <w:rFonts w:hint="eastAsia" w:ascii="仿宋_GB2312" w:eastAsia="仿宋_GB2312"/>
          <w:color w:val="auto"/>
          <w:sz w:val="32"/>
          <w:szCs w:val="32"/>
          <w:lang w:eastAsia="zh-CN"/>
        </w:rPr>
        <w:t>需要</w:t>
      </w:r>
      <w:r>
        <w:rPr>
          <w:rFonts w:hint="eastAsia" w:ascii="仿宋_GB2312" w:eastAsia="仿宋_GB2312"/>
          <w:color w:val="auto"/>
          <w:sz w:val="32"/>
          <w:szCs w:val="32"/>
        </w:rPr>
        <w:t>关注：</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1）注意关注新建档服务对象的情况。目前第一片区部分困难群众和特殊群体的需求评估精准性还有待进一步提升。同时目前第一片区新增服务对象超过10人，但查看系统的相关资料，如分级评估表中对服务对象的需求陈述比较简单，难以看到其具体情况，由于是新建档的服务对象，建议第一次尽可能全面系统地记录相关的情况，以便为后续服务提供准确全面的依据。</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（2）建议片区注意进一步提升服务规范性及疑难个案服务的专业能力。目前查阅的个别服务资料出现时间顺序错乱、信息不一致等细节问题，建议进一步完善。</w:t>
      </w:r>
    </w:p>
    <w:p>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东南村、水门村、塘头村、化龙社区、盛龙社区</w:t>
      </w:r>
    </w:p>
    <w:p>
      <w:pPr>
        <w:pStyle w:val="12"/>
        <w:pageBreakBefore w:val="0"/>
        <w:widowControl w:val="0"/>
        <w:numPr>
          <w:ilvl w:val="0"/>
          <w:numId w:val="6"/>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3" w:name="bookmark59"/>
      <w:bookmarkEnd w:id="43"/>
      <w:bookmarkStart w:id="44" w:name="bookmark58"/>
      <w:bookmarkEnd w:id="44"/>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5" w:name="bookmark60"/>
      <w:bookmarkEnd w:id="45"/>
      <w:r>
        <w:rPr>
          <w:rFonts w:hint="eastAsia" w:ascii="仿宋_GB2312" w:eastAsia="仿宋_GB2312"/>
          <w:color w:val="auto"/>
          <w:sz w:val="32"/>
          <w:szCs w:val="32"/>
          <w:lang w:val="en-US" w:eastAsia="zh-CN"/>
        </w:rPr>
        <w:t>（1）第二片区建立了覆盖全面、动态更新的困难群众和特殊群体识别与服务响应体系，为辖区17类困难群众和特殊群体建立个人档案276份，建档率达100%，并依托信息化平台实现了动态监测与实时更新。社工团队根据评估结果将服务对象分为六个等级，制定了差异化的服务计划。本次服务周期内，团队开展专业个案8个、小组活动3个，针对孤寡长者、困境儿童、低保对象等不同群体提供了居家安全改善、行为矫正、情绪支持等针对性服务。同时，在台风、寒潮等极端天气及中秋等重大节日期间，社工团队通过“红棉守护”热线与上门探访提供关怀问候，将应急响应与恒常关怀进行了结合。</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第二片区较好地发挥了“五社联动”的机制作用，积极链接内外资源，形成了多元支持格局：通过“双岗双工”机制开展联动54次，协同处理事务13次；成功链接12家慈善机构、企业及社会团体，整合物资与资金折合5.7万余元，用于微心愿圆梦、节日慰问、居家改造等，切实缓解困难群众生活压力；发动104人次志愿者参与服务，培育“安居护航初老志愿服务队”1支，推动志愿服务从“参与”到“赋能”的转变，增强了社区自我服务能力。</w:t>
      </w:r>
    </w:p>
    <w:p>
      <w:pPr>
        <w:pStyle w:val="12"/>
        <w:pageBreakBefore w:val="0"/>
        <w:widowControl w:val="0"/>
        <w:numPr>
          <w:ilvl w:val="0"/>
          <w:numId w:val="0"/>
        </w:numPr>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第二片区通过“社区微管家”项目，为24户高风险困难群众完成了居家安全隐患排查，并实施安装扶手、安全铃、更换电器等实体改造，实现“排查—介入—改善”的完整服务链条，有效降低了居家意外风险。同时，社工团队通过政策宣传活动，覆盖454人次，成功协助157人次识别政策需求，推动8人次申领助学补助、145人次享受残疾人补贴等，实现了“政策找人”的服务转变。</w:t>
      </w:r>
    </w:p>
    <w:p>
      <w:pPr>
        <w:pStyle w:val="12"/>
        <w:pageBreakBefore w:val="0"/>
        <w:widowControl w:val="0"/>
        <w:numPr>
          <w:ilvl w:val="0"/>
          <w:numId w:val="0"/>
        </w:numPr>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2"/>
        <w:pageBreakBefore w:val="0"/>
        <w:widowControl w:val="0"/>
        <w:numPr>
          <w:ilvl w:val="0"/>
          <w:numId w:val="7"/>
        </w:numPr>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bookmarkStart w:id="46" w:name="bookmark62"/>
      <w:bookmarkEnd w:id="46"/>
      <w:bookmarkStart w:id="47" w:name="bookmark61"/>
      <w:bookmarkEnd w:id="47"/>
      <w:r>
        <w:rPr>
          <w:rFonts w:hint="eastAsia" w:ascii="仿宋_GB2312" w:eastAsia="仿宋_GB2312"/>
          <w:color w:val="auto"/>
          <w:sz w:val="32"/>
          <w:szCs w:val="32"/>
          <w:lang w:val="en-US" w:eastAsia="zh-CN"/>
        </w:rPr>
        <w:t>在需求评估中，可加强内容的深化，增强数据等信息的支撑，引入风险等级评估维度，如安全风险指标、心理风险指标和社会支持风险指标等。进行需求成因分析，针对一些高频需求，如居家安全，不仅发现问题或描述现象，更应分析其在个人、家庭或社区层面的可能成因，为后期系统性干预提供依据。建议增加需求类型与服务资源的匹配分析，避免资源分析只是简单的信息罗列，未能充分发挥其对服务的助力作用。</w:t>
      </w:r>
    </w:p>
    <w:p>
      <w:pPr>
        <w:pStyle w:val="12"/>
        <w:pageBreakBefore w:val="0"/>
        <w:widowControl w:val="0"/>
        <w:numPr>
          <w:ilvl w:val="0"/>
          <w:numId w:val="7"/>
        </w:numPr>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在片区的年度服务规划里，目前一些服务目标的表述较为概括，可进一步细化与分层，从而增强目标的可衡量性。建议设立成果导向目标与过程目标，如居家安全服务中的排查覆盖率和改造后满意度等；分级评估的更新次数和联动资源方的数量等。其次可强化“双工双岗+五社联动”机制在服务设计中的角色。目前机制已提及，但在服务设计中的具体运作方式可进一步明确，如五社联动的任务清单，针对每类服务列出社区、社会组织、社工、社区志愿者、社会资源各自可承担的角色与任务等。</w:t>
      </w:r>
    </w:p>
    <w:p>
      <w:pPr>
        <w:pStyle w:val="12"/>
        <w:pageBreakBefore w:val="0"/>
        <w:widowControl w:val="0"/>
        <w:numPr>
          <w:ilvl w:val="0"/>
          <w:numId w:val="7"/>
        </w:numPr>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可进一步关注困难群众和特殊群体建档服务中，对所评估问题的跟进处理记录。其次，在典型案例的提炼中，强化理论支撑，说明社工介入的理论依据。在总结与反思中，可结合理论对服务成效进行解释，提炼出更具操作性的服务流程或介入模型，增强专业深度，更好地提升典型案例对于服务指导的贡献度。 </w:t>
      </w:r>
    </w:p>
    <w:p>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明经村、潭山村、西山村、山门村、眉山村</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pPr>
        <w:pStyle w:val="12"/>
        <w:pageBreakBefore w:val="0"/>
        <w:widowControl w:val="0"/>
        <w:numPr>
          <w:ilvl w:val="0"/>
          <w:numId w:val="8"/>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bookmarkStart w:id="48" w:name="bookmark64"/>
      <w:bookmarkEnd w:id="48"/>
      <w:bookmarkStart w:id="49" w:name="bookmark65"/>
      <w:bookmarkEnd w:id="49"/>
      <w:bookmarkStart w:id="50" w:name="bookmark63"/>
      <w:bookmarkEnd w:id="50"/>
      <w:bookmarkStart w:id="51" w:name="bookmark66"/>
      <w:bookmarkEnd w:id="51"/>
      <w:r>
        <w:rPr>
          <w:rFonts w:hint="eastAsia" w:ascii="仿宋_GB2312" w:eastAsia="仿宋_GB2312"/>
          <w:color w:val="auto"/>
          <w:sz w:val="32"/>
          <w:szCs w:val="32"/>
          <w:lang w:eastAsia="zh-CN"/>
        </w:rPr>
        <w:t>针对上期评估提出的两项意见均进行了整改。一是进一步完善了疑难案例的书写，上半周共产出4个疑难案例，具有服务模式的探索，质量较好；二是服务记录较具体，注意服务期间影像资料的保存，佐证服务的真实性。</w:t>
      </w:r>
    </w:p>
    <w:p>
      <w:pPr>
        <w:pStyle w:val="12"/>
        <w:pageBreakBefore w:val="0"/>
        <w:widowControl w:val="0"/>
        <w:numPr>
          <w:ilvl w:val="0"/>
          <w:numId w:val="8"/>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各类指标完成情况（以综合管理平台数据为准）较好，服务进度合理。三片区累计建档402户，完成100%建档，服务频次与《广州市社工站购买服务项目服务清单（民政领域社会工作）》的要求基本一致；为困难群众和特殊群众提供探访780人次，电访（含红棉热线）342人次；开展咨询个案5个7节次（以综合管理平台数据为准），专业个案47节次，结案2个；开展小组3个，18节，服务167人次；开展大型活动1个，服务 100人次；开展中小型活动/工作坊5个，服务 147人次；为10户困难群众和特殊群体提供居家安全排查；开展政策宣传3场次，覆盖共287人次。</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2"/>
        <w:pageBreakBefore w:val="0"/>
        <w:widowControl w:val="0"/>
        <w:numPr>
          <w:ilvl w:val="0"/>
          <w:numId w:val="9"/>
        </w:numPr>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bookmarkStart w:id="52" w:name="bookmark68"/>
      <w:bookmarkEnd w:id="52"/>
      <w:bookmarkStart w:id="53" w:name="bookmark67"/>
      <w:bookmarkEnd w:id="53"/>
      <w:bookmarkStart w:id="54" w:name="bookmark69"/>
      <w:bookmarkEnd w:id="54"/>
      <w:r>
        <w:rPr>
          <w:rFonts w:hint="eastAsia" w:ascii="仿宋_GB2312" w:eastAsia="仿宋_GB2312"/>
          <w:color w:val="auto"/>
          <w:sz w:val="32"/>
          <w:szCs w:val="32"/>
          <w:lang w:eastAsia="zh-CN"/>
        </w:rPr>
        <w:t>进一步提高分级评估的准确性。经查，存在评估依据不足的情况，重点关注档案号G-HL-mingjing-012，G-HL-CJ-meishan-006，G-HL-CJ-mingjing-005，以上案例因分级评估准确性不足影响了服务频次。</w:t>
      </w:r>
    </w:p>
    <w:p>
      <w:pPr>
        <w:pStyle w:val="12"/>
        <w:pageBreakBefore w:val="0"/>
        <w:widowControl w:val="0"/>
        <w:numPr>
          <w:ilvl w:val="0"/>
          <w:numId w:val="9"/>
        </w:numPr>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 xml:space="preserve">进一步提高探访、电访服务的质量。档案号G-HL-shanmen-003（四级对象，困境儿童，存在学校适应的需求），未针对个体需求提供针对性的专业服务或服务记录不详尽。 </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 xml:space="preserve">）专业服务质量待提升，如：小组服务目标设计未有效覆盖困难群众和特殊群体，需关注个案服务的及时性和有效性。如“文化暖阳•青少年公益文创制作小组”服务在背景分析上融入了困难群众和特殊群体的需求，服务目标含文创产品设计制作、入户探访技巧培训，服务过程及成效分析未体现以上两个目标的融合效果，目标之间的关联性不足。该小组主要服务对象为青少年，但在综合管理平台数据关联的受惠人员为3名在册长者，与实际服务对象不相符，签到表中实际的务对象共9名青少年，仅1人为在册的困难及特殊人群，占比仅为11.1%，偏低。个案服务方面，档案号为G-HL-S-ZYC-202511-01-05主诉疾病困扰，社工未核实相关诊断资料便给予疼痛管理建议，存在服务风险，宜链接专业资源，由社工统筹进行全面健康管理干预。 </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）发展性建议：建议从社工站层面规范专业服务的质量管理，一是完善分级评估结论的审核机制，二是完善个案、小组服务的督导程序。</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hint="default" w:ascii="仿宋_GB2312" w:hAnsi="宋体"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社工站能够结合镇的中心工作任务，发挥优势推动工作开展，重视辖区资源的发掘，关爱困难群众和特殊群体，注重收集社区需求，有针对性地开展社区服务项目，精准解决社区问题，推动社区服务有效开展。</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社工站及服务机构需持续支持社工团队专业水平和能力提升，关爱稳定团队。</w:t>
      </w:r>
    </w:p>
    <w:p>
      <w:pPr>
        <w:pStyle w:val="12"/>
        <w:keepNext w:val="0"/>
        <w:keepLines w:val="0"/>
        <w:pageBreakBefore w:val="0"/>
        <w:widowControl w:val="0"/>
        <w:numPr>
          <w:ilvl w:val="0"/>
          <w:numId w:val="10"/>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1）项目建立常态化学习与督导机制。项目通过分层分类的方式摸查社工能力提升需求，结合培训、督导及共学计划扎实推进，并结合上期评估建议意见增设监测机制。在内部共学组织方面，积极调动内部督导及各片区负责人，每月开展全员学习，形成常态化学风，积极调动内部督导及各片区负责人，每月组织全员开展，形成常态化的学习机制；同时，建立了内部督导考核评价制度，就内部督导的培养与使用评价，进行了系统的成效反馈与总结，有一定的制度执行力与管理闭环。</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项目“双工”联动机制有效落实。在街道高度重视与统筹部署下，项目团队定期参与“双工”联动沟通会议，促进信息互通与协作对接。项目社工积极与村（居）负责人交流服务难点，协同跟进并整合多方资源，有力推动了兜底民生服务的深入开展。</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3）项目成果宣传体系多元。项目制定年度宣传计划，目标清晰、预算合理，并建立效果评估机制，动员社工参与积极。团队注重服务经验总结与成果转化，积极参与“羊城工匠杯”首届社会工作专业人才技能竞赛并荣获团体赛优秀奖，项目社工参与撰写的案例《从“经济兜底”到“社会融入”：困境儿童社区融合的分层结构与机制创新研究》获省级学术年会论文一等奖等，体现了专业影响力与社会传播成效。</w:t>
      </w:r>
    </w:p>
    <w:p>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eastAsia="zh-CN"/>
        </w:rPr>
        <w:t>经评委评估分析访谈情况和查阅项目调研、家访、个案服务等各类服务工作痕迹记录资料，该项目以下几方面需关注：</w:t>
      </w:r>
    </w:p>
    <w:p>
      <w:pPr>
        <w:pStyle w:val="12"/>
        <w:pageBreakBefore w:val="0"/>
        <w:widowControl w:val="0"/>
        <w:numPr>
          <w:ilvl w:val="0"/>
          <w:numId w:val="11"/>
        </w:numPr>
        <w:kinsoku/>
        <w:wordWrap/>
        <w:overflowPunct/>
        <w:topLinePunct w:val="0"/>
        <w:autoSpaceDE/>
        <w:autoSpaceDN/>
        <w:bidi w:val="0"/>
        <w:adjustRightInd/>
        <w:snapToGrid/>
        <w:spacing w:after="0" w:line="54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进一步加强能力提升体系的规划与落实。一是强化体系的逻辑闭环，建议围绕分层分类需求，建立更具针对性、可衡量的目标与计划，推动形成“需求分析—目标设定—计划执行—定期检视—成效总结”的完整闭环；二是加强内部督导计划实施的过程监测，动态检视督导计划落实进度和成效，保障社工能力成长目标有效达成。</w:t>
      </w:r>
    </w:p>
    <w:p>
      <w:pPr>
        <w:pStyle w:val="12"/>
        <w:pageBreakBefore w:val="0"/>
        <w:widowControl w:val="0"/>
        <w:numPr>
          <w:ilvl w:val="0"/>
          <w:numId w:val="11"/>
        </w:numPr>
        <w:kinsoku/>
        <w:wordWrap/>
        <w:overflowPunct/>
        <w:topLinePunct w:val="0"/>
        <w:autoSpaceDE/>
        <w:autoSpaceDN/>
        <w:bidi w:val="0"/>
        <w:adjustRightInd/>
        <w:snapToGrid/>
        <w:spacing w:after="0" w:line="540" w:lineRule="exact"/>
        <w:ind w:left="0" w:leftChars="0" w:firstLine="600" w:firstLineChars="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成果宣传与转化机制可进一步拓展与深化。建议在现有宣传基础上，进一步加强与外部传播平台的主动对接，拓展多元化合作渠道，探索建立稳定、深度的宣传协作模式；同时，应持续提升团队的研究提炼与成果转化能力，推动服务经验向可复制、可推广的实务模式或工具包转化，增强案例等成果的创新性与行业示范性，扩大项目传播覆盖面与社会影响力。</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00" w:leftChars="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社工站的反馈如下：</w:t>
      </w:r>
      <w:bookmarkStart w:id="55" w:name="bookmark85"/>
      <w:bookmarkEnd w:id="55"/>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1.现场反馈：</w:t>
      </w:r>
      <w:r>
        <w:rPr>
          <w:rFonts w:hint="eastAsia" w:ascii="仿宋_GB2312" w:hAnsi="宋体" w:eastAsia="仿宋_GB2312"/>
          <w:color w:val="auto"/>
          <w:sz w:val="32"/>
          <w:szCs w:val="32"/>
          <w:lang w:eastAsia="zh-CN"/>
        </w:rPr>
        <w:t>经过为期一天的评估，评委针对</w:t>
      </w:r>
      <w:r>
        <w:rPr>
          <w:rFonts w:hint="eastAsia" w:ascii="仿宋_GB2312" w:hAnsi="宋体" w:eastAsia="仿宋_GB2312"/>
          <w:color w:val="auto"/>
          <w:sz w:val="32"/>
          <w:szCs w:val="32"/>
          <w:lang w:val="en-US" w:eastAsia="zh-CN"/>
        </w:rPr>
        <w:t>化龙镇</w:t>
      </w:r>
      <w:r>
        <w:rPr>
          <w:rFonts w:hint="eastAsia" w:ascii="仿宋_GB2312" w:hAnsi="宋体" w:eastAsia="仿宋_GB2312"/>
          <w:color w:val="auto"/>
          <w:sz w:val="32"/>
          <w:szCs w:val="32"/>
          <w:lang w:eastAsia="zh-CN"/>
        </w:rPr>
        <w:t>社工站的情况，进行了现场总结反馈，在总结反馈环节，</w:t>
      </w:r>
      <w:r>
        <w:rPr>
          <w:rFonts w:hint="eastAsia" w:ascii="仿宋_GB2312" w:hAnsi="宋体" w:eastAsia="仿宋_GB2312"/>
          <w:color w:val="auto"/>
          <w:sz w:val="32"/>
          <w:szCs w:val="32"/>
          <w:lang w:val="en-US" w:eastAsia="zh-CN"/>
        </w:rPr>
        <w:t>化龙镇</w:t>
      </w:r>
      <w:r>
        <w:rPr>
          <w:rFonts w:hint="eastAsia" w:ascii="仿宋_GB2312" w:hAnsi="宋体" w:eastAsia="仿宋_GB2312"/>
          <w:color w:val="auto"/>
          <w:sz w:val="32"/>
          <w:szCs w:val="32"/>
          <w:lang w:eastAsia="zh-CN"/>
        </w:rPr>
        <w:t>社工站表示对评委们提出的意见和建议无异议。</w:t>
      </w:r>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2.对评估报告初稿的反馈：</w:t>
      </w:r>
      <w:r>
        <w:rPr>
          <w:rFonts w:hint="eastAsia" w:ascii="仿宋_GB2312" w:hAnsi="宋体" w:eastAsia="仿宋_GB2312"/>
          <w:color w:val="auto"/>
          <w:sz w:val="32"/>
          <w:szCs w:val="32"/>
          <w:lang w:eastAsia="zh-CN"/>
        </w:rPr>
        <w:t>番禺区民政局、</w:t>
      </w:r>
      <w:r>
        <w:rPr>
          <w:rFonts w:hint="eastAsia" w:ascii="仿宋_GB2312" w:hAnsi="宋体" w:eastAsia="仿宋_GB2312"/>
          <w:color w:val="auto"/>
          <w:sz w:val="32"/>
          <w:szCs w:val="32"/>
          <w:lang w:val="en-US" w:eastAsia="zh-CN"/>
        </w:rPr>
        <w:t>化龙镇人民政府</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化龙镇</w:t>
      </w:r>
      <w:r>
        <w:rPr>
          <w:rFonts w:hint="eastAsia" w:ascii="仿宋_GB2312" w:hAnsi="宋体" w:eastAsia="仿宋_GB2312"/>
          <w:color w:val="auto"/>
          <w:sz w:val="32"/>
          <w:szCs w:val="32"/>
          <w:lang w:eastAsia="zh-CN"/>
        </w:rPr>
        <w:t>社工站对评估报告初稿无异议。</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hAnsi="宋体" w:eastAsia="仿宋_GB2312"/>
          <w:color w:val="auto"/>
          <w:sz w:val="32"/>
          <w:szCs w:val="32"/>
          <w:lang w:val="en-US" w:eastAsia="zh-CN"/>
        </w:rPr>
        <w:t>化龙镇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w:t>
      </w:r>
      <w:r>
        <w:rPr>
          <w:rFonts w:hint="eastAsia" w:ascii="仿宋_GB2312" w:eastAsia="仿宋_GB2312"/>
          <w:color w:val="auto"/>
          <w:sz w:val="32"/>
          <w:szCs w:val="32"/>
          <w:highlight w:val="none"/>
        </w:rPr>
        <w:t>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优秀</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90.18</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pStyle w:val="12"/>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专业服务板块</w:t>
            </w:r>
          </w:p>
        </w:tc>
        <w:tc>
          <w:tcPr>
            <w:tcW w:w="72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47.03</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Style w:val="31"/>
                <w:rFonts w:hint="default" w:ascii="仿宋_GB2312" w:hAnsi="仿宋_GB2312" w:eastAsia="仿宋_GB2312" w:cs="仿宋_GB2312"/>
                <w:sz w:val="28"/>
                <w:szCs w:val="28"/>
                <w:lang w:eastAsia="zh-CN"/>
              </w:rPr>
              <w:t>购买方</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highlight w:val="none"/>
                <w:lang w:eastAsia="zh-CN"/>
              </w:rPr>
              <w:t>督导中心</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15</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14.05</w:t>
            </w:r>
          </w:p>
        </w:tc>
        <w:tc>
          <w:tcPr>
            <w:tcW w:w="848" w:type="pct"/>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highlight w:val="yellow"/>
                <w:lang w:eastAsia="zh-CN"/>
              </w:rPr>
            </w:pPr>
            <w:r>
              <w:rPr>
                <w:rFonts w:hint="default" w:ascii="仿宋_GB2312" w:hAnsi="仿宋_GB2312" w:eastAsia="仿宋_GB2312" w:cs="仿宋_GB2312"/>
                <w:sz w:val="28"/>
                <w:szCs w:val="28"/>
                <w:lang w:eastAsia="zh-CN"/>
              </w:rPr>
              <w:t>监督方</w:t>
            </w:r>
          </w:p>
        </w:tc>
        <w:tc>
          <w:tcPr>
            <w:tcW w:w="728" w:type="pct"/>
            <w:vAlign w:val="center"/>
          </w:tcPr>
          <w:p>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rPr>
              <w:t>10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c>
          <w:tcPr>
            <w:tcW w:w="848" w:type="pct"/>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pPr>
              <w:widowControl/>
              <w:jc w:val="center"/>
              <w:textAlignment w:val="center"/>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90.18</w:t>
            </w:r>
          </w:p>
        </w:tc>
      </w:tr>
    </w:tbl>
    <w:p>
      <w:pPr>
        <w:pStyle w:val="10"/>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hAnsi="宋体" w:eastAsia="仿宋_GB2312"/>
          <w:color w:val="auto"/>
          <w:sz w:val="32"/>
          <w:szCs w:val="32"/>
          <w:lang w:val="en-US" w:eastAsia="zh-CN"/>
        </w:rPr>
        <w:t>化龙镇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化龙镇党委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广州市番禺区普爱社会工作服务社</w:t>
      </w:r>
      <w:r>
        <w:rPr>
          <w:rFonts w:hint="eastAsia" w:ascii="仿宋_GB2312" w:eastAsia="仿宋_GB2312"/>
          <w:color w:val="auto"/>
          <w:sz w:val="32"/>
          <w:szCs w:val="32"/>
        </w:rPr>
        <w:t>的努力下，</w:t>
      </w:r>
      <w:r>
        <w:rPr>
          <w:rFonts w:hint="eastAsia" w:ascii="仿宋_GB2312" w:eastAsia="仿宋_GB2312"/>
          <w:color w:val="auto"/>
          <w:sz w:val="32"/>
          <w:szCs w:val="32"/>
          <w:lang w:eastAsia="zh-CN"/>
        </w:rPr>
        <w:t>能</w:t>
      </w:r>
      <w:r>
        <w:rPr>
          <w:rFonts w:hint="eastAsia" w:ascii="仿宋_GB2312" w:eastAsia="仿宋_GB2312"/>
          <w:color w:val="auto"/>
          <w:sz w:val="32"/>
          <w:szCs w:val="32"/>
          <w:lang w:val="en-US" w:eastAsia="zh-CN"/>
        </w:rPr>
        <w:t>坚持党的领导，积极配合镇政府的相关工作；项目人员配备充足，持证比例高；社工站已设立服务质量内控机制及定期内部反思总结制度，通过站点、片区月底会议推动服务有效跟进。宣传渠道多样，信息传播有效。</w:t>
      </w:r>
      <w:r>
        <w:rPr>
          <w:rFonts w:hint="eastAsia" w:ascii="仿宋_GB2312" w:eastAsia="仿宋_GB2312"/>
          <w:color w:val="auto"/>
          <w:sz w:val="32"/>
          <w:szCs w:val="32"/>
          <w:lang w:eastAsia="zh-CN"/>
        </w:rPr>
        <w:t>能够结合镇的中心工作任务，发挥优势推动工作开展，重视辖区资源的发掘，关爱困难群众和特殊群体，注重收集社区需求，有针对性地开展社区服务项目，精准解决社区问题，推动社区服务有效开展</w:t>
      </w:r>
      <w:r>
        <w:rPr>
          <w:rFonts w:hint="eastAsia" w:ascii="仿宋_GB2312" w:eastAsia="仿宋_GB2312"/>
          <w:color w:val="auto"/>
          <w:sz w:val="32"/>
          <w:szCs w:val="32"/>
          <w:lang w:val="en-US" w:eastAsia="zh-CN"/>
        </w:rPr>
        <w:t>。</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社工站需要加强党的组织建设严谨性；项目的顶层设计需要优化；在需求评估中，可加强内容的深化，增强数据等信息的支撑，引入风险等级评估维度；进一步关注困难群众和特殊群体建档服务中，对所评估问题的跟进处理记录，强化专业服务能力，</w:t>
      </w:r>
      <w:r>
        <w:rPr>
          <w:rFonts w:hint="eastAsia" w:ascii="仿宋_GB2312" w:eastAsia="仿宋_GB2312"/>
          <w:color w:val="auto"/>
          <w:sz w:val="32"/>
          <w:szCs w:val="32"/>
          <w:lang w:eastAsia="zh-CN"/>
        </w:rPr>
        <w:t>提升专业服务质量；</w:t>
      </w:r>
      <w:r>
        <w:rPr>
          <w:rFonts w:hint="eastAsia" w:ascii="仿宋_GB2312" w:eastAsia="仿宋_GB2312"/>
          <w:color w:val="auto"/>
          <w:sz w:val="32"/>
          <w:szCs w:val="32"/>
          <w:lang w:val="en-US" w:eastAsia="zh-CN"/>
        </w:rPr>
        <w:t>在现有宣传基础上，进一步加强与外部传播平台的主动对接，拓展多元化合作渠道，探索建立稳定、深度的宣传协作模式。</w:t>
      </w:r>
    </w:p>
    <w:p>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eastAsia" w:ascii="仿宋_GB2312" w:eastAsia="仿宋_GB2312"/>
          <w:color w:val="auto"/>
          <w:sz w:val="32"/>
          <w:szCs w:val="32"/>
          <w:lang w:val="en-US" w:eastAsia="zh-CN"/>
        </w:rPr>
      </w:pPr>
    </w:p>
    <w:p>
      <w:pPr>
        <w:pStyle w:val="12"/>
        <w:spacing w:after="160" w:line="560" w:lineRule="exact"/>
        <w:ind w:firstLine="640"/>
        <w:jc w:val="both"/>
        <w:rPr>
          <w:rFonts w:ascii="仿宋_GB2312" w:eastAsia="仿宋_GB2312"/>
          <w:color w:val="auto"/>
          <w:sz w:val="32"/>
          <w:szCs w:val="32"/>
        </w:rPr>
      </w:pPr>
      <w:r>
        <w:rPr>
          <w:rFonts w:hint="eastAsia" w:ascii="仿宋_GB2312" w:eastAsia="仿宋_GB2312"/>
          <w:color w:val="auto"/>
          <w:sz w:val="32"/>
          <w:szCs w:val="32"/>
        </w:rPr>
        <w:t>附件：</w:t>
      </w:r>
      <w:r>
        <w:rPr>
          <w:rFonts w:hint="eastAsia" w:ascii="仿宋_GB2312" w:hAnsi="Times New Roman" w:eastAsia="仿宋_GB2312" w:cs="Times New Roman"/>
          <w:color w:val="auto"/>
          <w:sz w:val="32"/>
          <w:szCs w:val="32"/>
        </w:rPr>
        <w:t>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社工服务站指标完成情况统计表</w:t>
      </w:r>
    </w:p>
    <w:p>
      <w:pPr>
        <w:tabs>
          <w:tab w:val="left" w:pos="7330"/>
        </w:tabs>
        <w:spacing w:line="560" w:lineRule="exact"/>
        <w:ind w:firstLine="1600" w:firstLineChars="500"/>
        <w:jc w:val="both"/>
        <w:rPr>
          <w:sz w:val="32"/>
          <w:szCs w:val="32"/>
          <w:lang w:eastAsia="zh-CN"/>
        </w:rPr>
      </w:pPr>
      <w:r>
        <w:rPr>
          <w:rFonts w:hint="eastAsia" w:ascii="仿宋_GB2312" w:hAnsi="Times New Roman" w:eastAsia="仿宋_GB2312" w:cs="Times New Roman"/>
          <w:color w:val="auto"/>
          <w:sz w:val="32"/>
          <w:szCs w:val="32"/>
        </w:rPr>
        <w:t>2</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社工服务站工作人员情况统计表</w:t>
      </w:r>
    </w:p>
    <w:p>
      <w:pPr>
        <w:rPr>
          <w:lang w:eastAsia="zh-CN"/>
        </w:rPr>
      </w:pPr>
    </w:p>
    <w:p>
      <w:pPr>
        <w:tabs>
          <w:tab w:val="left" w:pos="7330"/>
        </w:tabs>
        <w:spacing w:line="560" w:lineRule="exact"/>
        <w:ind w:firstLine="5120" w:firstLineChars="1600"/>
        <w:jc w:val="both"/>
        <w:rPr>
          <w:rFonts w:hint="eastAsia"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hint="eastAsia"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hint="eastAsia"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pStyle w:val="12"/>
        <w:spacing w:after="160" w:line="360" w:lineRule="auto"/>
        <w:ind w:firstLine="6080" w:firstLineChars="19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r>
                            <w:fldChar w:fldCharType="begin"/>
                          </w:r>
                          <w:r>
                            <w:instrText xml:space="preserve"> PAGE  \* MERGEFORMAT </w:instrText>
                          </w:r>
                          <w:r>
                            <w:fldChar w:fldCharType="separate"/>
                          </w:r>
                          <w:r>
                            <w:t>19</w:t>
                          </w:r>
                          <w: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Eb63XJAQAAk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cgLw7tjpPKZWyo2Vpg4UKuyumms0iw8zvOth19p+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8RvrdckBAACSAwAADgAAAAAAAAABACAAAAAfAQAAZHJzL2Uyb0Rv&#10;Yy54bWxQSwUGAAAAAAYABgBZAQAAWgU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19</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r>
                            <w:fldChar w:fldCharType="begin"/>
                          </w:r>
                          <w:r>
                            <w:instrText xml:space="preserve"> PAGE  \* MERGEFORMAT </w:instrText>
                          </w:r>
                          <w:r>
                            <w:fldChar w:fldCharType="separate"/>
                          </w:r>
                          <w:r>
                            <w:t>18</w:t>
                          </w:r>
                          <w:r>
                            <w:fldChar w:fldCharType="end"/>
                          </w:r>
                        </w:p>
                      </w:txbxContent>
                    </wps:txbx>
                    <wps:bodyPr vert="horz" wrap="none" lIns="0" tIns="0" rIns="0" bIns="0" anchor="t">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XW5UtAAAAAFAQAADwAAAAAAAAABACAAAAAiAAAAZHJzL2Rvd25yZXYu&#10;eG1sUEsBAhQAFAAAAAgAh07iQHwkrQrKAQAAkgMAAA4AAAAAAAAAAQAgAAAAHwEAAGRycy9lMm9E&#10;b2MueG1sUEsFBgAAAAAGAAYAWQEAAFs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18</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2"/>
    <w:multiLevelType w:val="singleLevel"/>
    <w:tmpl w:val="00000002"/>
    <w:lvl w:ilvl="0" w:tentative="0">
      <w:start w:val="7"/>
      <w:numFmt w:val="chineseCounting"/>
      <w:suff w:val="nothing"/>
      <w:lvlText w:val="（%1）"/>
      <w:lvlJc w:val="left"/>
      <w:rPr>
        <w:rFonts w:hint="eastAsia"/>
      </w:rPr>
    </w:lvl>
  </w:abstractNum>
  <w:abstractNum w:abstractNumId="3">
    <w:nsid w:val="00000003"/>
    <w:multiLevelType w:val="singleLevel"/>
    <w:tmpl w:val="00000003"/>
    <w:lvl w:ilvl="0" w:tentative="0">
      <w:start w:val="1"/>
      <w:numFmt w:val="decimal"/>
      <w:suff w:val="nothing"/>
      <w:lvlText w:val="（%1）"/>
      <w:lvlJc w:val="left"/>
    </w:lvl>
  </w:abstractNum>
  <w:abstractNum w:abstractNumId="4">
    <w:nsid w:val="00000004"/>
    <w:multiLevelType w:val="singleLevel"/>
    <w:tmpl w:val="00000004"/>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5">
    <w:nsid w:val="00000005"/>
    <w:multiLevelType w:val="singleLevel"/>
    <w:tmpl w:val="00000005"/>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6">
    <w:nsid w:val="00000006"/>
    <w:multiLevelType w:val="singleLevel"/>
    <w:tmpl w:val="00000006"/>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7">
    <w:nsid w:val="00000007"/>
    <w:multiLevelType w:val="singleLevel"/>
    <w:tmpl w:val="00000007"/>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8">
    <w:nsid w:val="00000008"/>
    <w:multiLevelType w:val="singleLevel"/>
    <w:tmpl w:val="00000008"/>
    <w:lvl w:ilvl="0" w:tentative="0">
      <w:start w:val="1"/>
      <w:numFmt w:val="decimal"/>
      <w:suff w:val="nothing"/>
      <w:lvlText w:val="（%1）"/>
      <w:lvlJc w:val="left"/>
    </w:lvl>
  </w:abstractNum>
  <w:abstractNum w:abstractNumId="9">
    <w:nsid w:val="00000009"/>
    <w:multiLevelType w:val="singleLevel"/>
    <w:tmpl w:val="00000009"/>
    <w:lvl w:ilvl="0" w:tentative="0">
      <w:start w:val="1"/>
      <w:numFmt w:val="decimal"/>
      <w:suff w:val="nothing"/>
      <w:lvlText w:val="（%1）"/>
      <w:lvlJc w:val="left"/>
    </w:lvl>
  </w:abstractNum>
  <w:abstractNum w:abstractNumId="10">
    <w:nsid w:val="0000000A"/>
    <w:multiLevelType w:val="singleLevel"/>
    <w:tmpl w:val="0000000A"/>
    <w:lvl w:ilvl="0" w:tentative="0">
      <w:start w:val="2"/>
      <w:numFmt w:val="decimal"/>
      <w:suff w:val="nothing"/>
      <w:lvlText w:val="（%1）"/>
      <w:lvlJc w:val="left"/>
    </w:lvl>
  </w:abstractNum>
  <w:num w:numId="1">
    <w:abstractNumId w:val="7"/>
  </w:num>
  <w:num w:numId="2">
    <w:abstractNumId w:val="4"/>
  </w:num>
  <w:num w:numId="3">
    <w:abstractNumId w:val="5"/>
  </w:num>
  <w:num w:numId="4">
    <w:abstractNumId w:val="10"/>
  </w:num>
  <w:num w:numId="5">
    <w:abstractNumId w:val="3"/>
  </w:num>
  <w:num w:numId="6">
    <w:abstractNumId w:val="6"/>
  </w:num>
  <w:num w:numId="7">
    <w:abstractNumId w:val="0"/>
  </w:num>
  <w:num w:numId="8">
    <w:abstractNumId w:val="1"/>
  </w:num>
  <w:num w:numId="9">
    <w:abstractNumId w:val="8"/>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40D2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3">
    <w:name w:val="Body Text"/>
    <w:basedOn w:val="1"/>
    <w:link w:val="30"/>
    <w:qFormat/>
    <w:uiPriority w:val="0"/>
    <w:pPr>
      <w:spacing w:after="120"/>
    </w:pPr>
  </w:style>
  <w:style w:type="paragraph" w:styleId="4">
    <w:name w:val="footer"/>
    <w:basedOn w:val="1"/>
    <w:link w:val="28"/>
    <w:qFormat/>
    <w:uiPriority w:val="0"/>
    <w:pPr>
      <w:tabs>
        <w:tab w:val="center" w:pos="4153"/>
        <w:tab w:val="right" w:pos="8306"/>
      </w:tabs>
      <w:snapToGrid w:val="0"/>
    </w:pPr>
    <w:rPr>
      <w:sz w:val="18"/>
      <w:szCs w:val="18"/>
    </w:rPr>
  </w:style>
  <w:style w:type="paragraph" w:styleId="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qFormat/>
    <w:uiPriority w:val="0"/>
    <w:rPr>
      <w:rFonts w:eastAsia="Times New Roman"/>
      <w:color w:val="000000"/>
      <w:sz w:val="18"/>
      <w:szCs w:val="18"/>
      <w:lang w:eastAsia="en-US" w:bidi="en-US"/>
    </w:rPr>
  </w:style>
  <w:style w:type="character" w:customStyle="1" w:styleId="28">
    <w:name w:val="页脚 Char"/>
    <w:basedOn w:val="8"/>
    <w:link w:val="4"/>
    <w:qFormat/>
    <w:uiPriority w:val="0"/>
    <w:rPr>
      <w:rFonts w:eastAsia="Times New Roman"/>
      <w:color w:val="000000"/>
      <w:sz w:val="18"/>
      <w:szCs w:val="18"/>
      <w:lang w:eastAsia="en-US" w:bidi="en-US"/>
    </w:rPr>
  </w:style>
  <w:style w:type="paragraph" w:customStyle="1" w:styleId="29">
    <w:name w:val="NOTE_Normal"/>
    <w:basedOn w:val="1"/>
    <w:next w:val="3"/>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qFormat/>
    <w:uiPriority w:val="0"/>
    <w:rPr>
      <w:rFonts w:eastAsia="Times New Roman"/>
      <w:color w:val="000000"/>
      <w:sz w:val="24"/>
      <w:szCs w:val="24"/>
      <w:lang w:eastAsia="en-US" w:bidi="en-US"/>
    </w:rPr>
  </w:style>
  <w:style w:type="character" w:customStyle="1" w:styleId="31">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4180024a-2e7f-458f-9e6d-d6d824150ab2</errorID>
      <errorWord>详实</errorWord>
      <group>L1_Word</group>
      <groupName>字词问题</groupName>
      <ability>L2_Typo</ability>
      <abilityName>字词错误</abilityName>
      <candidateList>
        <item>翔实</item>
      </candidateList>
      <explain/>
      <paraID>15B7C062</paraID>
      <start>21</start>
      <end>23</end>
      <status>ignored</status>
      <modifiedWord/>
      <trackRevisions>false</trackRevisions>
    </reviewItem>
    <reviewItem>
      <errorID>f58dfd15-05a8-4753-9857-ca4f6dac875b</errorID>
      <errorWord>入群</errorWord>
      <group>L1_Word</group>
      <groupName>字词问题</groupName>
      <ability>L2_Typo</ability>
      <abilityName>字词错误</abilityName>
      <candidateList>
        <item>人群</item>
      </candidateList>
      <explain/>
      <paraID>3B24AB2A</paraID>
      <start>154</start>
      <end>156</end>
      <status>modified</status>
      <modifiedWord>人群</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99ec6c-0e17-4571-83f4-ac0860521b45}">
  <ds:schemaRefs/>
</ds:datastoreItem>
</file>

<file path=customXml/itemProps3.xml><?xml version="1.0" encoding="utf-8"?>
<ds:datastoreItem xmlns:ds="http://schemas.openxmlformats.org/officeDocument/2006/customXml" ds:itemID="{76255780-2BA4-4433-9966-2B7DCE716B1E}">
  <ds:schemaRefs/>
</ds:datastoreItem>
</file>

<file path=docProps/app.xml><?xml version="1.0" encoding="utf-8"?>
<Properties xmlns="http://schemas.openxmlformats.org/officeDocument/2006/extended-properties" xmlns:vt="http://schemas.openxmlformats.org/officeDocument/2006/docPropsVTypes">
  <Template>Normal</Template>
  <Pages>19</Pages>
  <Words>11374</Words>
  <Characters>11829</Characters>
  <Paragraphs>213</Paragraphs>
  <TotalTime>0</TotalTime>
  <ScaleCrop>false</ScaleCrop>
  <LinksUpToDate>false</LinksUpToDate>
  <CharactersWithSpaces>11839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Administrator</cp:lastModifiedBy>
  <dcterms:modified xsi:type="dcterms:W3CDTF">2026-02-11T02:21:40Z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e573594d487e4451b4336b24f751f85b_23</vt:lpwstr>
  </property>
  <property fmtid="{D5CDD505-2E9C-101B-9397-08002B2CF9AE}" pid="4" name="KSOTemplateDocerSaveRecord">
    <vt:lpwstr>eyJoZGlkIjoiZDZhZGYwNTVjNmEwZDlmYmM0M2UzYmUxZTMyY2ZhNTgiLCJ1c2VySWQiOiIyOTU1NTMyNTMifQ==</vt:lpwstr>
  </property>
</Properties>
</file>