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35CD0D">
      <w:pPr>
        <w:spacing w:line="322" w:lineRule="auto"/>
        <w:rPr>
          <w:rFonts w:ascii="Arial"/>
          <w:sz w:val="21"/>
        </w:rPr>
      </w:pPr>
      <w:r>
        <w:rPr>
          <w:sz w:val="21"/>
        </w:rPr>
        <mc:AlternateContent>
          <mc:Choice Requires="wps">
            <w:drawing>
              <wp:anchor distT="0" distB="0" distL="114300" distR="114300" simplePos="0" relativeHeight="251660288" behindDoc="0" locked="0" layoutInCell="1" allowOverlap="1">
                <wp:simplePos x="0" y="0"/>
                <wp:positionH relativeFrom="column">
                  <wp:posOffset>101600</wp:posOffset>
                </wp:positionH>
                <wp:positionV relativeFrom="paragraph">
                  <wp:posOffset>-132080</wp:posOffset>
                </wp:positionV>
                <wp:extent cx="929005" cy="483870"/>
                <wp:effectExtent l="0" t="0" r="0" b="0"/>
                <wp:wrapNone/>
                <wp:docPr id="2" name="文本框 2"/>
                <wp:cNvGraphicFramePr/>
                <a:graphic xmlns:a="http://schemas.openxmlformats.org/drawingml/2006/main">
                  <a:graphicData uri="http://schemas.microsoft.com/office/word/2010/wordprocessingShape">
                    <wps:wsp>
                      <wps:cNvSpPr txBox="1"/>
                      <wps:spPr>
                        <a:xfrm>
                          <a:off x="678180" y="201295"/>
                          <a:ext cx="929005" cy="483870"/>
                        </a:xfrm>
                        <a:prstGeom prst="rect">
                          <a:avLst/>
                        </a:prstGeom>
                        <a:noFill/>
                        <a:ln w="6350">
                          <a:noFill/>
                        </a:ln>
                        <a:extLst>
                          <a:ext uri="{909E8E84-426E-40DD-AFC4-6F175D3DCCD1}">
                            <a14:hiddenFill xmlns:a14="http://schemas.microsoft.com/office/drawing/2010/main">
                              <a:solidFill>
                                <a:schemeClr val="lt1"/>
                              </a:solidFill>
                            </a14:hiddenFill>
                          </a:ext>
                        </a:extLst>
                      </wps:spPr>
                      <wps:style>
                        <a:lnRef idx="0">
                          <a:schemeClr val="accent1"/>
                        </a:lnRef>
                        <a:fillRef idx="0">
                          <a:schemeClr val="accent1"/>
                        </a:fillRef>
                        <a:effectRef idx="0">
                          <a:schemeClr val="accent1"/>
                        </a:effectRef>
                        <a:fontRef idx="minor">
                          <a:schemeClr val="dk1"/>
                        </a:fontRef>
                      </wps:style>
                      <wps:txbx>
                        <w:txbxContent>
                          <w:p w14:paraId="7FCD08FA">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pt;margin-top:-10.4pt;height:38.1pt;width:73.15pt;z-index:251660288;mso-width-relative:page;mso-height-relative:page;" filled="f" stroked="f" coordsize="21600,21600" o:gfxdata="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&#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BM2Lch2QAAAAkBAAAPAAAAAAAAAAEAIAAAACIAAABk&#10;cnMvZG93bnJldi54bWxQSwECFAAUAAAACACHTuJAvjnhbrACAABXBQAADgAAAAAAAAABACAAAAAo&#10;AQAAZHJzL2Uyb0RvYy54bWxQSwUGAAAAAAYABgBZAQAASgYAAAAA&#10;">
                <v:fill on="f" focussize="0,0"/>
                <v:stroke on="f" weight="0.5pt"/>
                <v:imagedata o:title=""/>
                <o:lock v:ext="edit" aspectratio="f"/>
                <v:textbox>
                  <w:txbxContent>
                    <w:p w14:paraId="7FCD08FA">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txbxContent>
                </v:textbox>
              </v:shape>
            </w:pict>
          </mc:Fallback>
        </mc:AlternateContent>
      </w:r>
    </w:p>
    <w:p w14:paraId="47F0A522">
      <w:pPr>
        <w:pStyle w:val="3"/>
        <w:bidi w:val="0"/>
        <w:jc w:val="center"/>
        <w:rPr>
          <w:rFonts w:hint="eastAsia"/>
        </w:rPr>
      </w:pPr>
      <w:bookmarkStart w:id="0" w:name="_GoBack"/>
      <w:bookmarkEnd w:id="0"/>
      <w:r>
        <w:rPr>
          <w:rFonts w:hint="eastAsia"/>
          <w:lang w:eastAsia="zh-CN"/>
        </w:rPr>
        <w:t>鸿云花园</w:t>
      </w:r>
      <w:r>
        <w:rPr>
          <w:rFonts w:hint="eastAsia"/>
        </w:rPr>
        <w:t>超一级前期物业服务标准对</w:t>
      </w:r>
      <w:r>
        <w:rPr>
          <w:rFonts w:hint="eastAsia"/>
          <w:lang w:val="en-US" w:eastAsia="zh-CN"/>
        </w:rPr>
        <w:t>照</w:t>
      </w:r>
      <w:r>
        <w:rPr>
          <w:rFonts w:hint="eastAsia"/>
        </w:rPr>
        <w:t>表</w:t>
      </w:r>
    </w:p>
    <w:p w14:paraId="305EFCC9">
      <w:pPr>
        <w:bidi w:val="0"/>
        <w:spacing w:line="360" w:lineRule="auto"/>
        <w:rPr>
          <w:rFonts w:hint="eastAsia" w:ascii="宋体" w:hAnsi="宋体" w:eastAsia="宋体" w:cs="宋体"/>
          <w:b w:val="0"/>
          <w:bCs w:val="0"/>
          <w:sz w:val="28"/>
          <w:szCs w:val="28"/>
          <w:lang w:eastAsia="zh-CN"/>
        </w:rPr>
      </w:pPr>
      <w:r>
        <w:rPr>
          <w:rFonts w:hint="eastAsia" w:ascii="宋体" w:hAnsi="宋体" w:eastAsia="宋体" w:cs="宋体"/>
          <w:b/>
          <w:bCs/>
          <w:sz w:val="28"/>
          <w:szCs w:val="28"/>
          <w:lang w:eastAsia="zh-CN"/>
        </w:rPr>
        <w:t>建设单位：</w:t>
      </w:r>
      <w:r>
        <w:rPr>
          <w:rFonts w:hint="eastAsia" w:ascii="宋体" w:hAnsi="宋体" w:eastAsia="宋体" w:cs="宋体"/>
          <w:b w:val="0"/>
          <w:bCs w:val="0"/>
          <w:sz w:val="28"/>
          <w:szCs w:val="28"/>
          <w:lang w:eastAsia="zh-CN"/>
        </w:rPr>
        <w:t>广州新越房地产开发有限公司</w:t>
      </w:r>
    </w:p>
    <w:p w14:paraId="6BD75CA9">
      <w:pPr>
        <w:bidi w:val="0"/>
        <w:spacing w:line="360" w:lineRule="auto"/>
        <w:rPr>
          <w:rFonts w:hint="eastAsia" w:ascii="宋体" w:hAnsi="宋体" w:eastAsia="宋体" w:cs="宋体"/>
          <w:b w:val="0"/>
          <w:bCs w:val="0"/>
          <w:sz w:val="28"/>
          <w:szCs w:val="28"/>
          <w:lang w:eastAsia="zh-CN"/>
        </w:rPr>
      </w:pPr>
      <w:r>
        <w:rPr>
          <w:rFonts w:hint="eastAsia" w:ascii="宋体" w:hAnsi="宋体" w:eastAsia="宋体" w:cs="宋体"/>
          <w:b/>
          <w:bCs/>
          <w:sz w:val="28"/>
          <w:szCs w:val="28"/>
          <w:lang w:eastAsia="zh-CN"/>
        </w:rPr>
        <w:t>统一社会信用代码：</w:t>
      </w:r>
      <w:r>
        <w:rPr>
          <w:rFonts w:hint="eastAsia" w:ascii="宋体" w:hAnsi="宋体" w:eastAsia="宋体" w:cs="宋体"/>
          <w:b w:val="0"/>
          <w:bCs w:val="0"/>
          <w:sz w:val="28"/>
          <w:szCs w:val="28"/>
          <w:lang w:val="en-US" w:eastAsia="zh-CN"/>
        </w:rPr>
        <w:t>91440101MA9Y4AAX7E</w:t>
      </w:r>
    </w:p>
    <w:p w14:paraId="38EC5BA6">
      <w:pPr>
        <w:spacing w:line="235" w:lineRule="exact"/>
        <w:rPr>
          <w:rFonts w:hint="eastAsia" w:ascii="宋体" w:hAnsi="宋体" w:eastAsia="宋体" w:cs="宋体"/>
        </w:rPr>
        <w:sectPr>
          <w:headerReference r:id="rId5" w:type="default"/>
          <w:pgSz w:w="16837" w:h="11905"/>
          <w:pgMar w:top="400" w:right="1088" w:bottom="227" w:left="1008" w:header="0" w:footer="0" w:gutter="0"/>
          <w:cols w:equalWidth="0" w:num="1">
            <w:col w:w="14741"/>
          </w:cols>
        </w:sectPr>
      </w:pPr>
    </w:p>
    <w:p w14:paraId="2A05686A">
      <w:pPr>
        <w:spacing w:line="193" w:lineRule="auto"/>
        <w:sectPr>
          <w:type w:val="continuous"/>
          <w:pgSz w:w="16837" w:h="11905"/>
          <w:pgMar w:top="400" w:right="1088" w:bottom="0" w:left="1008" w:header="0" w:footer="0" w:gutter="0"/>
          <w:cols w:equalWidth="0" w:num="3">
            <w:col w:w="1149" w:space="100"/>
            <w:col w:w="4748" w:space="100"/>
            <w:col w:w="8646"/>
          </w:cols>
        </w:sectPr>
      </w:pPr>
    </w:p>
    <w:p w14:paraId="3A2BD83D">
      <w:pPr>
        <w:spacing w:line="31" w:lineRule="exact"/>
      </w:pPr>
    </w:p>
    <w:tbl>
      <w:tblPr>
        <w:tblStyle w:val="9"/>
        <w:tblW w:w="1474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46"/>
        <w:gridCol w:w="5183"/>
        <w:gridCol w:w="7815"/>
      </w:tblGrid>
      <w:tr w14:paraId="7E9B64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1746" w:type="dxa"/>
            <w:vAlign w:val="top"/>
          </w:tcPr>
          <w:p w14:paraId="72A14ECB">
            <w:pPr>
              <w:bidi w:val="0"/>
              <w:spacing w:line="360" w:lineRule="auto"/>
              <w:ind w:firstLine="723" w:firstLineChars="300"/>
              <w:rPr>
                <w:rFonts w:hint="eastAsia" w:ascii="宋体" w:hAnsi="宋体" w:eastAsia="宋体" w:cs="宋体"/>
                <w:b/>
                <w:bCs/>
                <w:sz w:val="24"/>
                <w:szCs w:val="24"/>
              </w:rPr>
            </w:pPr>
            <w:r>
              <w:rPr>
                <w:rFonts w:hint="eastAsia" w:ascii="宋体" w:hAnsi="宋体" w:eastAsia="宋体" w:cs="宋体"/>
                <w:b/>
                <w:bCs/>
                <w:sz w:val="24"/>
                <w:szCs w:val="24"/>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10795</wp:posOffset>
                      </wp:positionV>
                      <wp:extent cx="1115695" cy="574675"/>
                      <wp:effectExtent l="1905" t="4445" r="6350" b="11430"/>
                      <wp:wrapNone/>
                      <wp:docPr id="1" name="直接连接符 1"/>
                      <wp:cNvGraphicFramePr/>
                      <a:graphic xmlns:a="http://schemas.openxmlformats.org/drawingml/2006/main">
                        <a:graphicData uri="http://schemas.microsoft.com/office/word/2010/wordprocessingShape">
                          <wps:wsp>
                            <wps:cNvCnPr/>
                            <wps:spPr>
                              <a:xfrm>
                                <a:off x="643890" y="1482725"/>
                                <a:ext cx="1115695" cy="574675"/>
                              </a:xfrm>
                              <a:prstGeom prst="line">
                                <a:avLst/>
                              </a:prstGeom>
                              <a:ln w="6350"/>
                            </wps:spPr>
                            <wps:style>
                              <a:lnRef idx="2">
                                <a:prstClr val="black"/>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0.1pt;margin-top:0.85pt;height:45.25pt;width:87.85pt;z-index:251659264;mso-width-relative:page;mso-height-relative:page;" filled="f" stroked="t" coordsize="21600,21600" o:gfxdata="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POKdIAAAAF&#10;AQAADwAAAAAAAAABACAAAAAiAAAAZHJzL2Rvd25yZXYueG1sUEsBAhQAFAAAAAgAh07iQLY2Hjfp&#10;AQAAqQMAAA4AAAAAAAAAAQAgAAAAIQEAAGRycy9lMm9Eb2MueG1sUEsFBgAAAAAGAAYAWQEAAHwF&#10;AAAAAA==&#10;">
                      <v:fill on="f" focussize="0,0"/>
                      <v:stroke weight="0.5pt" color="#000000" joinstyle="round"/>
                      <v:imagedata o:title=""/>
                      <o:lock v:ext="edit" aspectratio="f"/>
                    </v:line>
                  </w:pict>
                </mc:Fallback>
              </mc:AlternateContent>
            </w:r>
            <w:r>
              <w:rPr>
                <w:rFonts w:hint="eastAsia" w:ascii="宋体" w:hAnsi="宋体" w:eastAsia="宋体" w:cs="宋体"/>
                <w:b/>
                <w:bCs/>
                <w:sz w:val="24"/>
                <w:szCs w:val="24"/>
              </w:rPr>
              <w:t>标准服务</w:t>
            </w:r>
          </w:p>
          <w:p w14:paraId="23C8CDE2">
            <w:pPr>
              <w:bidi w:val="0"/>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服务项目</w:t>
            </w:r>
          </w:p>
        </w:tc>
        <w:tc>
          <w:tcPr>
            <w:tcW w:w="5183" w:type="dxa"/>
            <w:tcBorders>
              <w:bottom w:val="nil"/>
            </w:tcBorders>
            <w:vAlign w:val="center"/>
          </w:tcPr>
          <w:p w14:paraId="5B3635ED">
            <w:pPr>
              <w:bidi w:val="0"/>
              <w:jc w:val="center"/>
              <w:rPr>
                <w:rFonts w:hint="eastAsia" w:ascii="宋体" w:hAnsi="宋体" w:eastAsia="宋体" w:cs="宋体"/>
                <w:b/>
                <w:bCs/>
                <w:sz w:val="24"/>
                <w:szCs w:val="24"/>
              </w:rPr>
            </w:pPr>
            <w:r>
              <w:rPr>
                <w:rFonts w:hint="eastAsia" w:ascii="宋体" w:hAnsi="宋体" w:eastAsia="宋体" w:cs="宋体"/>
                <w:b/>
                <w:bCs/>
                <w:sz w:val="24"/>
                <w:szCs w:val="24"/>
              </w:rPr>
              <w:t>一级</w:t>
            </w:r>
          </w:p>
        </w:tc>
        <w:tc>
          <w:tcPr>
            <w:tcW w:w="7815" w:type="dxa"/>
            <w:tcBorders>
              <w:bottom w:val="nil"/>
            </w:tcBorders>
            <w:vAlign w:val="center"/>
          </w:tcPr>
          <w:p w14:paraId="2E669B46">
            <w:pPr>
              <w:bidi w:val="0"/>
              <w:jc w:val="center"/>
              <w:rPr>
                <w:rFonts w:hint="eastAsia" w:ascii="宋体" w:hAnsi="宋体" w:eastAsia="宋体" w:cs="宋体"/>
                <w:b/>
                <w:bCs/>
                <w:sz w:val="24"/>
                <w:szCs w:val="24"/>
              </w:rPr>
            </w:pPr>
            <w:r>
              <w:rPr>
                <w:rFonts w:hint="eastAsia" w:ascii="宋体" w:hAnsi="宋体" w:eastAsia="宋体" w:cs="宋体"/>
                <w:b/>
                <w:bCs/>
                <w:sz w:val="24"/>
                <w:szCs w:val="24"/>
              </w:rPr>
              <w:t>建设单位承诺达到超</w:t>
            </w:r>
            <w:r>
              <w:rPr>
                <w:rFonts w:hint="eastAsia" w:ascii="宋体" w:hAnsi="宋体" w:eastAsia="宋体" w:cs="宋体"/>
                <w:b/>
                <w:bCs/>
                <w:sz w:val="24"/>
                <w:szCs w:val="24"/>
                <w:lang w:val="en-US" w:eastAsia="zh-CN"/>
              </w:rPr>
              <w:t>出</w:t>
            </w:r>
            <w:r>
              <w:rPr>
                <w:rFonts w:hint="eastAsia" w:ascii="宋体" w:hAnsi="宋体" w:eastAsia="宋体" w:cs="宋体"/>
                <w:b/>
                <w:bCs/>
                <w:sz w:val="24"/>
                <w:szCs w:val="24"/>
              </w:rPr>
              <w:t>一级前期物业服务标准</w:t>
            </w:r>
          </w:p>
        </w:tc>
      </w:tr>
      <w:tr w14:paraId="1BF5F3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80" w:hRule="atLeast"/>
        </w:trPr>
        <w:tc>
          <w:tcPr>
            <w:tcW w:w="1746" w:type="dxa"/>
            <w:vAlign w:val="top"/>
          </w:tcPr>
          <w:p w14:paraId="7468086F">
            <w:pPr>
              <w:bidi w:val="0"/>
              <w:jc w:val="center"/>
              <w:rPr>
                <w:rFonts w:hint="eastAsia" w:ascii="宋体" w:hAnsi="宋体" w:eastAsia="宋体" w:cs="宋体"/>
                <w:sz w:val="24"/>
                <w:szCs w:val="24"/>
              </w:rPr>
            </w:pPr>
          </w:p>
          <w:p w14:paraId="16279D41">
            <w:pPr>
              <w:bidi w:val="0"/>
              <w:jc w:val="center"/>
              <w:rPr>
                <w:rFonts w:hint="eastAsia" w:ascii="宋体" w:hAnsi="宋体" w:eastAsia="宋体" w:cs="宋体"/>
                <w:sz w:val="24"/>
                <w:szCs w:val="24"/>
              </w:rPr>
            </w:pPr>
          </w:p>
          <w:p w14:paraId="0401E1F5">
            <w:pPr>
              <w:bidi w:val="0"/>
              <w:jc w:val="center"/>
              <w:rPr>
                <w:rFonts w:hint="eastAsia" w:ascii="宋体" w:hAnsi="宋体" w:eastAsia="宋体" w:cs="宋体"/>
                <w:sz w:val="24"/>
                <w:szCs w:val="24"/>
              </w:rPr>
            </w:pPr>
          </w:p>
          <w:p w14:paraId="030971D1">
            <w:pPr>
              <w:bidi w:val="0"/>
              <w:jc w:val="center"/>
              <w:rPr>
                <w:rFonts w:hint="eastAsia" w:ascii="宋体" w:hAnsi="宋体" w:eastAsia="宋体" w:cs="宋体"/>
                <w:sz w:val="24"/>
                <w:szCs w:val="24"/>
              </w:rPr>
            </w:pPr>
          </w:p>
          <w:p w14:paraId="32A399BD">
            <w:pPr>
              <w:bidi w:val="0"/>
              <w:jc w:val="center"/>
              <w:rPr>
                <w:rFonts w:hint="eastAsia" w:ascii="宋体" w:hAnsi="宋体" w:eastAsia="宋体" w:cs="宋体"/>
                <w:sz w:val="24"/>
                <w:szCs w:val="24"/>
              </w:rPr>
            </w:pPr>
            <w:r>
              <w:rPr>
                <w:rFonts w:hint="eastAsia" w:ascii="宋体" w:hAnsi="宋体" w:eastAsia="宋体" w:cs="宋体"/>
                <w:sz w:val="24"/>
                <w:szCs w:val="24"/>
              </w:rPr>
              <w:t>(一)</w:t>
            </w:r>
          </w:p>
          <w:p w14:paraId="5003D0B0">
            <w:pPr>
              <w:bidi w:val="0"/>
              <w:jc w:val="center"/>
              <w:rPr>
                <w:rFonts w:hint="eastAsia" w:ascii="宋体" w:hAnsi="宋体" w:eastAsia="宋体" w:cs="宋体"/>
                <w:sz w:val="24"/>
                <w:szCs w:val="24"/>
              </w:rPr>
            </w:pPr>
            <w:r>
              <w:rPr>
                <w:rFonts w:hint="eastAsia" w:ascii="宋体" w:hAnsi="宋体" w:eastAsia="宋体" w:cs="宋体"/>
                <w:sz w:val="24"/>
                <w:szCs w:val="24"/>
              </w:rPr>
              <w:t>综</w:t>
            </w:r>
          </w:p>
          <w:p w14:paraId="16CC6D40">
            <w:pPr>
              <w:bidi w:val="0"/>
              <w:jc w:val="center"/>
              <w:rPr>
                <w:rFonts w:hint="eastAsia" w:ascii="宋体" w:hAnsi="宋体" w:eastAsia="宋体" w:cs="宋体"/>
                <w:sz w:val="24"/>
                <w:szCs w:val="24"/>
              </w:rPr>
            </w:pPr>
            <w:r>
              <w:rPr>
                <w:rFonts w:hint="eastAsia" w:ascii="宋体" w:hAnsi="宋体" w:eastAsia="宋体" w:cs="宋体"/>
                <w:sz w:val="24"/>
                <w:szCs w:val="24"/>
              </w:rPr>
              <w:t>合</w:t>
            </w:r>
          </w:p>
          <w:p w14:paraId="4D634C07">
            <w:pPr>
              <w:bidi w:val="0"/>
              <w:jc w:val="center"/>
              <w:rPr>
                <w:rFonts w:hint="eastAsia" w:ascii="宋体" w:hAnsi="宋体" w:eastAsia="宋体" w:cs="宋体"/>
                <w:sz w:val="24"/>
                <w:szCs w:val="24"/>
              </w:rPr>
            </w:pPr>
            <w:r>
              <w:rPr>
                <w:rFonts w:hint="eastAsia" w:ascii="宋体" w:hAnsi="宋体" w:eastAsia="宋体" w:cs="宋体"/>
                <w:sz w:val="24"/>
                <w:szCs w:val="24"/>
              </w:rPr>
              <w:t>管</w:t>
            </w:r>
          </w:p>
          <w:p w14:paraId="2DF31DD6">
            <w:pPr>
              <w:bidi w:val="0"/>
              <w:jc w:val="center"/>
              <w:rPr>
                <w:rFonts w:hint="eastAsia" w:ascii="宋体" w:hAnsi="宋体" w:eastAsia="宋体" w:cs="宋体"/>
                <w:sz w:val="24"/>
                <w:szCs w:val="24"/>
              </w:rPr>
            </w:pPr>
            <w:r>
              <w:rPr>
                <w:rFonts w:hint="eastAsia" w:ascii="宋体" w:hAnsi="宋体" w:eastAsia="宋体" w:cs="宋体"/>
                <w:sz w:val="24"/>
                <w:szCs w:val="24"/>
              </w:rPr>
              <w:t>理</w:t>
            </w:r>
          </w:p>
          <w:p w14:paraId="05126F36">
            <w:pPr>
              <w:bidi w:val="0"/>
              <w:jc w:val="center"/>
              <w:rPr>
                <w:rFonts w:hint="eastAsia" w:ascii="宋体" w:hAnsi="宋体" w:eastAsia="宋体" w:cs="宋体"/>
                <w:sz w:val="24"/>
                <w:szCs w:val="24"/>
              </w:rPr>
            </w:pPr>
            <w:r>
              <w:rPr>
                <w:rFonts w:hint="eastAsia" w:ascii="宋体" w:hAnsi="宋体" w:eastAsia="宋体" w:cs="宋体"/>
                <w:sz w:val="24"/>
                <w:szCs w:val="24"/>
              </w:rPr>
              <w:t>服</w:t>
            </w:r>
          </w:p>
          <w:p w14:paraId="262D03EF">
            <w:pPr>
              <w:bidi w:val="0"/>
              <w:jc w:val="center"/>
              <w:rPr>
                <w:rFonts w:hint="eastAsia" w:ascii="宋体" w:hAnsi="宋体" w:eastAsia="宋体" w:cs="宋体"/>
                <w:sz w:val="24"/>
                <w:szCs w:val="24"/>
              </w:rPr>
            </w:pPr>
            <w:r>
              <w:rPr>
                <w:rFonts w:hint="eastAsia" w:ascii="宋体" w:hAnsi="宋体" w:eastAsia="宋体" w:cs="宋体"/>
                <w:sz w:val="24"/>
                <w:szCs w:val="24"/>
              </w:rPr>
              <w:t>务</w:t>
            </w:r>
          </w:p>
        </w:tc>
        <w:tc>
          <w:tcPr>
            <w:tcW w:w="5183" w:type="dxa"/>
            <w:vAlign w:val="center"/>
          </w:tcPr>
          <w:p w14:paraId="07ED8B14">
            <w:pPr>
              <w:bidi w:val="0"/>
              <w:jc w:val="both"/>
              <w:rPr>
                <w:rFonts w:hint="eastAsia" w:ascii="宋体" w:hAnsi="宋体" w:eastAsia="宋体" w:cs="宋体"/>
                <w:sz w:val="24"/>
                <w:szCs w:val="24"/>
              </w:rPr>
            </w:pPr>
            <w:r>
              <w:rPr>
                <w:rFonts w:hint="eastAsia" w:ascii="宋体" w:hAnsi="宋体" w:eastAsia="宋体" w:cs="宋体"/>
                <w:sz w:val="24"/>
                <w:szCs w:val="24"/>
              </w:rPr>
              <w:t>1.服务与被服务方签订物业服务合同，双方权利义务关系明确；</w:t>
            </w:r>
          </w:p>
          <w:p w14:paraId="6605D6ED">
            <w:pPr>
              <w:bidi w:val="0"/>
              <w:jc w:val="both"/>
              <w:rPr>
                <w:rFonts w:hint="eastAsia" w:ascii="宋体" w:hAnsi="宋体" w:eastAsia="宋体" w:cs="宋体"/>
                <w:sz w:val="24"/>
                <w:szCs w:val="24"/>
              </w:rPr>
            </w:pPr>
            <w:r>
              <w:rPr>
                <w:rFonts w:hint="eastAsia" w:ascii="宋体" w:hAnsi="宋体" w:eastAsia="宋体" w:cs="宋体"/>
                <w:sz w:val="24"/>
                <w:szCs w:val="24"/>
              </w:rPr>
              <w:t>2.财务管理运作规范，账目清晰；</w:t>
            </w:r>
          </w:p>
          <w:p w14:paraId="4FA7F96F">
            <w:pPr>
              <w:bidi w:val="0"/>
              <w:jc w:val="both"/>
              <w:rPr>
                <w:rFonts w:hint="eastAsia" w:ascii="宋体" w:hAnsi="宋体" w:eastAsia="宋体" w:cs="宋体"/>
                <w:sz w:val="24"/>
                <w:szCs w:val="24"/>
              </w:rPr>
            </w:pPr>
            <w:r>
              <w:rPr>
                <w:rFonts w:hint="eastAsia" w:ascii="宋体" w:hAnsi="宋体" w:eastAsia="宋体" w:cs="宋体"/>
                <w:sz w:val="24"/>
                <w:szCs w:val="24"/>
              </w:rPr>
              <w:t>3.物业服务人在每年的4月、7月、10月和次年1月，采取书面通知、在物业服务区域内显著位置公布或者按照管理规约、业主大会议事规则约定的其他方式向业主公开上季度的物业服务费（包括普通住宅及配套自有产权车位）的收支情况。</w:t>
            </w:r>
          </w:p>
          <w:p w14:paraId="3983DA0A">
            <w:pPr>
              <w:bidi w:val="0"/>
              <w:jc w:val="both"/>
              <w:rPr>
                <w:rFonts w:hint="eastAsia" w:ascii="宋体" w:hAnsi="宋体" w:eastAsia="宋体" w:cs="宋体"/>
                <w:sz w:val="24"/>
                <w:szCs w:val="24"/>
              </w:rPr>
            </w:pPr>
            <w:r>
              <w:rPr>
                <w:rFonts w:hint="eastAsia" w:ascii="宋体" w:hAnsi="宋体" w:eastAsia="宋体" w:cs="宋体"/>
                <w:sz w:val="24"/>
                <w:szCs w:val="24"/>
              </w:rPr>
              <w:t>4.有完善的管理方案，员工岗位责任与考核制度、报修服务与投诉处理制度、业主（用户）资料保密制度、员工工作程序与工作标准等制度健全；</w:t>
            </w:r>
          </w:p>
          <w:p w14:paraId="3817502C">
            <w:pPr>
              <w:bidi w:val="0"/>
              <w:jc w:val="both"/>
              <w:rPr>
                <w:rFonts w:hint="eastAsia" w:ascii="宋体" w:hAnsi="宋体" w:eastAsia="宋体" w:cs="宋体"/>
                <w:sz w:val="24"/>
                <w:szCs w:val="24"/>
              </w:rPr>
            </w:pPr>
            <w:r>
              <w:rPr>
                <w:rFonts w:hint="eastAsia" w:ascii="宋体" w:hAnsi="宋体" w:eastAsia="宋体" w:cs="宋体"/>
                <w:sz w:val="24"/>
                <w:szCs w:val="24"/>
              </w:rPr>
              <w:t>5.建立档案管理制度，物业服务档案执行DB44/T1315档案管理规范，配备专（兼）职档案资料管理员，按物业服务项目建立档案卷宗，资料齐全、分类科学、管理完善、易于检索；</w:t>
            </w:r>
          </w:p>
          <w:p w14:paraId="6122ACEF">
            <w:pPr>
              <w:bidi w:val="0"/>
              <w:jc w:val="both"/>
              <w:rPr>
                <w:rFonts w:hint="eastAsia" w:ascii="宋体" w:hAnsi="宋体" w:eastAsia="宋体" w:cs="宋体"/>
                <w:sz w:val="24"/>
                <w:szCs w:val="24"/>
              </w:rPr>
            </w:pPr>
            <w:r>
              <w:rPr>
                <w:rFonts w:hint="eastAsia" w:ascii="宋体" w:hAnsi="宋体" w:eastAsia="宋体" w:cs="宋体"/>
                <w:sz w:val="24"/>
                <w:szCs w:val="24"/>
              </w:rPr>
              <w:t>6.管理人员按法律法规规定持证上岗，服装统一、仪表整洁、挂牌上岗、行为规范。</w:t>
            </w:r>
          </w:p>
          <w:p w14:paraId="50AFE755">
            <w:pPr>
              <w:bidi w:val="0"/>
              <w:jc w:val="both"/>
              <w:rPr>
                <w:rFonts w:hint="eastAsia" w:ascii="宋体" w:hAnsi="宋体" w:eastAsia="宋体" w:cs="宋体"/>
                <w:sz w:val="24"/>
                <w:szCs w:val="24"/>
              </w:rPr>
            </w:pPr>
            <w:r>
              <w:rPr>
                <w:rFonts w:hint="eastAsia" w:ascii="宋体" w:hAnsi="宋体" w:eastAsia="宋体" w:cs="宋体"/>
                <w:sz w:val="24"/>
                <w:szCs w:val="24"/>
              </w:rPr>
              <w:t>7.设置管理处，办公地点有专门的业主或使用人接待场所，办公设施及办公用品配置完备；</w:t>
            </w:r>
          </w:p>
          <w:p w14:paraId="4F5D5C27">
            <w:pPr>
              <w:bidi w:val="0"/>
              <w:jc w:val="both"/>
              <w:rPr>
                <w:rFonts w:hint="eastAsia" w:ascii="宋体" w:hAnsi="宋体" w:eastAsia="宋体" w:cs="宋体"/>
                <w:sz w:val="24"/>
                <w:szCs w:val="24"/>
              </w:rPr>
            </w:pPr>
            <w:r>
              <w:rPr>
                <w:rFonts w:hint="eastAsia" w:ascii="宋体" w:hAnsi="宋体" w:eastAsia="宋体" w:cs="宋体"/>
                <w:sz w:val="24"/>
                <w:szCs w:val="24"/>
              </w:rPr>
              <w:t>8.周一至周日每天不少于12小时在管理处或专门的接待场所进行业务接待，并提供24小时热线电话服务；</w:t>
            </w:r>
          </w:p>
          <w:p w14:paraId="6196BA23">
            <w:pPr>
              <w:bidi w:val="0"/>
              <w:jc w:val="both"/>
              <w:rPr>
                <w:rFonts w:hint="eastAsia" w:ascii="宋体" w:hAnsi="宋体" w:eastAsia="宋体" w:cs="宋体"/>
                <w:sz w:val="24"/>
                <w:szCs w:val="24"/>
              </w:rPr>
            </w:pPr>
            <w:r>
              <w:rPr>
                <w:rFonts w:hint="eastAsia" w:ascii="宋体" w:hAnsi="宋体" w:eastAsia="宋体" w:cs="宋体"/>
                <w:sz w:val="24"/>
                <w:szCs w:val="24"/>
              </w:rPr>
              <w:t>9.对业主或非业主使用人的求助、咨询即时处理，对业主或非业主使用人的投诉在24小时内答复；</w:t>
            </w:r>
          </w:p>
          <w:p w14:paraId="2705E13C">
            <w:pPr>
              <w:bidi w:val="0"/>
              <w:jc w:val="both"/>
              <w:rPr>
                <w:rFonts w:hint="eastAsia" w:ascii="宋体" w:hAnsi="宋体" w:eastAsia="宋体" w:cs="宋体"/>
                <w:sz w:val="24"/>
                <w:szCs w:val="24"/>
              </w:rPr>
            </w:pPr>
            <w:r>
              <w:rPr>
                <w:rFonts w:hint="eastAsia" w:ascii="宋体" w:hAnsi="宋体" w:eastAsia="宋体" w:cs="宋体"/>
                <w:sz w:val="24"/>
                <w:szCs w:val="24"/>
              </w:rPr>
              <w:t>10.物业服务经理具有2年以上物业服务经理任职经历；</w:t>
            </w:r>
          </w:p>
          <w:p w14:paraId="1A2359DB">
            <w:pPr>
              <w:bidi w:val="0"/>
              <w:jc w:val="both"/>
              <w:rPr>
                <w:rFonts w:hint="eastAsia" w:ascii="宋体" w:hAnsi="宋体" w:eastAsia="宋体" w:cs="宋体"/>
                <w:sz w:val="24"/>
                <w:szCs w:val="24"/>
              </w:rPr>
            </w:pPr>
            <w:r>
              <w:rPr>
                <w:rFonts w:hint="eastAsia" w:ascii="宋体" w:hAnsi="宋体" w:eastAsia="宋体" w:cs="宋体"/>
                <w:sz w:val="24"/>
                <w:szCs w:val="24"/>
              </w:rPr>
              <w:t>11.能根据业主需求提供特约服务和便民服务；</w:t>
            </w:r>
          </w:p>
          <w:p w14:paraId="7D38B287">
            <w:pPr>
              <w:bidi w:val="0"/>
              <w:jc w:val="both"/>
              <w:rPr>
                <w:rFonts w:hint="eastAsia" w:ascii="宋体" w:hAnsi="宋体" w:eastAsia="宋体" w:cs="宋体"/>
                <w:sz w:val="24"/>
                <w:szCs w:val="24"/>
              </w:rPr>
            </w:pPr>
            <w:r>
              <w:rPr>
                <w:rFonts w:hint="eastAsia" w:ascii="宋体" w:hAnsi="宋体" w:eastAsia="宋体" w:cs="宋体"/>
                <w:sz w:val="24"/>
                <w:szCs w:val="24"/>
              </w:rPr>
              <w:t>12.节假日有专题布置，每年组织不少于2次社区活动。</w:t>
            </w:r>
          </w:p>
        </w:tc>
        <w:tc>
          <w:tcPr>
            <w:tcW w:w="7815" w:type="dxa"/>
            <w:vAlign w:val="center"/>
          </w:tcPr>
          <w:p w14:paraId="7C1E619F">
            <w:pPr>
              <w:bidi w:val="0"/>
              <w:jc w:val="both"/>
              <w:rPr>
                <w:rFonts w:hint="eastAsia" w:ascii="宋体" w:hAnsi="宋体" w:eastAsia="宋体" w:cs="宋体"/>
                <w:sz w:val="24"/>
                <w:szCs w:val="24"/>
              </w:rPr>
            </w:pPr>
            <w:r>
              <w:rPr>
                <w:rFonts w:hint="eastAsia" w:ascii="宋体" w:hAnsi="宋体" w:eastAsia="宋体" w:cs="宋体"/>
                <w:sz w:val="24"/>
                <w:szCs w:val="24"/>
              </w:rPr>
              <w:t>1.服务与被服务方签订物业服务合同，双方权利义务关系明确；</w:t>
            </w:r>
          </w:p>
          <w:p w14:paraId="4FEB5B9E">
            <w:pPr>
              <w:bidi w:val="0"/>
              <w:jc w:val="both"/>
              <w:rPr>
                <w:rFonts w:hint="eastAsia" w:ascii="宋体" w:hAnsi="宋体" w:eastAsia="宋体" w:cs="宋体"/>
                <w:sz w:val="24"/>
                <w:szCs w:val="24"/>
              </w:rPr>
            </w:pPr>
            <w:r>
              <w:rPr>
                <w:rFonts w:hint="eastAsia" w:ascii="宋体" w:hAnsi="宋体" w:eastAsia="宋体" w:cs="宋体"/>
                <w:sz w:val="24"/>
                <w:szCs w:val="24"/>
              </w:rPr>
              <w:t>2.财务管理运作规范，账目清晰；</w:t>
            </w:r>
          </w:p>
          <w:p w14:paraId="1C140A70">
            <w:pPr>
              <w:bidi w:val="0"/>
              <w:jc w:val="both"/>
              <w:rPr>
                <w:rFonts w:hint="eastAsia" w:ascii="宋体" w:hAnsi="宋体" w:eastAsia="宋体" w:cs="宋体"/>
                <w:sz w:val="24"/>
                <w:szCs w:val="24"/>
                <w:lang w:eastAsia="zh-CN"/>
              </w:rPr>
            </w:pPr>
            <w:r>
              <w:rPr>
                <w:rFonts w:hint="eastAsia" w:ascii="宋体" w:hAnsi="宋体" w:eastAsia="宋体" w:cs="宋体"/>
                <w:sz w:val="24"/>
                <w:szCs w:val="24"/>
              </w:rPr>
              <w:t>3.物业服务人在每年的4月、7月、10月和次年1月，采取书面通知、在物业服务区域内显著位置公布或者按照管理规约、业主大会议事规则约定的其他方式向业主公开上季度的物业服务费（包括普通住宅及配套自有产权车位）的收支情况</w:t>
            </w:r>
            <w:r>
              <w:rPr>
                <w:rFonts w:hint="eastAsia" w:ascii="宋体" w:hAnsi="宋体" w:eastAsia="宋体" w:cs="宋体"/>
                <w:sz w:val="24"/>
                <w:szCs w:val="24"/>
                <w:lang w:eastAsia="zh-CN"/>
              </w:rPr>
              <w:t>；</w:t>
            </w:r>
          </w:p>
          <w:p w14:paraId="5E720EFD">
            <w:pPr>
              <w:bidi w:val="0"/>
              <w:jc w:val="both"/>
              <w:rPr>
                <w:rFonts w:hint="eastAsia" w:ascii="宋体" w:hAnsi="宋体" w:eastAsia="宋体" w:cs="宋体"/>
                <w:sz w:val="24"/>
                <w:szCs w:val="24"/>
              </w:rPr>
            </w:pPr>
            <w:r>
              <w:rPr>
                <w:rFonts w:hint="eastAsia" w:ascii="宋体" w:hAnsi="宋体" w:eastAsia="宋体" w:cs="宋体"/>
                <w:sz w:val="24"/>
                <w:szCs w:val="24"/>
              </w:rPr>
              <w:t>4.有完善的管理方案，员工岗位责任与考核制度、报修服务与投诉处理制度、业主（用户）资料保密制度、员工工作程序与工作标准等制度健全；</w:t>
            </w:r>
          </w:p>
          <w:p w14:paraId="186B971F">
            <w:pPr>
              <w:bidi w:val="0"/>
              <w:jc w:val="both"/>
              <w:rPr>
                <w:rFonts w:hint="eastAsia" w:ascii="宋体" w:hAnsi="宋体" w:eastAsia="宋体" w:cs="宋体"/>
                <w:sz w:val="24"/>
                <w:szCs w:val="24"/>
              </w:rPr>
            </w:pPr>
            <w:r>
              <w:rPr>
                <w:rFonts w:hint="eastAsia" w:ascii="宋体" w:hAnsi="宋体" w:eastAsia="宋体" w:cs="宋体"/>
                <w:sz w:val="24"/>
                <w:szCs w:val="24"/>
              </w:rPr>
              <w:t>5.建立档案管理制度，物业服务档案执行DB44/T1315档案管理规范，配备专（兼）职档案资料管理员，按物业服务项目建立档案卷宗，资料齐全、分类科学、管理完善、易于检索；</w:t>
            </w:r>
          </w:p>
          <w:p w14:paraId="7EFF962C">
            <w:pPr>
              <w:bidi w:val="0"/>
              <w:jc w:val="both"/>
              <w:rPr>
                <w:rFonts w:hint="eastAsia" w:ascii="宋体" w:hAnsi="宋体" w:eastAsia="宋体" w:cs="宋体"/>
                <w:sz w:val="24"/>
                <w:szCs w:val="24"/>
                <w:lang w:eastAsia="zh-CN"/>
              </w:rPr>
            </w:pPr>
            <w:r>
              <w:rPr>
                <w:rFonts w:hint="eastAsia" w:ascii="宋体" w:hAnsi="宋体" w:eastAsia="宋体" w:cs="宋体"/>
                <w:sz w:val="24"/>
                <w:szCs w:val="24"/>
              </w:rPr>
              <w:t>6.管理人员按法律法规规定持证上岗，服装统一、仪表整洁、挂牌上岗、行为规范</w:t>
            </w:r>
            <w:r>
              <w:rPr>
                <w:rFonts w:hint="eastAsia" w:ascii="宋体" w:hAnsi="宋体" w:eastAsia="宋体" w:cs="宋体"/>
                <w:sz w:val="24"/>
                <w:szCs w:val="24"/>
                <w:lang w:eastAsia="zh-CN"/>
              </w:rPr>
              <w:t>；</w:t>
            </w:r>
          </w:p>
          <w:p w14:paraId="72A3CD21">
            <w:pPr>
              <w:bidi w:val="0"/>
              <w:jc w:val="both"/>
              <w:rPr>
                <w:rFonts w:hint="eastAsia" w:ascii="宋体" w:hAnsi="宋体" w:eastAsia="宋体" w:cs="宋体"/>
                <w:sz w:val="24"/>
                <w:szCs w:val="24"/>
              </w:rPr>
            </w:pPr>
            <w:r>
              <w:rPr>
                <w:rFonts w:hint="eastAsia" w:ascii="宋体" w:hAnsi="宋体" w:eastAsia="宋体" w:cs="宋体"/>
                <w:sz w:val="24"/>
                <w:szCs w:val="24"/>
              </w:rPr>
              <w:t>7.设置管理处，办公地点有专门的业主或使用人接待场所，办公设施及办公用品配置完备，在服务中心张贴物业企业营业执照、项目负责人及主要管理人员照片，公示物业服务标准、收费标准，并建立推行ISO9001质量管理体系、ISO14001环境管理体系、OHSAS18001职业健康安全管理体系；</w:t>
            </w:r>
          </w:p>
          <w:p w14:paraId="709F8B0B">
            <w:pPr>
              <w:bidi w:val="0"/>
              <w:jc w:val="both"/>
              <w:rPr>
                <w:rFonts w:hint="eastAsia" w:ascii="宋体" w:hAnsi="宋体" w:eastAsia="宋体" w:cs="宋体"/>
                <w:sz w:val="24"/>
                <w:szCs w:val="24"/>
                <w:lang w:eastAsia="zh-CN"/>
              </w:rPr>
            </w:pPr>
            <w:r>
              <w:rPr>
                <w:rFonts w:hint="eastAsia" w:ascii="宋体" w:hAnsi="宋体" w:eastAsia="宋体" w:cs="宋体"/>
                <w:sz w:val="24"/>
                <w:szCs w:val="24"/>
              </w:rPr>
              <w:t>8.周一至周日每天不少于12小时在管理处或专门的接待场所进行业务接待；设置专门管家为业主服务，并提供24小时热线电话服务。</w:t>
            </w:r>
            <w:r>
              <w:rPr>
                <w:rFonts w:hint="eastAsia" w:ascii="宋体" w:hAnsi="宋体" w:eastAsia="宋体" w:cs="宋体"/>
                <w:color w:val="auto"/>
                <w:sz w:val="24"/>
                <w:szCs w:val="24"/>
              </w:rPr>
              <w:t>在公共区域显著位置公示24小时服务热线和管家手机；</w:t>
            </w:r>
            <w:r>
              <w:rPr>
                <w:rFonts w:hint="eastAsia" w:ascii="宋体" w:hAnsi="宋体" w:eastAsia="宋体" w:cs="宋体"/>
                <w:sz w:val="24"/>
                <w:szCs w:val="24"/>
              </w:rPr>
              <w:t>有完整的登记、跟进及记录处理，每季度进行1次的统计分析</w:t>
            </w:r>
            <w:r>
              <w:rPr>
                <w:rFonts w:hint="eastAsia" w:ascii="宋体" w:hAnsi="宋体" w:eastAsia="宋体" w:cs="宋体"/>
                <w:sz w:val="24"/>
                <w:szCs w:val="24"/>
                <w:lang w:eastAsia="zh-CN"/>
              </w:rPr>
              <w:t>；</w:t>
            </w:r>
          </w:p>
          <w:p w14:paraId="1A8803BF">
            <w:pPr>
              <w:bidi w:val="0"/>
              <w:jc w:val="both"/>
              <w:rPr>
                <w:rFonts w:hint="eastAsia" w:ascii="宋体" w:hAnsi="宋体" w:eastAsia="宋体" w:cs="宋体"/>
                <w:sz w:val="24"/>
                <w:szCs w:val="24"/>
              </w:rPr>
            </w:pPr>
            <w:r>
              <w:rPr>
                <w:rFonts w:hint="eastAsia" w:ascii="宋体" w:hAnsi="宋体" w:eastAsia="宋体" w:cs="宋体"/>
                <w:sz w:val="24"/>
                <w:szCs w:val="24"/>
              </w:rPr>
              <w:t>9.对求助、咨询即时处理，对投诉跟踪及进行回访并记录，对业主或使用人的投诉在8小时内答复。资料及时归档，管理规范；每季度进行1次统计分析</w:t>
            </w:r>
            <w:r>
              <w:rPr>
                <w:rFonts w:hint="eastAsia" w:ascii="宋体" w:hAnsi="宋体" w:eastAsia="宋体" w:cs="宋体"/>
                <w:color w:val="auto"/>
                <w:sz w:val="24"/>
                <w:szCs w:val="24"/>
                <w:highlight w:val="none"/>
              </w:rPr>
              <w:t>；</w:t>
            </w:r>
          </w:p>
          <w:p w14:paraId="6898EBA0">
            <w:pPr>
              <w:bidi w:val="0"/>
              <w:jc w:val="both"/>
              <w:rPr>
                <w:rFonts w:hint="eastAsia" w:ascii="宋体" w:hAnsi="宋体" w:eastAsia="宋体" w:cs="宋体"/>
                <w:sz w:val="24"/>
                <w:szCs w:val="24"/>
                <w:lang w:eastAsia="zh-CN"/>
              </w:rPr>
            </w:pPr>
            <w:r>
              <w:rPr>
                <w:rFonts w:hint="eastAsia" w:ascii="宋体" w:hAnsi="宋体" w:eastAsia="宋体" w:cs="宋体"/>
                <w:sz w:val="24"/>
                <w:szCs w:val="24"/>
              </w:rPr>
              <w:t>10.物业服务经理具备上岗资格，并有3年以上物业经理任职经历。所有物业从业人员树立正确的职业道德，守法经营、诚信经营；物业管理从业人员应当具备多种知识和技能</w:t>
            </w:r>
            <w:r>
              <w:rPr>
                <w:rFonts w:hint="eastAsia" w:ascii="宋体" w:hAnsi="宋体" w:eastAsia="宋体" w:cs="宋体"/>
                <w:sz w:val="24"/>
                <w:szCs w:val="24"/>
                <w:lang w:eastAsia="zh-CN"/>
              </w:rPr>
              <w:t>；</w:t>
            </w:r>
          </w:p>
          <w:p w14:paraId="62608C86">
            <w:pPr>
              <w:bidi w:val="0"/>
              <w:jc w:val="both"/>
              <w:rPr>
                <w:rFonts w:hint="eastAsia" w:ascii="宋体" w:hAnsi="宋体" w:eastAsia="宋体" w:cs="宋体"/>
                <w:sz w:val="24"/>
                <w:szCs w:val="24"/>
                <w:lang w:eastAsia="zh-CN"/>
              </w:rPr>
            </w:pPr>
            <w:r>
              <w:rPr>
                <w:rFonts w:hint="eastAsia" w:ascii="宋体" w:hAnsi="宋体" w:eastAsia="宋体" w:cs="宋体"/>
                <w:sz w:val="24"/>
                <w:szCs w:val="24"/>
              </w:rPr>
              <w:t>配置高学历、高素质物业人员，量身定制高端职业服饰，打造形象与气质并重的服务团队</w:t>
            </w:r>
            <w:r>
              <w:rPr>
                <w:rFonts w:hint="eastAsia" w:ascii="宋体" w:hAnsi="宋体" w:eastAsia="宋体" w:cs="宋体"/>
                <w:sz w:val="24"/>
                <w:szCs w:val="24"/>
                <w:lang w:eastAsia="zh-CN"/>
              </w:rPr>
              <w:t>；</w:t>
            </w:r>
          </w:p>
          <w:p w14:paraId="071FBEE9">
            <w:pPr>
              <w:numPr>
                <w:ilvl w:val="0"/>
                <w:numId w:val="1"/>
              </w:numPr>
              <w:bidi w:val="0"/>
              <w:jc w:val="both"/>
              <w:rPr>
                <w:rFonts w:hint="eastAsia" w:ascii="宋体" w:hAnsi="宋体" w:eastAsia="宋体" w:cs="宋体"/>
                <w:sz w:val="24"/>
                <w:szCs w:val="24"/>
                <w:lang w:eastAsia="zh-CN"/>
              </w:rPr>
            </w:pPr>
            <w:r>
              <w:rPr>
                <w:rFonts w:hint="eastAsia" w:ascii="宋体" w:hAnsi="宋体" w:eastAsia="宋体" w:cs="宋体"/>
                <w:sz w:val="24"/>
                <w:szCs w:val="24"/>
              </w:rPr>
              <w:t>能根据业主需求提供特约服务和便民服务</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能</w:t>
            </w:r>
            <w:r>
              <w:rPr>
                <w:rFonts w:hint="eastAsia" w:ascii="宋体" w:hAnsi="宋体" w:eastAsia="宋体" w:cs="宋体"/>
                <w:sz w:val="24"/>
                <w:szCs w:val="24"/>
              </w:rPr>
              <w:t>充分利用专业服务资源，提供全方位一步到家服务，包括：安装智能监控及防盗系统、家政服务、清洁服务、绿化服务、装修、家具配送、送水、送米等，为所有业主提供便捷、优质、价廉物美的全面细致服务；所有服务价目公开，质价相符</w:t>
            </w:r>
            <w:r>
              <w:rPr>
                <w:rFonts w:hint="eastAsia" w:ascii="宋体" w:hAnsi="宋体" w:eastAsia="宋体" w:cs="宋体"/>
                <w:sz w:val="24"/>
                <w:szCs w:val="24"/>
                <w:lang w:eastAsia="zh-CN"/>
              </w:rPr>
              <w:t>；</w:t>
            </w:r>
          </w:p>
          <w:p w14:paraId="513D5E72">
            <w:pPr>
              <w:numPr>
                <w:ilvl w:val="0"/>
                <w:numId w:val="1"/>
              </w:numPr>
              <w:bidi w:val="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个性化服务</w:t>
            </w:r>
          </w:p>
          <w:p w14:paraId="577E7F92">
            <w:pPr>
              <w:numPr>
                <w:ilvl w:val="0"/>
                <w:numId w:val="0"/>
              </w:numPr>
              <w:bidi w:val="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（1）结合小区业主实际需要向其提供有偿维修服务。</w:t>
            </w:r>
          </w:p>
          <w:p w14:paraId="05085275">
            <w:pPr>
              <w:numPr>
                <w:ilvl w:val="0"/>
                <w:numId w:val="0"/>
              </w:numPr>
              <w:bidi w:val="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（2）开展“绿色家居”活动，为住户提供室内植物租赁业务。</w:t>
            </w:r>
          </w:p>
          <w:p w14:paraId="081D5419">
            <w:pPr>
              <w:numPr>
                <w:ilvl w:val="0"/>
                <w:numId w:val="0"/>
              </w:numPr>
              <w:bidi w:val="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（3）设立小区短信、微信平台，向业主群发温馨提示、节日问候、生日祝福、小区动向等。</w:t>
            </w:r>
          </w:p>
          <w:p w14:paraId="756D1B88">
            <w:pPr>
              <w:numPr>
                <w:ilvl w:val="0"/>
                <w:numId w:val="0"/>
              </w:numPr>
              <w:bidi w:val="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（4）在小区适当位置设置健身器材，定期做好维护工作。</w:t>
            </w:r>
          </w:p>
          <w:p w14:paraId="796F2CEC">
            <w:pPr>
              <w:numPr>
                <w:ilvl w:val="0"/>
                <w:numId w:val="0"/>
              </w:numPr>
              <w:bidi w:val="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（5）针对楼层高，经常有住户衣物吹落楼下的情况，在服务中心设置“失物招领专柜”，方便住户领取失物，失物设立专门的存放处。</w:t>
            </w:r>
          </w:p>
          <w:p w14:paraId="0EECA783">
            <w:pPr>
              <w:numPr>
                <w:ilvl w:val="0"/>
                <w:numId w:val="0"/>
              </w:numPr>
              <w:bidi w:val="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（6）加强精神文明宣传，结合小区实际情况与政府有关部门合作，定期在宣传栏宣传有关时事动态。配合街道、社区进行公益性宣传。</w:t>
            </w:r>
          </w:p>
          <w:p w14:paraId="4FE1EFF1">
            <w:pPr>
              <w:numPr>
                <w:ilvl w:val="0"/>
                <w:numId w:val="0"/>
              </w:numPr>
              <w:bidi w:val="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（7）在小区主要出入口、服务中心等处放置雨伞架及雨伞，为下雨没带伞的住户免费提供方便。</w:t>
            </w:r>
          </w:p>
          <w:p w14:paraId="4D6B1F0F">
            <w:pPr>
              <w:numPr>
                <w:ilvl w:val="0"/>
                <w:numId w:val="0"/>
              </w:numPr>
              <w:bidi w:val="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（8）根据住户需求，服务中心常备一些零配件，及时上门为住户更换，以解决燃眉之急。</w:t>
            </w:r>
          </w:p>
          <w:p w14:paraId="6ACBDAC4">
            <w:pPr>
              <w:numPr>
                <w:ilvl w:val="0"/>
                <w:numId w:val="0"/>
              </w:numPr>
              <w:bidi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13.打造党建引领社区文化建设，实施“红色引擎工程”，打造 “红色物业”；坚持“五有”标准，统一“红色阵地”建设；开展志愿服务，引领社区风尚 ；借力“红色物业”集中项目周边整治违规事件；向业主作出建设“四好党支部”的承诺，党员带头组建学雷锋党员志愿服务队，提供免费便民维修服务，为老年居民提供贴心服务；</w:t>
            </w:r>
          </w:p>
          <w:p w14:paraId="68A2C33B">
            <w:pPr>
              <w:numPr>
                <w:ilvl w:val="0"/>
                <w:numId w:val="0"/>
              </w:numPr>
              <w:bidi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14.节假日有专题布置，每年组织、举办不少于6次社区文化活动。突出社区文化特色，提供植物租摆。与街道等相关单位联手做好社区精神文明建设；协助成立社区文艺团体等，丰富社区业余文化生活；</w:t>
            </w:r>
          </w:p>
          <w:p w14:paraId="45FF2254">
            <w:pPr>
              <w:numPr>
                <w:ilvl w:val="0"/>
                <w:numId w:val="0"/>
              </w:numPr>
              <w:bidi w:val="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15.每季度开展业主满意度调查，了解业户需求，每年度开展一次第三方满意度调查，切实提升服务质量。</w:t>
            </w:r>
          </w:p>
        </w:tc>
      </w:tr>
      <w:tr w14:paraId="29F71A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1" w:hRule="atLeast"/>
        </w:trPr>
        <w:tc>
          <w:tcPr>
            <w:tcW w:w="1746" w:type="dxa"/>
            <w:vAlign w:val="top"/>
          </w:tcPr>
          <w:p w14:paraId="023D5884">
            <w:pPr>
              <w:bidi w:val="0"/>
              <w:jc w:val="center"/>
              <w:rPr>
                <w:rFonts w:hint="eastAsia" w:ascii="宋体" w:hAnsi="宋体" w:eastAsia="宋体" w:cs="宋体"/>
                <w:sz w:val="24"/>
                <w:szCs w:val="24"/>
              </w:rPr>
            </w:pPr>
          </w:p>
          <w:p w14:paraId="3720C900">
            <w:pPr>
              <w:bidi w:val="0"/>
              <w:jc w:val="center"/>
              <w:rPr>
                <w:rFonts w:hint="eastAsia" w:ascii="宋体" w:hAnsi="宋体" w:eastAsia="宋体" w:cs="宋体"/>
                <w:sz w:val="24"/>
                <w:szCs w:val="24"/>
              </w:rPr>
            </w:pPr>
          </w:p>
          <w:p w14:paraId="02D4F26A">
            <w:pPr>
              <w:bidi w:val="0"/>
              <w:jc w:val="center"/>
              <w:rPr>
                <w:rFonts w:hint="eastAsia" w:ascii="宋体" w:hAnsi="宋体" w:eastAsia="宋体" w:cs="宋体"/>
                <w:sz w:val="24"/>
                <w:szCs w:val="24"/>
              </w:rPr>
            </w:pPr>
          </w:p>
          <w:p w14:paraId="66952F49">
            <w:pPr>
              <w:bidi w:val="0"/>
              <w:jc w:val="center"/>
              <w:rPr>
                <w:rFonts w:hint="eastAsia" w:ascii="宋体" w:hAnsi="宋体" w:eastAsia="宋体" w:cs="宋体"/>
                <w:sz w:val="24"/>
                <w:szCs w:val="24"/>
              </w:rPr>
            </w:pPr>
          </w:p>
          <w:p w14:paraId="635458AE">
            <w:pPr>
              <w:bidi w:val="0"/>
              <w:jc w:val="center"/>
              <w:rPr>
                <w:rFonts w:hint="eastAsia" w:ascii="宋体" w:hAnsi="宋体" w:eastAsia="宋体" w:cs="宋体"/>
                <w:sz w:val="24"/>
                <w:szCs w:val="24"/>
              </w:rPr>
            </w:pPr>
          </w:p>
          <w:p w14:paraId="0C4299B1">
            <w:pPr>
              <w:bidi w:val="0"/>
              <w:jc w:val="center"/>
              <w:rPr>
                <w:rFonts w:hint="eastAsia" w:ascii="宋体" w:hAnsi="宋体" w:eastAsia="宋体" w:cs="宋体"/>
                <w:sz w:val="24"/>
                <w:szCs w:val="24"/>
              </w:rPr>
            </w:pPr>
          </w:p>
          <w:p w14:paraId="25E3355E">
            <w:pPr>
              <w:bidi w:val="0"/>
              <w:jc w:val="center"/>
              <w:rPr>
                <w:rFonts w:hint="eastAsia" w:ascii="宋体" w:hAnsi="宋体" w:eastAsia="宋体" w:cs="宋体"/>
                <w:sz w:val="24"/>
                <w:szCs w:val="24"/>
              </w:rPr>
            </w:pPr>
          </w:p>
          <w:p w14:paraId="4758D1EB">
            <w:pPr>
              <w:bidi w:val="0"/>
              <w:jc w:val="center"/>
              <w:rPr>
                <w:rFonts w:hint="eastAsia" w:ascii="宋体" w:hAnsi="宋体" w:eastAsia="宋体" w:cs="宋体"/>
                <w:sz w:val="24"/>
                <w:szCs w:val="24"/>
              </w:rPr>
            </w:pPr>
          </w:p>
          <w:p w14:paraId="6D4CD324">
            <w:pPr>
              <w:bidi w:val="0"/>
              <w:jc w:val="center"/>
              <w:rPr>
                <w:rFonts w:hint="eastAsia" w:ascii="宋体" w:hAnsi="宋体" w:eastAsia="宋体" w:cs="宋体"/>
                <w:sz w:val="24"/>
                <w:szCs w:val="24"/>
              </w:rPr>
            </w:pPr>
          </w:p>
          <w:p w14:paraId="6492C9B3">
            <w:pPr>
              <w:bidi w:val="0"/>
              <w:jc w:val="center"/>
              <w:rPr>
                <w:rFonts w:hint="eastAsia" w:ascii="宋体" w:hAnsi="宋体" w:eastAsia="宋体" w:cs="宋体"/>
                <w:sz w:val="24"/>
                <w:szCs w:val="24"/>
              </w:rPr>
            </w:pPr>
          </w:p>
          <w:p w14:paraId="532C32A3">
            <w:pPr>
              <w:bidi w:val="0"/>
              <w:jc w:val="center"/>
              <w:rPr>
                <w:rFonts w:hint="eastAsia" w:ascii="宋体" w:hAnsi="宋体" w:eastAsia="宋体" w:cs="宋体"/>
                <w:sz w:val="24"/>
                <w:szCs w:val="24"/>
              </w:rPr>
            </w:pPr>
          </w:p>
          <w:p w14:paraId="61B953AD">
            <w:pPr>
              <w:bidi w:val="0"/>
              <w:jc w:val="center"/>
              <w:rPr>
                <w:rFonts w:hint="eastAsia" w:ascii="宋体" w:hAnsi="宋体" w:eastAsia="宋体" w:cs="宋体"/>
                <w:sz w:val="24"/>
                <w:szCs w:val="24"/>
              </w:rPr>
            </w:pPr>
          </w:p>
          <w:p w14:paraId="03884E8B">
            <w:pPr>
              <w:bidi w:val="0"/>
              <w:jc w:val="center"/>
              <w:rPr>
                <w:rFonts w:hint="eastAsia" w:ascii="宋体" w:hAnsi="宋体" w:eastAsia="宋体" w:cs="宋体"/>
                <w:sz w:val="24"/>
                <w:szCs w:val="24"/>
              </w:rPr>
            </w:pPr>
          </w:p>
          <w:p w14:paraId="54EE9F26">
            <w:pPr>
              <w:bidi w:val="0"/>
              <w:jc w:val="center"/>
              <w:rPr>
                <w:rFonts w:hint="eastAsia" w:ascii="宋体" w:hAnsi="宋体" w:eastAsia="宋体" w:cs="宋体"/>
                <w:sz w:val="24"/>
                <w:szCs w:val="24"/>
              </w:rPr>
            </w:pPr>
          </w:p>
          <w:p w14:paraId="12118B54">
            <w:pPr>
              <w:bidi w:val="0"/>
              <w:jc w:val="center"/>
              <w:rPr>
                <w:rFonts w:hint="eastAsia" w:ascii="宋体" w:hAnsi="宋体" w:eastAsia="宋体" w:cs="宋体"/>
                <w:sz w:val="24"/>
                <w:szCs w:val="24"/>
              </w:rPr>
            </w:pPr>
          </w:p>
          <w:p w14:paraId="210B413E">
            <w:pPr>
              <w:bidi w:val="0"/>
              <w:jc w:val="center"/>
              <w:rPr>
                <w:rFonts w:hint="eastAsia" w:ascii="宋体" w:hAnsi="宋体" w:eastAsia="宋体" w:cs="宋体"/>
                <w:sz w:val="24"/>
                <w:szCs w:val="24"/>
              </w:rPr>
            </w:pPr>
            <w:r>
              <w:rPr>
                <w:rFonts w:hint="eastAsia" w:ascii="宋体" w:hAnsi="宋体" w:eastAsia="宋体" w:cs="宋体"/>
                <w:sz w:val="24"/>
                <w:szCs w:val="24"/>
              </w:rPr>
              <w:t>(二)</w:t>
            </w:r>
          </w:p>
          <w:p w14:paraId="11EFF6F8">
            <w:pPr>
              <w:bidi w:val="0"/>
              <w:jc w:val="center"/>
              <w:rPr>
                <w:rFonts w:hint="eastAsia" w:ascii="宋体" w:hAnsi="宋体" w:eastAsia="宋体" w:cs="宋体"/>
                <w:sz w:val="24"/>
                <w:szCs w:val="24"/>
              </w:rPr>
            </w:pPr>
            <w:r>
              <w:rPr>
                <w:rFonts w:hint="eastAsia" w:ascii="宋体" w:hAnsi="宋体" w:eastAsia="宋体" w:cs="宋体"/>
                <w:sz w:val="24"/>
                <w:szCs w:val="24"/>
              </w:rPr>
              <w:t>物</w:t>
            </w:r>
          </w:p>
          <w:p w14:paraId="5F2EC862">
            <w:pPr>
              <w:bidi w:val="0"/>
              <w:jc w:val="center"/>
              <w:rPr>
                <w:rFonts w:hint="eastAsia" w:ascii="宋体" w:hAnsi="宋体" w:eastAsia="宋体" w:cs="宋体"/>
                <w:sz w:val="24"/>
                <w:szCs w:val="24"/>
              </w:rPr>
            </w:pPr>
            <w:r>
              <w:rPr>
                <w:rFonts w:hint="eastAsia" w:ascii="宋体" w:hAnsi="宋体" w:eastAsia="宋体" w:cs="宋体"/>
                <w:sz w:val="24"/>
                <w:szCs w:val="24"/>
              </w:rPr>
              <w:t>业</w:t>
            </w:r>
          </w:p>
          <w:p w14:paraId="3FFA2BB0">
            <w:pPr>
              <w:bidi w:val="0"/>
              <w:jc w:val="center"/>
              <w:rPr>
                <w:rFonts w:hint="eastAsia" w:ascii="宋体" w:hAnsi="宋体" w:eastAsia="宋体" w:cs="宋体"/>
                <w:sz w:val="24"/>
                <w:szCs w:val="24"/>
              </w:rPr>
            </w:pPr>
            <w:r>
              <w:rPr>
                <w:rFonts w:hint="eastAsia" w:ascii="宋体" w:hAnsi="宋体" w:eastAsia="宋体" w:cs="宋体"/>
                <w:sz w:val="24"/>
                <w:szCs w:val="24"/>
              </w:rPr>
              <w:t>共</w:t>
            </w:r>
          </w:p>
          <w:p w14:paraId="6AD7CF52">
            <w:pPr>
              <w:bidi w:val="0"/>
              <w:jc w:val="center"/>
              <w:rPr>
                <w:rFonts w:hint="eastAsia" w:ascii="宋体" w:hAnsi="宋体" w:eastAsia="宋体" w:cs="宋体"/>
                <w:sz w:val="24"/>
                <w:szCs w:val="24"/>
              </w:rPr>
            </w:pPr>
            <w:r>
              <w:rPr>
                <w:rFonts w:hint="eastAsia" w:ascii="宋体" w:hAnsi="宋体" w:eastAsia="宋体" w:cs="宋体"/>
                <w:sz w:val="24"/>
                <w:szCs w:val="24"/>
              </w:rPr>
              <w:t>用</w:t>
            </w:r>
          </w:p>
          <w:p w14:paraId="610DD3F0">
            <w:pPr>
              <w:bidi w:val="0"/>
              <w:jc w:val="center"/>
              <w:rPr>
                <w:rFonts w:hint="eastAsia" w:ascii="宋体" w:hAnsi="宋体" w:eastAsia="宋体" w:cs="宋体"/>
                <w:sz w:val="24"/>
                <w:szCs w:val="24"/>
              </w:rPr>
            </w:pPr>
            <w:r>
              <w:rPr>
                <w:rFonts w:hint="eastAsia" w:ascii="宋体" w:hAnsi="宋体" w:eastAsia="宋体" w:cs="宋体"/>
                <w:sz w:val="24"/>
                <w:szCs w:val="24"/>
              </w:rPr>
              <w:t>部</w:t>
            </w:r>
          </w:p>
          <w:p w14:paraId="273947F5">
            <w:pPr>
              <w:bidi w:val="0"/>
              <w:jc w:val="center"/>
              <w:rPr>
                <w:rFonts w:hint="eastAsia" w:ascii="宋体" w:hAnsi="宋体" w:eastAsia="宋体" w:cs="宋体"/>
                <w:sz w:val="24"/>
                <w:szCs w:val="24"/>
              </w:rPr>
            </w:pPr>
            <w:r>
              <w:rPr>
                <w:rFonts w:hint="eastAsia" w:ascii="宋体" w:hAnsi="宋体" w:eastAsia="宋体" w:cs="宋体"/>
                <w:sz w:val="24"/>
                <w:szCs w:val="24"/>
              </w:rPr>
              <w:t>位</w:t>
            </w:r>
          </w:p>
          <w:p w14:paraId="407845F2">
            <w:pPr>
              <w:bidi w:val="0"/>
              <w:jc w:val="center"/>
              <w:rPr>
                <w:rFonts w:hint="eastAsia" w:ascii="宋体" w:hAnsi="宋体" w:eastAsia="宋体" w:cs="宋体"/>
                <w:sz w:val="24"/>
                <w:szCs w:val="24"/>
              </w:rPr>
            </w:pPr>
            <w:r>
              <w:rPr>
                <w:rFonts w:hint="eastAsia" w:ascii="宋体" w:hAnsi="宋体" w:eastAsia="宋体" w:cs="宋体"/>
                <w:sz w:val="24"/>
                <w:szCs w:val="24"/>
              </w:rPr>
              <w:t>和</w:t>
            </w:r>
          </w:p>
          <w:p w14:paraId="56A053C3">
            <w:pPr>
              <w:bidi w:val="0"/>
              <w:jc w:val="center"/>
              <w:rPr>
                <w:rFonts w:hint="eastAsia" w:ascii="宋体" w:hAnsi="宋体" w:eastAsia="宋体" w:cs="宋体"/>
                <w:sz w:val="24"/>
                <w:szCs w:val="24"/>
              </w:rPr>
            </w:pPr>
            <w:r>
              <w:rPr>
                <w:rFonts w:hint="eastAsia" w:ascii="宋体" w:hAnsi="宋体" w:eastAsia="宋体" w:cs="宋体"/>
                <w:sz w:val="24"/>
                <w:szCs w:val="24"/>
              </w:rPr>
              <w:t>共</w:t>
            </w:r>
          </w:p>
          <w:p w14:paraId="25D853DD">
            <w:pPr>
              <w:bidi w:val="0"/>
              <w:jc w:val="center"/>
              <w:rPr>
                <w:rFonts w:hint="eastAsia" w:ascii="宋体" w:hAnsi="宋体" w:eastAsia="宋体" w:cs="宋体"/>
                <w:sz w:val="24"/>
                <w:szCs w:val="24"/>
              </w:rPr>
            </w:pPr>
            <w:r>
              <w:rPr>
                <w:rFonts w:hint="eastAsia" w:ascii="宋体" w:hAnsi="宋体" w:eastAsia="宋体" w:cs="宋体"/>
                <w:sz w:val="24"/>
                <w:szCs w:val="24"/>
              </w:rPr>
              <w:t>用</w:t>
            </w:r>
          </w:p>
          <w:p w14:paraId="62F160F6">
            <w:pPr>
              <w:bidi w:val="0"/>
              <w:jc w:val="center"/>
              <w:rPr>
                <w:rFonts w:hint="eastAsia" w:ascii="宋体" w:hAnsi="宋体" w:eastAsia="宋体" w:cs="宋体"/>
                <w:sz w:val="24"/>
                <w:szCs w:val="24"/>
              </w:rPr>
            </w:pPr>
            <w:r>
              <w:rPr>
                <w:rFonts w:hint="eastAsia" w:ascii="宋体" w:hAnsi="宋体" w:eastAsia="宋体" w:cs="宋体"/>
                <w:sz w:val="24"/>
                <w:szCs w:val="24"/>
              </w:rPr>
              <w:t>设</w:t>
            </w:r>
          </w:p>
          <w:p w14:paraId="56068BAA">
            <w:pPr>
              <w:bidi w:val="0"/>
              <w:jc w:val="center"/>
              <w:rPr>
                <w:rFonts w:hint="eastAsia" w:ascii="宋体" w:hAnsi="宋体" w:eastAsia="宋体" w:cs="宋体"/>
                <w:sz w:val="24"/>
                <w:szCs w:val="24"/>
              </w:rPr>
            </w:pPr>
            <w:r>
              <w:rPr>
                <w:rFonts w:hint="eastAsia" w:ascii="宋体" w:hAnsi="宋体" w:eastAsia="宋体" w:cs="宋体"/>
                <w:sz w:val="24"/>
                <w:szCs w:val="24"/>
              </w:rPr>
              <w:t>施</w:t>
            </w:r>
          </w:p>
          <w:p w14:paraId="5046600E">
            <w:pPr>
              <w:bidi w:val="0"/>
              <w:jc w:val="center"/>
              <w:rPr>
                <w:rFonts w:hint="eastAsia" w:ascii="宋体" w:hAnsi="宋体" w:eastAsia="宋体" w:cs="宋体"/>
                <w:sz w:val="24"/>
                <w:szCs w:val="24"/>
              </w:rPr>
            </w:pPr>
            <w:r>
              <w:rPr>
                <w:rFonts w:hint="eastAsia" w:ascii="宋体" w:hAnsi="宋体" w:eastAsia="宋体" w:cs="宋体"/>
                <w:sz w:val="24"/>
                <w:szCs w:val="24"/>
              </w:rPr>
              <w:t>设</w:t>
            </w:r>
          </w:p>
          <w:p w14:paraId="3594DB0B">
            <w:pPr>
              <w:bidi w:val="0"/>
              <w:jc w:val="center"/>
              <w:rPr>
                <w:rFonts w:hint="eastAsia" w:ascii="宋体" w:hAnsi="宋体" w:eastAsia="宋体" w:cs="宋体"/>
                <w:sz w:val="24"/>
                <w:szCs w:val="24"/>
              </w:rPr>
            </w:pPr>
            <w:r>
              <w:rPr>
                <w:rFonts w:hint="eastAsia" w:ascii="宋体" w:hAnsi="宋体" w:eastAsia="宋体" w:cs="宋体"/>
                <w:sz w:val="24"/>
                <w:szCs w:val="24"/>
              </w:rPr>
              <w:t>备</w:t>
            </w:r>
          </w:p>
          <w:p w14:paraId="17762793">
            <w:pPr>
              <w:bidi w:val="0"/>
              <w:jc w:val="center"/>
              <w:rPr>
                <w:rFonts w:hint="eastAsia" w:ascii="宋体" w:hAnsi="宋体" w:eastAsia="宋体" w:cs="宋体"/>
                <w:sz w:val="24"/>
                <w:szCs w:val="24"/>
              </w:rPr>
            </w:pPr>
            <w:r>
              <w:rPr>
                <w:rFonts w:hint="eastAsia" w:ascii="宋体" w:hAnsi="宋体" w:eastAsia="宋体" w:cs="宋体"/>
                <w:sz w:val="24"/>
                <w:szCs w:val="24"/>
              </w:rPr>
              <w:t>维</w:t>
            </w:r>
          </w:p>
          <w:p w14:paraId="4EAB9F72">
            <w:pPr>
              <w:bidi w:val="0"/>
              <w:jc w:val="center"/>
              <w:rPr>
                <w:rFonts w:hint="eastAsia" w:ascii="宋体" w:hAnsi="宋体" w:eastAsia="宋体" w:cs="宋体"/>
                <w:sz w:val="24"/>
                <w:szCs w:val="24"/>
              </w:rPr>
            </w:pPr>
            <w:r>
              <w:rPr>
                <w:rFonts w:hint="eastAsia" w:ascii="宋体" w:hAnsi="宋体" w:eastAsia="宋体" w:cs="宋体"/>
                <w:sz w:val="24"/>
                <w:szCs w:val="24"/>
              </w:rPr>
              <w:t>护</w:t>
            </w:r>
          </w:p>
        </w:tc>
        <w:tc>
          <w:tcPr>
            <w:tcW w:w="5183" w:type="dxa"/>
            <w:vAlign w:val="center"/>
          </w:tcPr>
          <w:p w14:paraId="305C233F">
            <w:pPr>
              <w:bidi w:val="0"/>
              <w:jc w:val="both"/>
              <w:rPr>
                <w:rFonts w:hint="eastAsia" w:ascii="宋体" w:hAnsi="宋体" w:eastAsia="宋体" w:cs="宋体"/>
                <w:sz w:val="24"/>
                <w:szCs w:val="24"/>
              </w:rPr>
            </w:pPr>
          </w:p>
          <w:p w14:paraId="4D87AD98">
            <w:pPr>
              <w:bidi w:val="0"/>
              <w:jc w:val="both"/>
              <w:rPr>
                <w:rFonts w:hint="eastAsia" w:ascii="宋体" w:hAnsi="宋体" w:eastAsia="宋体" w:cs="宋体"/>
                <w:sz w:val="24"/>
                <w:szCs w:val="24"/>
              </w:rPr>
            </w:pPr>
            <w:r>
              <w:rPr>
                <w:rFonts w:hint="eastAsia" w:ascii="宋体" w:hAnsi="宋体" w:eastAsia="宋体" w:cs="宋体"/>
                <w:sz w:val="24"/>
                <w:szCs w:val="24"/>
              </w:rPr>
              <w:t>1.建立物业共用部位、共用设施设备的管理、巡查、维修保养制度及巡查维修档案记录；</w:t>
            </w:r>
          </w:p>
          <w:p w14:paraId="7F1C6E98">
            <w:pPr>
              <w:bidi w:val="0"/>
              <w:jc w:val="both"/>
              <w:rPr>
                <w:rFonts w:hint="eastAsia" w:ascii="宋体" w:hAnsi="宋体" w:eastAsia="宋体" w:cs="宋体"/>
                <w:sz w:val="24"/>
                <w:szCs w:val="24"/>
              </w:rPr>
            </w:pPr>
            <w:r>
              <w:rPr>
                <w:rFonts w:hint="eastAsia" w:ascii="宋体" w:hAnsi="宋体" w:eastAsia="宋体" w:cs="宋体"/>
                <w:sz w:val="24"/>
                <w:szCs w:val="24"/>
              </w:rPr>
              <w:t>2.建立共用设施设备安全操作规程、紧急处理预案等规章制度；建立各类共用设施设备的运行档案，记录齐全；</w:t>
            </w:r>
          </w:p>
          <w:p w14:paraId="4AF65BF6">
            <w:pPr>
              <w:bidi w:val="0"/>
              <w:jc w:val="both"/>
              <w:rPr>
                <w:rFonts w:hint="eastAsia" w:ascii="宋体" w:hAnsi="宋体" w:eastAsia="宋体" w:cs="宋体"/>
                <w:sz w:val="24"/>
                <w:szCs w:val="24"/>
              </w:rPr>
            </w:pPr>
            <w:r>
              <w:rPr>
                <w:rFonts w:hint="eastAsia" w:ascii="宋体" w:hAnsi="宋体" w:eastAsia="宋体" w:cs="宋体"/>
                <w:sz w:val="24"/>
                <w:szCs w:val="24"/>
              </w:rPr>
              <w:t>3.对小区内危险隐患部位设置安全防范、警示标识或维护设施；</w:t>
            </w:r>
          </w:p>
          <w:p w14:paraId="27F612FA">
            <w:pPr>
              <w:bidi w:val="0"/>
              <w:jc w:val="both"/>
              <w:rPr>
                <w:rFonts w:hint="eastAsia" w:ascii="宋体" w:hAnsi="宋体" w:eastAsia="宋体" w:cs="宋体"/>
                <w:sz w:val="24"/>
                <w:szCs w:val="24"/>
              </w:rPr>
            </w:pPr>
            <w:r>
              <w:rPr>
                <w:rFonts w:hint="eastAsia" w:ascii="宋体" w:hAnsi="宋体" w:eastAsia="宋体" w:cs="宋体"/>
                <w:sz w:val="24"/>
                <w:szCs w:val="24"/>
              </w:rPr>
              <w:t>4.共用设施设备有国家规范的，应达到规定的保养标准；</w:t>
            </w:r>
          </w:p>
          <w:p w14:paraId="76099DEF">
            <w:pPr>
              <w:bidi w:val="0"/>
              <w:jc w:val="both"/>
              <w:rPr>
                <w:rFonts w:hint="eastAsia" w:ascii="宋体" w:hAnsi="宋体" w:eastAsia="宋体" w:cs="宋体"/>
                <w:sz w:val="24"/>
                <w:szCs w:val="24"/>
              </w:rPr>
            </w:pPr>
            <w:r>
              <w:rPr>
                <w:rFonts w:hint="eastAsia" w:ascii="宋体" w:hAnsi="宋体" w:eastAsia="宋体" w:cs="宋体"/>
                <w:sz w:val="24"/>
                <w:szCs w:val="24"/>
              </w:rPr>
              <w:t>5.共用设施设备配有专人管理；</w:t>
            </w:r>
          </w:p>
          <w:p w14:paraId="75DD9C88">
            <w:pPr>
              <w:bidi w:val="0"/>
              <w:jc w:val="both"/>
              <w:rPr>
                <w:rFonts w:hint="eastAsia" w:ascii="宋体" w:hAnsi="宋体" w:eastAsia="宋体" w:cs="宋体"/>
                <w:sz w:val="24"/>
                <w:szCs w:val="24"/>
              </w:rPr>
            </w:pPr>
            <w:r>
              <w:rPr>
                <w:rFonts w:hint="eastAsia" w:ascii="宋体" w:hAnsi="宋体" w:eastAsia="宋体" w:cs="宋体"/>
                <w:sz w:val="24"/>
                <w:szCs w:val="24"/>
              </w:rPr>
              <w:t>6.各类设施设备的标志清晰明确、规范齐全；</w:t>
            </w:r>
          </w:p>
          <w:p w14:paraId="4BF6ED02">
            <w:pPr>
              <w:bidi w:val="0"/>
              <w:jc w:val="both"/>
              <w:rPr>
                <w:rFonts w:hint="eastAsia" w:ascii="宋体" w:hAnsi="宋体" w:eastAsia="宋体" w:cs="宋体"/>
                <w:sz w:val="24"/>
                <w:szCs w:val="24"/>
              </w:rPr>
            </w:pPr>
            <w:r>
              <w:rPr>
                <w:rFonts w:hint="eastAsia" w:ascii="宋体" w:hAnsi="宋体" w:eastAsia="宋体" w:cs="宋体"/>
                <w:sz w:val="24"/>
                <w:szCs w:val="24"/>
              </w:rPr>
              <w:t>7.小区道路、场地保持基本平整，不积水；</w:t>
            </w:r>
          </w:p>
          <w:p w14:paraId="477A4C69">
            <w:pPr>
              <w:bidi w:val="0"/>
              <w:jc w:val="both"/>
              <w:rPr>
                <w:rFonts w:hint="eastAsia" w:ascii="宋体" w:hAnsi="宋体" w:eastAsia="宋体" w:cs="宋体"/>
                <w:sz w:val="24"/>
                <w:szCs w:val="24"/>
              </w:rPr>
            </w:pPr>
            <w:r>
              <w:rPr>
                <w:rFonts w:hint="eastAsia" w:ascii="宋体" w:hAnsi="宋体" w:eastAsia="宋体" w:cs="宋体"/>
                <w:sz w:val="24"/>
                <w:szCs w:val="24"/>
              </w:rPr>
              <w:t>8.窖井不漫溢，保证排水管道通畅；</w:t>
            </w:r>
          </w:p>
          <w:p w14:paraId="2EAF57A9">
            <w:pPr>
              <w:bidi w:val="0"/>
              <w:jc w:val="both"/>
              <w:rPr>
                <w:rFonts w:hint="eastAsia" w:ascii="宋体" w:hAnsi="宋体" w:eastAsia="宋体" w:cs="宋体"/>
                <w:sz w:val="24"/>
                <w:szCs w:val="24"/>
              </w:rPr>
            </w:pPr>
            <w:r>
              <w:rPr>
                <w:rFonts w:hint="eastAsia" w:ascii="宋体" w:hAnsi="宋体" w:eastAsia="宋体" w:cs="宋体"/>
                <w:sz w:val="24"/>
                <w:szCs w:val="24"/>
              </w:rPr>
              <w:t>9.告知业主或使用人装修须知，监督装修过程，对违规装修、违章搭建及时劝阻、制止或报告。</w:t>
            </w:r>
          </w:p>
          <w:p w14:paraId="74F9E8A9">
            <w:pPr>
              <w:bidi w:val="0"/>
              <w:jc w:val="both"/>
              <w:rPr>
                <w:rFonts w:hint="eastAsia" w:ascii="宋体" w:hAnsi="宋体" w:eastAsia="宋体" w:cs="宋体"/>
                <w:sz w:val="24"/>
                <w:szCs w:val="24"/>
              </w:rPr>
            </w:pPr>
            <w:r>
              <w:rPr>
                <w:rFonts w:hint="eastAsia" w:ascii="宋体" w:hAnsi="宋体" w:eastAsia="宋体" w:cs="宋体"/>
                <w:sz w:val="24"/>
                <w:szCs w:val="24"/>
              </w:rPr>
              <w:t>10.主要出入口或指定区域设置小区平面图，小区内主要路口设有路标，房屋组团、栋、单元（门）、户门标识明显，对危险隐患部位设置安全防范警示标识及隔阻设施，并在主要通道设置安全疏散指示和事故照明设施，每月检查2次上述标识设施，保证清晰完整，设施运行正常；</w:t>
            </w:r>
          </w:p>
          <w:p w14:paraId="6B81B01B">
            <w:pPr>
              <w:bidi w:val="0"/>
              <w:jc w:val="both"/>
              <w:rPr>
                <w:rFonts w:hint="eastAsia" w:ascii="宋体" w:hAnsi="宋体" w:eastAsia="宋体" w:cs="宋体"/>
                <w:sz w:val="24"/>
                <w:szCs w:val="24"/>
              </w:rPr>
            </w:pPr>
            <w:r>
              <w:rPr>
                <w:rFonts w:hint="eastAsia" w:ascii="宋体" w:hAnsi="宋体" w:eastAsia="宋体" w:cs="宋体"/>
                <w:sz w:val="24"/>
                <w:szCs w:val="24"/>
              </w:rPr>
              <w:t>11.每半年1次对房屋结构进行检查，涉及使用安全的部位每季检查1次，发现损坏及时告知相关业主、使用人或业主委员会，并做好记录，对非由维修资金、业主共有资金支出的损坏应及时安排修理；</w:t>
            </w:r>
          </w:p>
          <w:p w14:paraId="44DFB573">
            <w:pPr>
              <w:bidi w:val="0"/>
              <w:jc w:val="both"/>
              <w:rPr>
                <w:rFonts w:hint="eastAsia" w:ascii="宋体" w:hAnsi="宋体" w:eastAsia="宋体" w:cs="宋体"/>
                <w:sz w:val="24"/>
                <w:szCs w:val="24"/>
              </w:rPr>
            </w:pPr>
            <w:r>
              <w:rPr>
                <w:rFonts w:hint="eastAsia" w:ascii="宋体" w:hAnsi="宋体" w:eastAsia="宋体" w:cs="宋体"/>
                <w:sz w:val="24"/>
                <w:szCs w:val="24"/>
              </w:rPr>
              <w:t>12.每半月1次巡查围墙、屋面排水沟、楼内外排水管道等，保持围墙完好（铁栅栏围墙表面无锈蚀），保障排水畅通；</w:t>
            </w:r>
          </w:p>
          <w:p w14:paraId="603D234C">
            <w:pPr>
              <w:bidi w:val="0"/>
              <w:jc w:val="both"/>
              <w:rPr>
                <w:rFonts w:hint="eastAsia" w:ascii="宋体" w:hAnsi="宋体" w:eastAsia="宋体" w:cs="宋体"/>
                <w:sz w:val="24"/>
                <w:szCs w:val="24"/>
              </w:rPr>
            </w:pPr>
            <w:r>
              <w:rPr>
                <w:rFonts w:hint="eastAsia" w:ascii="宋体" w:hAnsi="宋体" w:eastAsia="宋体" w:cs="宋体"/>
                <w:sz w:val="24"/>
                <w:szCs w:val="24"/>
              </w:rPr>
              <w:t>13.每周1次巡查道路、路面、井盖等，保持路面平整、无破损、无积水；</w:t>
            </w:r>
          </w:p>
          <w:p w14:paraId="0CA9A724">
            <w:pPr>
              <w:bidi w:val="0"/>
              <w:jc w:val="both"/>
              <w:rPr>
                <w:rFonts w:hint="eastAsia" w:ascii="宋体" w:hAnsi="宋体" w:eastAsia="宋体" w:cs="宋体"/>
                <w:sz w:val="24"/>
                <w:szCs w:val="24"/>
              </w:rPr>
            </w:pPr>
            <w:r>
              <w:rPr>
                <w:rFonts w:hint="eastAsia" w:ascii="宋体" w:hAnsi="宋体" w:eastAsia="宋体" w:cs="宋体"/>
                <w:sz w:val="24"/>
                <w:szCs w:val="24"/>
              </w:rPr>
              <w:t>14.每日1次巡查楼内公共部位门窗及休闲椅、凉亭、室外健身设施、儿童乐园等户外设施，保持玻璃、门窗配件完好，保证户外设施安全使用；</w:t>
            </w:r>
          </w:p>
          <w:p w14:paraId="2116FFA7">
            <w:pPr>
              <w:bidi w:val="0"/>
              <w:jc w:val="both"/>
              <w:rPr>
                <w:rFonts w:hint="eastAsia" w:ascii="宋体" w:hAnsi="宋体" w:eastAsia="宋体" w:cs="宋体"/>
                <w:sz w:val="24"/>
                <w:szCs w:val="24"/>
              </w:rPr>
            </w:pPr>
            <w:r>
              <w:rPr>
                <w:rFonts w:hint="eastAsia" w:ascii="宋体" w:hAnsi="宋体" w:eastAsia="宋体" w:cs="宋体"/>
                <w:sz w:val="24"/>
                <w:szCs w:val="24"/>
              </w:rPr>
              <w:t>15.每日1次以上巡检并及时修复损坏的公共照明设备，保持灯具完好，公共照明设备完好率在99%以上；</w:t>
            </w:r>
          </w:p>
          <w:p w14:paraId="52CBDB8F">
            <w:pPr>
              <w:bidi w:val="0"/>
              <w:jc w:val="both"/>
              <w:rPr>
                <w:rFonts w:hint="eastAsia" w:ascii="宋体" w:hAnsi="宋体" w:eastAsia="宋体" w:cs="宋体"/>
                <w:sz w:val="24"/>
                <w:szCs w:val="24"/>
              </w:rPr>
            </w:pPr>
            <w:r>
              <w:rPr>
                <w:rFonts w:hint="eastAsia" w:ascii="宋体" w:hAnsi="宋体" w:eastAsia="宋体" w:cs="宋体"/>
                <w:sz w:val="24"/>
                <w:szCs w:val="24"/>
              </w:rPr>
              <w:t xml:space="preserve">16.各类共用设施设备系统每日检查1次，每月保养1次，设备房每周清洁1次；消防水泵或内燃机驱动的消防水泵应每月启动运转一次；电梯配置必要的专业救助工具及24小时不间断通讯设备，出现困人情况5分钟内到位，按有关技术规范要求处理，及时解救被困乘客； </w:t>
            </w:r>
          </w:p>
          <w:p w14:paraId="30A3DE9C">
            <w:pPr>
              <w:bidi w:val="0"/>
              <w:jc w:val="both"/>
              <w:rPr>
                <w:rFonts w:hint="eastAsia" w:ascii="宋体" w:hAnsi="宋体" w:eastAsia="宋体" w:cs="宋体"/>
                <w:sz w:val="24"/>
                <w:szCs w:val="24"/>
              </w:rPr>
            </w:pPr>
            <w:r>
              <w:rPr>
                <w:rFonts w:hint="eastAsia" w:ascii="宋体" w:hAnsi="宋体" w:eastAsia="宋体" w:cs="宋体"/>
                <w:sz w:val="24"/>
                <w:szCs w:val="24"/>
              </w:rPr>
              <w:t>17.24小时受理业主或非业主使用人报修，急修半小时内到现场处理，一般修理1天内处理。</w:t>
            </w:r>
          </w:p>
        </w:tc>
        <w:tc>
          <w:tcPr>
            <w:tcW w:w="7815" w:type="dxa"/>
            <w:vAlign w:val="center"/>
          </w:tcPr>
          <w:p w14:paraId="6B9FBE0C">
            <w:pPr>
              <w:numPr>
                <w:ilvl w:val="0"/>
                <w:numId w:val="2"/>
              </w:numPr>
              <w:bidi w:val="0"/>
              <w:jc w:val="both"/>
              <w:rPr>
                <w:rFonts w:hint="eastAsia" w:ascii="宋体" w:hAnsi="宋体" w:eastAsia="宋体" w:cs="宋体"/>
                <w:sz w:val="24"/>
                <w:szCs w:val="24"/>
              </w:rPr>
            </w:pPr>
            <w:r>
              <w:rPr>
                <w:rFonts w:hint="eastAsia" w:ascii="宋体" w:hAnsi="宋体" w:eastAsia="宋体" w:cs="宋体"/>
                <w:sz w:val="24"/>
                <w:szCs w:val="24"/>
              </w:rPr>
              <w:t>建立物业共用部位、共用设施设备的管理、巡查、维修保养制度及巡查维修档案记录；对房屋共用部位进行日常管理和维修养护；</w:t>
            </w:r>
          </w:p>
          <w:p w14:paraId="30F8EFF5">
            <w:pPr>
              <w:numPr>
                <w:ilvl w:val="0"/>
                <w:numId w:val="2"/>
              </w:numPr>
              <w:bidi w:val="0"/>
              <w:jc w:val="both"/>
              <w:rPr>
                <w:rFonts w:hint="eastAsia" w:ascii="宋体" w:hAnsi="宋体" w:eastAsia="宋体" w:cs="宋体"/>
                <w:sz w:val="24"/>
                <w:szCs w:val="24"/>
              </w:rPr>
            </w:pPr>
            <w:r>
              <w:rPr>
                <w:rFonts w:hint="eastAsia" w:ascii="宋体" w:hAnsi="宋体" w:eastAsia="宋体" w:cs="宋体"/>
                <w:sz w:val="24"/>
                <w:szCs w:val="24"/>
              </w:rPr>
              <w:t>建立共用设施设备安全操作规程、紧急处理预案等规章制度；建立</w:t>
            </w:r>
            <w:r>
              <w:rPr>
                <w:rFonts w:hint="eastAsia" w:ascii="宋体" w:hAnsi="宋体" w:eastAsia="宋体" w:cs="宋体"/>
                <w:sz w:val="24"/>
                <w:szCs w:val="24"/>
                <w:lang w:eastAsia="zh-CN"/>
              </w:rPr>
              <w:t>各类</w:t>
            </w:r>
            <w:r>
              <w:rPr>
                <w:rFonts w:hint="eastAsia" w:ascii="宋体" w:hAnsi="宋体" w:eastAsia="宋体" w:cs="宋体"/>
                <w:sz w:val="24"/>
                <w:szCs w:val="24"/>
              </w:rPr>
              <w:t xml:space="preserve">共用设施设备档案（设备台账），设施设备的运行、检查、维修、保养等记录齐全；     </w:t>
            </w:r>
          </w:p>
          <w:p w14:paraId="21D2D961">
            <w:pPr>
              <w:bidi w:val="0"/>
              <w:jc w:val="both"/>
              <w:rPr>
                <w:rFonts w:hint="eastAsia" w:ascii="宋体" w:hAnsi="宋体" w:eastAsia="宋体" w:cs="宋体"/>
                <w:sz w:val="24"/>
                <w:szCs w:val="24"/>
              </w:rPr>
            </w:pPr>
            <w:r>
              <w:rPr>
                <w:rFonts w:hint="eastAsia" w:ascii="宋体" w:hAnsi="宋体" w:eastAsia="宋体" w:cs="宋体"/>
                <w:sz w:val="24"/>
                <w:szCs w:val="24"/>
              </w:rPr>
              <w:t>3.对小区内危险隐患部位设置安全防范、警示标识或维护设施；</w:t>
            </w:r>
          </w:p>
          <w:p w14:paraId="77042936">
            <w:pPr>
              <w:bidi w:val="0"/>
              <w:jc w:val="both"/>
              <w:rPr>
                <w:rFonts w:hint="eastAsia" w:ascii="宋体" w:hAnsi="宋体" w:eastAsia="宋体" w:cs="宋体"/>
                <w:sz w:val="24"/>
                <w:szCs w:val="24"/>
              </w:rPr>
            </w:pPr>
            <w:r>
              <w:rPr>
                <w:rFonts w:hint="eastAsia" w:ascii="宋体" w:hAnsi="宋体" w:eastAsia="宋体" w:cs="宋体"/>
                <w:sz w:val="24"/>
                <w:szCs w:val="24"/>
              </w:rPr>
              <w:t>4.共用设施设备有国家规范的，应达到规定的保养标准；</w:t>
            </w:r>
          </w:p>
          <w:p w14:paraId="5BC814EB">
            <w:pPr>
              <w:bidi w:val="0"/>
              <w:jc w:val="both"/>
              <w:rPr>
                <w:rFonts w:hint="eastAsia" w:ascii="宋体" w:hAnsi="宋体" w:eastAsia="宋体" w:cs="宋体"/>
                <w:sz w:val="24"/>
                <w:szCs w:val="24"/>
              </w:rPr>
            </w:pPr>
            <w:r>
              <w:rPr>
                <w:rFonts w:hint="eastAsia" w:ascii="宋体" w:hAnsi="宋体" w:eastAsia="宋体" w:cs="宋体"/>
                <w:sz w:val="24"/>
                <w:szCs w:val="24"/>
              </w:rPr>
              <w:t>5.共用设施设备配有专人管理，持证上岗，保证各项设施设备安全运行；</w:t>
            </w:r>
          </w:p>
          <w:p w14:paraId="7FB32EE0">
            <w:pPr>
              <w:bidi w:val="0"/>
              <w:jc w:val="both"/>
              <w:rPr>
                <w:rFonts w:hint="eastAsia" w:ascii="宋体" w:hAnsi="宋体" w:eastAsia="宋体" w:cs="宋体"/>
                <w:sz w:val="24"/>
                <w:szCs w:val="24"/>
              </w:rPr>
            </w:pPr>
            <w:r>
              <w:rPr>
                <w:rFonts w:hint="eastAsia" w:ascii="宋体" w:hAnsi="宋体" w:eastAsia="宋体" w:cs="宋体"/>
                <w:sz w:val="24"/>
                <w:szCs w:val="24"/>
              </w:rPr>
              <w:t>6.各类设施设备的标志清晰明确、规范齐全；</w:t>
            </w:r>
          </w:p>
          <w:p w14:paraId="6EFE1CFC">
            <w:pPr>
              <w:bidi w:val="0"/>
              <w:jc w:val="both"/>
              <w:rPr>
                <w:rFonts w:hint="eastAsia" w:ascii="宋体" w:hAnsi="宋体" w:eastAsia="宋体" w:cs="宋体"/>
                <w:sz w:val="24"/>
                <w:szCs w:val="24"/>
              </w:rPr>
            </w:pPr>
            <w:r>
              <w:rPr>
                <w:rFonts w:hint="eastAsia" w:ascii="宋体" w:hAnsi="宋体" w:eastAsia="宋体" w:cs="宋体"/>
                <w:sz w:val="24"/>
                <w:szCs w:val="24"/>
              </w:rPr>
              <w:t>7.小区道路、场地保持基本平整，不积水；</w:t>
            </w:r>
          </w:p>
          <w:p w14:paraId="6E29D87F">
            <w:pPr>
              <w:bidi w:val="0"/>
              <w:jc w:val="both"/>
              <w:rPr>
                <w:rFonts w:hint="eastAsia" w:ascii="宋体" w:hAnsi="宋体" w:eastAsia="宋体" w:cs="宋体"/>
                <w:sz w:val="24"/>
                <w:szCs w:val="24"/>
              </w:rPr>
            </w:pPr>
            <w:r>
              <w:rPr>
                <w:rFonts w:hint="eastAsia" w:ascii="宋体" w:hAnsi="宋体" w:eastAsia="宋体" w:cs="宋体"/>
                <w:sz w:val="24"/>
                <w:szCs w:val="24"/>
              </w:rPr>
              <w:t>8.窖井不漫溢，保证排水管道通畅；</w:t>
            </w:r>
          </w:p>
          <w:p w14:paraId="7FA350B0">
            <w:pPr>
              <w:bidi w:val="0"/>
              <w:jc w:val="both"/>
              <w:rPr>
                <w:rFonts w:hint="eastAsia" w:ascii="宋体" w:hAnsi="宋体" w:eastAsia="宋体" w:cs="宋体"/>
                <w:sz w:val="24"/>
                <w:szCs w:val="24"/>
              </w:rPr>
            </w:pPr>
            <w:r>
              <w:rPr>
                <w:rFonts w:hint="eastAsia" w:ascii="宋体" w:hAnsi="宋体" w:eastAsia="宋体" w:cs="宋体"/>
                <w:sz w:val="24"/>
                <w:szCs w:val="24"/>
              </w:rPr>
              <w:t>9.配置专人进行装饰装修管理，告知业主或使用人装修须知，监督装修过程，对违规装修、违章搭建及时劝阻、制止或报告；</w:t>
            </w:r>
          </w:p>
          <w:p w14:paraId="0DF584C4">
            <w:pPr>
              <w:bidi w:val="0"/>
              <w:jc w:val="both"/>
              <w:rPr>
                <w:rFonts w:hint="eastAsia" w:ascii="宋体" w:hAnsi="宋体" w:eastAsia="宋体" w:cs="宋体"/>
                <w:sz w:val="24"/>
                <w:szCs w:val="24"/>
              </w:rPr>
            </w:pPr>
            <w:r>
              <w:rPr>
                <w:rFonts w:hint="eastAsia" w:ascii="宋体" w:hAnsi="宋体" w:eastAsia="宋体" w:cs="宋体"/>
                <w:sz w:val="24"/>
                <w:szCs w:val="24"/>
              </w:rPr>
              <w:t>10.主要出入口或指定区域设置小区平面图，小区内主要路口设有路标，房屋组团、栋、单元（门）、户门标识明显，对危险隐患部位设置安全防范警示标识及隔阻设施，并在主要通道设置安全疏散指示和事故照明设施，每月检查2次上述标识设施，保证清晰完整，设施运行正常；</w:t>
            </w:r>
          </w:p>
          <w:p w14:paraId="0788B0EA">
            <w:pPr>
              <w:bidi w:val="0"/>
              <w:jc w:val="both"/>
              <w:rPr>
                <w:rFonts w:hint="eastAsia" w:ascii="宋体" w:hAnsi="宋体" w:eastAsia="宋体" w:cs="宋体"/>
                <w:sz w:val="24"/>
                <w:szCs w:val="24"/>
              </w:rPr>
            </w:pPr>
            <w:r>
              <w:rPr>
                <w:rFonts w:hint="eastAsia" w:ascii="宋体" w:hAnsi="宋体" w:eastAsia="宋体" w:cs="宋体"/>
                <w:sz w:val="24"/>
                <w:szCs w:val="24"/>
              </w:rPr>
              <w:t>11.每半年1次对房屋结构进行检查，涉及使用安全的部位每季检查1次，发现损坏及时告知相关业主、使用人或业主委员会，并做好记录，对非由维修资金、业主共有资金支出的损坏应及时安排修理；</w:t>
            </w:r>
          </w:p>
          <w:p w14:paraId="014B39F0">
            <w:pPr>
              <w:bidi w:val="0"/>
              <w:jc w:val="both"/>
              <w:rPr>
                <w:rFonts w:hint="eastAsia" w:ascii="宋体" w:hAnsi="宋体" w:eastAsia="宋体" w:cs="宋体"/>
                <w:sz w:val="24"/>
                <w:szCs w:val="24"/>
              </w:rPr>
            </w:pPr>
            <w:r>
              <w:rPr>
                <w:rFonts w:hint="eastAsia" w:ascii="宋体" w:hAnsi="宋体" w:eastAsia="宋体" w:cs="宋体"/>
                <w:sz w:val="24"/>
                <w:szCs w:val="24"/>
              </w:rPr>
              <w:t>12.每半月1次巡查围墙、屋面排水沟、楼内外排水管道等，保持围墙完好（铁栅栏围墙表面无锈蚀），保障排水畅通；</w:t>
            </w:r>
          </w:p>
          <w:p w14:paraId="71FA08C9">
            <w:pPr>
              <w:bidi w:val="0"/>
              <w:jc w:val="both"/>
              <w:rPr>
                <w:rFonts w:hint="eastAsia" w:ascii="宋体" w:hAnsi="宋体" w:eastAsia="宋体" w:cs="宋体"/>
                <w:sz w:val="24"/>
                <w:szCs w:val="24"/>
              </w:rPr>
            </w:pPr>
            <w:r>
              <w:rPr>
                <w:rFonts w:hint="eastAsia" w:ascii="宋体" w:hAnsi="宋体" w:eastAsia="宋体" w:cs="宋体"/>
                <w:sz w:val="24"/>
                <w:szCs w:val="24"/>
              </w:rPr>
              <w:t>13.每周1次巡查道路、路面、井盖等，保持路面平整、无破损、无积水；</w:t>
            </w:r>
          </w:p>
          <w:p w14:paraId="64F56FE6">
            <w:pPr>
              <w:bidi w:val="0"/>
              <w:jc w:val="both"/>
              <w:rPr>
                <w:rFonts w:hint="eastAsia" w:ascii="宋体" w:hAnsi="宋体" w:eastAsia="宋体" w:cs="宋体"/>
                <w:sz w:val="24"/>
                <w:szCs w:val="24"/>
              </w:rPr>
            </w:pPr>
            <w:r>
              <w:rPr>
                <w:rFonts w:hint="eastAsia" w:ascii="宋体" w:hAnsi="宋体" w:eastAsia="宋体" w:cs="宋体"/>
                <w:sz w:val="24"/>
                <w:szCs w:val="24"/>
              </w:rPr>
              <w:t>14.每日1次巡查楼内公共部位门窗及休闲椅、凉亭、室外健身设施、儿童乐园等户外设施，保持玻璃、门窗配件完好，保证户外设施安全使用；</w:t>
            </w:r>
          </w:p>
          <w:p w14:paraId="3734715A">
            <w:pPr>
              <w:bidi w:val="0"/>
              <w:jc w:val="both"/>
              <w:rPr>
                <w:rFonts w:hint="eastAsia" w:ascii="宋体" w:hAnsi="宋体" w:eastAsia="宋体" w:cs="宋体"/>
                <w:sz w:val="24"/>
                <w:szCs w:val="24"/>
              </w:rPr>
            </w:pPr>
            <w:r>
              <w:rPr>
                <w:rFonts w:hint="eastAsia" w:ascii="宋体" w:hAnsi="宋体" w:eastAsia="宋体" w:cs="宋体"/>
                <w:sz w:val="24"/>
                <w:szCs w:val="24"/>
              </w:rPr>
              <w:t>15.每日</w:t>
            </w:r>
            <w:r>
              <w:rPr>
                <w:rFonts w:hint="eastAsia" w:ascii="宋体" w:hAnsi="宋体" w:eastAsia="宋体" w:cs="宋体"/>
                <w:sz w:val="24"/>
                <w:szCs w:val="24"/>
                <w:lang w:val="en-US" w:eastAsia="zh-CN"/>
              </w:rPr>
              <w:t>1</w:t>
            </w:r>
            <w:r>
              <w:rPr>
                <w:rFonts w:hint="eastAsia" w:ascii="宋体" w:hAnsi="宋体" w:eastAsia="宋体" w:cs="宋体"/>
                <w:sz w:val="24"/>
                <w:szCs w:val="24"/>
              </w:rPr>
              <w:t>次以上巡检并及时修复损坏的公共照明设备，保持灯具完好，公共照明设备完好率在99%以上；灯照时间合理控制，及时更换；户外灯/柱无松脱、无脱漆、无锈蚀、无变形，巡查不少于 1 次/周；</w:t>
            </w:r>
          </w:p>
          <w:p w14:paraId="000F20F3">
            <w:pPr>
              <w:bidi w:val="0"/>
              <w:jc w:val="both"/>
              <w:rPr>
                <w:rFonts w:hint="eastAsia" w:ascii="宋体" w:hAnsi="宋体" w:eastAsia="宋体" w:cs="宋体"/>
                <w:sz w:val="24"/>
                <w:szCs w:val="24"/>
              </w:rPr>
            </w:pPr>
            <w:r>
              <w:rPr>
                <w:rFonts w:hint="eastAsia" w:ascii="宋体" w:hAnsi="宋体" w:eastAsia="宋体" w:cs="宋体"/>
                <w:sz w:val="24"/>
                <w:szCs w:val="24"/>
              </w:rPr>
              <w:t>16.各类共用设施设备系统每日检查1次，每月保养1次，设备房每周清洁1次；</w:t>
            </w:r>
            <w:r>
              <w:rPr>
                <w:rFonts w:hint="eastAsia" w:ascii="宋体" w:hAnsi="宋体" w:eastAsia="宋体" w:cs="宋体"/>
                <w:color w:val="auto"/>
                <w:sz w:val="24"/>
                <w:szCs w:val="24"/>
              </w:rPr>
              <w:t>消防水泵或内燃机驱动的消防水泵应每月启动运转一次；</w:t>
            </w:r>
            <w:r>
              <w:rPr>
                <w:rFonts w:hint="eastAsia" w:ascii="宋体" w:hAnsi="宋体" w:eastAsia="宋体" w:cs="宋体"/>
                <w:sz w:val="24"/>
                <w:szCs w:val="24"/>
              </w:rPr>
              <w:t xml:space="preserve">电梯配置必要的专业救助工具及24小时不间断通讯设备，出现困人情况5分钟内到位，按有关技术规范要求处理，及时解救被困乘客； </w:t>
            </w:r>
          </w:p>
          <w:p w14:paraId="1C62047C">
            <w:pPr>
              <w:bidi w:val="0"/>
              <w:jc w:val="both"/>
              <w:rPr>
                <w:rFonts w:hint="eastAsia" w:ascii="宋体" w:hAnsi="宋体" w:eastAsia="宋体" w:cs="宋体"/>
                <w:sz w:val="24"/>
                <w:szCs w:val="24"/>
              </w:rPr>
            </w:pPr>
            <w:r>
              <w:rPr>
                <w:rFonts w:hint="eastAsia" w:ascii="宋体" w:hAnsi="宋体" w:eastAsia="宋体" w:cs="宋体"/>
                <w:sz w:val="24"/>
                <w:szCs w:val="24"/>
              </w:rPr>
              <w:t>17.服务中心每天设24小时值班人员，全天24小时受理报修，一般的报修须2小时内到达现场；急修20分钟内到达现场，并做应急处理，需要立即处理的紧急状况，应立即组织抢修；一般修理当天完成。</w:t>
            </w:r>
          </w:p>
          <w:p w14:paraId="2487A5E7">
            <w:pPr>
              <w:bidi w:val="0"/>
              <w:jc w:val="both"/>
              <w:rPr>
                <w:rFonts w:hint="eastAsia" w:ascii="宋体" w:hAnsi="宋体" w:eastAsia="宋体" w:cs="宋体"/>
                <w:sz w:val="24"/>
                <w:szCs w:val="24"/>
              </w:rPr>
            </w:pPr>
            <w:r>
              <w:rPr>
                <w:rFonts w:hint="eastAsia" w:ascii="宋体" w:hAnsi="宋体" w:eastAsia="宋体" w:cs="宋体"/>
                <w:sz w:val="24"/>
                <w:szCs w:val="24"/>
              </w:rPr>
              <w:t>18.保持楼宇单元门厅功能正常；梁、板、柱结构构件外观无明显开裂、无钢筋外露；防火门安装牢固、开启功能正常，闭门器无漏油、无锈蚀现象；地面贴饰面无明显开裂、破损、松动、沉降现象；</w:t>
            </w:r>
          </w:p>
          <w:p w14:paraId="760C1736">
            <w:pPr>
              <w:bidi w:val="0"/>
              <w:jc w:val="both"/>
              <w:rPr>
                <w:rFonts w:hint="eastAsia" w:ascii="宋体" w:hAnsi="宋体" w:eastAsia="宋体" w:cs="宋体"/>
                <w:sz w:val="24"/>
                <w:szCs w:val="24"/>
                <w:lang w:eastAsia="zh-CN"/>
              </w:rPr>
            </w:pPr>
            <w:r>
              <w:rPr>
                <w:rFonts w:hint="eastAsia" w:ascii="宋体" w:hAnsi="宋体" w:eastAsia="宋体" w:cs="宋体"/>
                <w:sz w:val="24"/>
                <w:szCs w:val="24"/>
              </w:rPr>
              <w:t>19.购买物业共用部位、共用设施设备及公众责任保险。 按照公司VI系统要求设置各类主要的公共环境标识；发电机房、电梯机房、配电房、泵房、监控室、消防中心等主要设备房（间、设施）外观及内部主要设施设备，按公司VI识别系统进行统一标识；其他设备设施标识完整统一规范;公共消防设施的保养符合国家、地方相关消防规范，消防通道畅通；消防指示控制箱每月联动测试1次，保证警报蜂鸣与指示灯同步作用；每季度1次进行消防栓器材检查并做好封存措施</w:t>
            </w:r>
            <w:r>
              <w:rPr>
                <w:rFonts w:hint="eastAsia" w:ascii="宋体" w:hAnsi="宋体" w:eastAsia="宋体" w:cs="宋体"/>
                <w:sz w:val="24"/>
                <w:szCs w:val="24"/>
                <w:lang w:eastAsia="zh-CN"/>
              </w:rPr>
              <w:t>；</w:t>
            </w:r>
          </w:p>
          <w:p w14:paraId="0158AE3E">
            <w:pPr>
              <w:bidi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20.每年1次进行楼宇避雷设施测试。对房屋公用部位进行日常管理和维修养护，有检修记录和保养记录。全体业主共同所有的共用部位、共用设施设备维修住房专项维修资金的使用。</w:t>
            </w:r>
          </w:p>
        </w:tc>
      </w:tr>
      <w:tr w14:paraId="515FCA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2" w:hRule="atLeast"/>
        </w:trPr>
        <w:tc>
          <w:tcPr>
            <w:tcW w:w="1746" w:type="dxa"/>
            <w:vAlign w:val="top"/>
          </w:tcPr>
          <w:p w14:paraId="3CE3C8CE">
            <w:pPr>
              <w:bidi w:val="0"/>
              <w:jc w:val="center"/>
              <w:rPr>
                <w:rFonts w:hint="eastAsia" w:ascii="宋体" w:hAnsi="宋体" w:eastAsia="宋体" w:cs="宋体"/>
                <w:color w:val="auto"/>
                <w:sz w:val="24"/>
                <w:szCs w:val="24"/>
              </w:rPr>
            </w:pPr>
          </w:p>
          <w:p w14:paraId="159C0145">
            <w:pPr>
              <w:bidi w:val="0"/>
              <w:jc w:val="center"/>
              <w:rPr>
                <w:rFonts w:hint="eastAsia" w:ascii="宋体" w:hAnsi="宋体" w:eastAsia="宋体" w:cs="宋体"/>
                <w:color w:val="auto"/>
                <w:sz w:val="24"/>
                <w:szCs w:val="24"/>
              </w:rPr>
            </w:pPr>
          </w:p>
          <w:p w14:paraId="01A0FFAB">
            <w:pPr>
              <w:bidi w:val="0"/>
              <w:jc w:val="center"/>
              <w:rPr>
                <w:rFonts w:hint="eastAsia" w:ascii="宋体" w:hAnsi="宋体" w:eastAsia="宋体" w:cs="宋体"/>
                <w:color w:val="auto"/>
                <w:sz w:val="24"/>
                <w:szCs w:val="24"/>
              </w:rPr>
            </w:pPr>
          </w:p>
          <w:p w14:paraId="5BD7E1A3">
            <w:pPr>
              <w:bidi w:val="0"/>
              <w:jc w:val="center"/>
              <w:rPr>
                <w:rFonts w:hint="eastAsia" w:ascii="宋体" w:hAnsi="宋体" w:eastAsia="宋体" w:cs="宋体"/>
                <w:color w:val="auto"/>
                <w:sz w:val="24"/>
                <w:szCs w:val="24"/>
              </w:rPr>
            </w:pPr>
          </w:p>
          <w:p w14:paraId="6A2C4634">
            <w:pPr>
              <w:bidi w:val="0"/>
              <w:jc w:val="center"/>
              <w:rPr>
                <w:rFonts w:hint="eastAsia" w:ascii="宋体" w:hAnsi="宋体" w:eastAsia="宋体" w:cs="宋体"/>
                <w:color w:val="auto"/>
                <w:sz w:val="24"/>
                <w:szCs w:val="24"/>
              </w:rPr>
            </w:pPr>
          </w:p>
          <w:p w14:paraId="0906C7A5">
            <w:pPr>
              <w:bidi w:val="0"/>
              <w:jc w:val="center"/>
              <w:rPr>
                <w:rFonts w:hint="eastAsia" w:ascii="宋体" w:hAnsi="宋体" w:eastAsia="宋体" w:cs="宋体"/>
                <w:color w:val="auto"/>
                <w:sz w:val="24"/>
                <w:szCs w:val="24"/>
              </w:rPr>
            </w:pPr>
          </w:p>
          <w:p w14:paraId="2EAB0C20">
            <w:pPr>
              <w:bidi w:val="0"/>
              <w:jc w:val="center"/>
              <w:rPr>
                <w:rFonts w:hint="eastAsia" w:ascii="宋体" w:hAnsi="宋体" w:eastAsia="宋体" w:cs="宋体"/>
                <w:color w:val="auto"/>
                <w:sz w:val="24"/>
                <w:szCs w:val="24"/>
              </w:rPr>
            </w:pPr>
          </w:p>
          <w:p w14:paraId="62F942CF">
            <w:pPr>
              <w:bidi w:val="0"/>
              <w:jc w:val="center"/>
              <w:rPr>
                <w:rFonts w:hint="eastAsia" w:ascii="宋体" w:hAnsi="宋体" w:eastAsia="宋体" w:cs="宋体"/>
                <w:color w:val="auto"/>
                <w:sz w:val="24"/>
                <w:szCs w:val="24"/>
              </w:rPr>
            </w:pPr>
          </w:p>
          <w:p w14:paraId="5135C7B9">
            <w:pPr>
              <w:bidi w:val="0"/>
              <w:jc w:val="center"/>
              <w:rPr>
                <w:rFonts w:hint="eastAsia" w:ascii="宋体" w:hAnsi="宋体" w:eastAsia="宋体" w:cs="宋体"/>
                <w:color w:val="auto"/>
                <w:sz w:val="24"/>
                <w:szCs w:val="24"/>
              </w:rPr>
            </w:pPr>
          </w:p>
          <w:p w14:paraId="56177A53">
            <w:pPr>
              <w:bidi w:val="0"/>
              <w:jc w:val="center"/>
              <w:rPr>
                <w:rFonts w:hint="eastAsia" w:ascii="宋体" w:hAnsi="宋体" w:eastAsia="宋体" w:cs="宋体"/>
                <w:color w:val="auto"/>
                <w:sz w:val="24"/>
                <w:szCs w:val="24"/>
              </w:rPr>
            </w:pPr>
          </w:p>
          <w:p w14:paraId="0B3D7A68">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(三)</w:t>
            </w:r>
          </w:p>
          <w:p w14:paraId="0A3D1FD2">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公</w:t>
            </w:r>
          </w:p>
          <w:p w14:paraId="66E83A66">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共</w:t>
            </w:r>
          </w:p>
          <w:p w14:paraId="7B72C255">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秩</w:t>
            </w:r>
          </w:p>
          <w:p w14:paraId="31D180D0">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序</w:t>
            </w:r>
          </w:p>
          <w:p w14:paraId="51A3AF2D">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维</w:t>
            </w:r>
          </w:p>
          <w:p w14:paraId="61457469">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护</w:t>
            </w:r>
          </w:p>
        </w:tc>
        <w:tc>
          <w:tcPr>
            <w:tcW w:w="5183" w:type="dxa"/>
            <w:vAlign w:val="center"/>
          </w:tcPr>
          <w:p w14:paraId="55E84F94">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1.配有专职的公共秩序维护员，24小时值班；</w:t>
            </w:r>
          </w:p>
          <w:p w14:paraId="21A51E2A">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2.建立公共秩序维护员管理规定、公共秩序维护员站岗值勤标准、公共秩序维护员巡逻值勤标准、公共秩序维护员交接班要求、公共秩序维护员培训制度、人员和大宗物品进出登记制度等规章制度；</w:t>
            </w:r>
          </w:p>
          <w:p w14:paraId="58F54C12">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3.公共秩序维护员上岗时佩戴统一标志，穿戴统一服装；</w:t>
            </w:r>
          </w:p>
          <w:p w14:paraId="659CF472">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4.制定火警、盗警、地震、台风、暴雨、爆炸、人员急救、煤气泄漏、高空掷（坠）物伤人及其他不可预见紧急事件等应急处理预案；</w:t>
            </w:r>
          </w:p>
          <w:p w14:paraId="6B064344">
            <w:pPr>
              <w:bidi w:val="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5.</w:t>
            </w:r>
            <w:r>
              <w:rPr>
                <w:rFonts w:hint="eastAsia" w:ascii="宋体" w:hAnsi="宋体" w:eastAsia="宋体" w:cs="宋体"/>
                <w:color w:val="auto"/>
                <w:sz w:val="24"/>
                <w:szCs w:val="24"/>
                <w:lang w:val="en-US" w:eastAsia="zh-CN"/>
              </w:rPr>
              <w:t>对进出车辆进行管理和疏导，车辆停放有序</w:t>
            </w:r>
            <w:r>
              <w:rPr>
                <w:rFonts w:hint="eastAsia" w:ascii="宋体" w:hAnsi="宋体" w:eastAsia="宋体" w:cs="宋体"/>
                <w:color w:val="auto"/>
                <w:sz w:val="24"/>
                <w:szCs w:val="24"/>
                <w:lang w:eastAsia="zh-CN"/>
              </w:rPr>
              <w:t>；</w:t>
            </w:r>
          </w:p>
          <w:p w14:paraId="5F31B800">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6.小区设有监控中心，配备电子巡更、录像监控、楼宇对讲、周界报警、住户报警、门锁智能卡中4项以上技防设施，24小时开通；</w:t>
            </w:r>
          </w:p>
          <w:p w14:paraId="124F002B">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7. 各出入口24 小时值班看守，并有详细交接班记录和外来车辆的登记记录；</w:t>
            </w:r>
          </w:p>
          <w:p w14:paraId="7E7BABBC">
            <w:pPr>
              <w:bidi w:val="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8. 公共秩序维护员配备电子巡更设备，对住宅小区内重点区域、重点部位的巡查每天白天巡查不少于1次，每天夜间巡查不少于1次，并做好巡更记录（重点区域包括：楼宇天台、停车场、出入口、监控未覆盖且易发生安全隐患的物业管理区域；重点部位包括：发电机房、变配电机房、资料室、有易燃易爆物品场所）；高层住宅建筑应当每月至少开展一次防火检查</w:t>
            </w:r>
            <w:r>
              <w:rPr>
                <w:rFonts w:hint="eastAsia" w:ascii="宋体" w:hAnsi="宋体" w:eastAsia="宋体" w:cs="宋体"/>
                <w:color w:val="auto"/>
                <w:sz w:val="24"/>
                <w:szCs w:val="24"/>
                <w:lang w:val="en-US" w:eastAsia="zh-CN"/>
              </w:rPr>
              <w:t>。</w:t>
            </w:r>
          </w:p>
          <w:p w14:paraId="29D2A6A5">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9.应当每年至少对高层住宅建筑的居住人员进行一次消防安全教育培训，进行一次疏散演练。</w:t>
            </w:r>
          </w:p>
          <w:p w14:paraId="4AEF4273">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10.接到火警、警情、异常情况或住户紧急求助信号后，公共秩序维护员应按规定及时赶到现场进行处理；</w:t>
            </w:r>
          </w:p>
          <w:p w14:paraId="49F74DF7">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11.对公共秩序维护员的理论及实操培训全年不少于60课时；</w:t>
            </w:r>
          </w:p>
        </w:tc>
        <w:tc>
          <w:tcPr>
            <w:tcW w:w="7815" w:type="dxa"/>
            <w:vAlign w:val="center"/>
          </w:tcPr>
          <w:p w14:paraId="0EE97971">
            <w:pPr>
              <w:bidi w:val="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1.配有专职的公共秩序维护员，24小时值班</w:t>
            </w:r>
            <w:r>
              <w:rPr>
                <w:rFonts w:hint="eastAsia" w:ascii="宋体" w:hAnsi="宋体" w:eastAsia="宋体" w:cs="宋体"/>
                <w:color w:val="auto"/>
                <w:sz w:val="24"/>
                <w:szCs w:val="24"/>
                <w:lang w:eastAsia="zh-CN"/>
              </w:rPr>
              <w:t>，主出入口</w:t>
            </w:r>
            <w:r>
              <w:rPr>
                <w:rFonts w:hint="eastAsia" w:ascii="宋体" w:hAnsi="宋体" w:eastAsia="宋体" w:cs="宋体"/>
                <w:color w:val="auto"/>
                <w:sz w:val="24"/>
                <w:szCs w:val="24"/>
              </w:rPr>
              <w:t>开展早送晚迎服务</w:t>
            </w:r>
            <w:r>
              <w:rPr>
                <w:rFonts w:hint="eastAsia" w:ascii="宋体" w:hAnsi="宋体" w:eastAsia="宋体" w:cs="宋体"/>
                <w:color w:val="auto"/>
                <w:sz w:val="24"/>
                <w:szCs w:val="24"/>
                <w:lang w:eastAsia="zh-CN"/>
              </w:rPr>
              <w:t>；</w:t>
            </w:r>
          </w:p>
          <w:p w14:paraId="39A8B452">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2.建立公共秩序维护员管理规定、公共秩序维护员站岗值勤标准、公共秩序维护员巡逻值勤标准、公共秩序维护员交接班要求、公共秩序维护员培训制度、人员和大宗物品进出登记制度等规章制度；</w:t>
            </w:r>
          </w:p>
          <w:p w14:paraId="61AAE66F">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3.公共秩序维护员上岗时佩戴统一标志，穿戴统一服装；</w:t>
            </w:r>
          </w:p>
          <w:p w14:paraId="56579198">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4.制定火警、盗警、地震、台风、爆炸、人员急救、煤气泄漏、高空掷（坠）物伤人及其他不可预见紧急事件等应急处理预案；</w:t>
            </w:r>
          </w:p>
          <w:p w14:paraId="7821715D">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5.建立健全的停车场管理制度</w:t>
            </w:r>
            <w:r>
              <w:rPr>
                <w:rFonts w:hint="eastAsia" w:ascii="宋体" w:hAnsi="宋体" w:eastAsia="宋体" w:cs="宋体"/>
                <w:color w:val="auto"/>
                <w:sz w:val="24"/>
                <w:szCs w:val="24"/>
                <w:lang w:eastAsia="zh-CN"/>
              </w:rPr>
              <w:t>和</w:t>
            </w:r>
            <w:r>
              <w:rPr>
                <w:rFonts w:hint="eastAsia" w:ascii="宋体" w:hAnsi="宋体" w:eastAsia="宋体" w:cs="宋体"/>
                <w:color w:val="auto"/>
                <w:sz w:val="24"/>
                <w:szCs w:val="24"/>
              </w:rPr>
              <w:t>停车场管理方案；</w:t>
            </w:r>
            <w:r>
              <w:rPr>
                <w:rFonts w:hint="eastAsia" w:ascii="宋体" w:hAnsi="宋体" w:eastAsia="宋体" w:cs="宋体"/>
                <w:color w:val="auto"/>
                <w:sz w:val="24"/>
                <w:szCs w:val="24"/>
                <w:lang w:val="en-US" w:eastAsia="zh-CN"/>
              </w:rPr>
              <w:t>对进出车辆进行管理和疏导，车辆停放有序</w:t>
            </w:r>
            <w:r>
              <w:rPr>
                <w:rFonts w:hint="eastAsia" w:ascii="宋体" w:hAnsi="宋体" w:eastAsia="宋体" w:cs="宋体"/>
                <w:color w:val="auto"/>
                <w:sz w:val="24"/>
                <w:szCs w:val="24"/>
              </w:rPr>
              <w:t>；停车场内发生车辆碰撞或损毁等事故时，及时进行疏导，为车主提供必要的协助；</w:t>
            </w:r>
          </w:p>
          <w:p w14:paraId="1E457283">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6.小区设有监控中心，配备电子巡更、录像监控、楼宇对讲、周界报警、住户报警、门锁智能卡6项技防设施，24小时开通；   </w:t>
            </w:r>
          </w:p>
          <w:p w14:paraId="472F03F6">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7.各出入口24小时值班看守，并有详细交接班记录和外来车辆的登记记录；</w:t>
            </w:r>
          </w:p>
          <w:p w14:paraId="0EEDC4D6">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8.公共秩序维护员配备电子巡更设备，对住宅小区内重点区域、重点部位的巡查每天白天巡查不少于1次，每天夜间巡查不少于1次，并做好巡更记录（重点区域包括：楼宇天台、停车场、出入口、监控未覆盖且易发生安全隐患的物业管理区域；重点部位包括：发电机房、变配电机房、资料室、有易燃易爆物品场所）；高层住宅建筑应当每月至少开展一次防火检查；</w:t>
            </w:r>
          </w:p>
          <w:p w14:paraId="5800D84B">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9.应当每年至少对高层住宅建筑的居住人员进行一次消防安全教育培训，进行一次疏散演练；</w:t>
            </w:r>
          </w:p>
          <w:p w14:paraId="01A027C0">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10.接到火警、警情、异常情况或住户紧急求助信号后，公共秩序维护员应按规定及时赶到现场进行处理；</w:t>
            </w:r>
          </w:p>
          <w:p w14:paraId="0155600D">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11.对公共秩序维护员的理论及实操培训全年不少于</w:t>
            </w:r>
            <w:r>
              <w:rPr>
                <w:rFonts w:hint="eastAsia" w:ascii="宋体" w:hAnsi="宋体" w:eastAsia="宋体" w:cs="宋体"/>
                <w:color w:val="auto"/>
                <w:sz w:val="24"/>
                <w:szCs w:val="24"/>
                <w:lang w:val="en-US" w:eastAsia="zh-CN"/>
              </w:rPr>
              <w:t>60</w:t>
            </w:r>
            <w:r>
              <w:rPr>
                <w:rFonts w:hint="eastAsia" w:ascii="宋体" w:hAnsi="宋体" w:eastAsia="宋体" w:cs="宋体"/>
                <w:color w:val="auto"/>
                <w:sz w:val="24"/>
                <w:szCs w:val="24"/>
              </w:rPr>
              <w:t>课时，每季度1次对公共秩序维护员进行专业考核；</w:t>
            </w:r>
          </w:p>
          <w:p w14:paraId="0D5EA2E9">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12.根据项目情况，在明显易取位置配备有符合规定的消防器材及专用工具，确保完好有效；</w:t>
            </w:r>
          </w:p>
          <w:p w14:paraId="42611243">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13.公共消防设施的保养符合国家、地方相关消防规范，消防通道畅通，严禁易燃易爆危险品上落电梯，电梯内有禁烟标志，确保载人电梯24小时正常运行；</w:t>
            </w:r>
          </w:p>
          <w:p w14:paraId="505A5F94">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14.监督消防维保单位对消防设备设施的日常巡检及保养，确保消防设备和设施处理正常工作状态；</w:t>
            </w:r>
          </w:p>
          <w:p w14:paraId="2CEE88C7">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15.熟悉</w:t>
            </w:r>
            <w:r>
              <w:rPr>
                <w:rFonts w:hint="eastAsia" w:ascii="宋体" w:hAnsi="宋体" w:eastAsia="宋体" w:cs="宋体"/>
                <w:color w:val="auto"/>
                <w:sz w:val="24"/>
                <w:szCs w:val="24"/>
                <w:lang w:eastAsia="zh-CN"/>
              </w:rPr>
              <w:t>小区秩序岗位</w:t>
            </w:r>
            <w:r>
              <w:rPr>
                <w:rFonts w:hint="eastAsia" w:ascii="宋体" w:hAnsi="宋体" w:eastAsia="宋体" w:cs="宋体"/>
                <w:color w:val="auto"/>
                <w:sz w:val="24"/>
                <w:szCs w:val="24"/>
              </w:rPr>
              <w:t>的任务和工作程序；熟悉</w:t>
            </w:r>
            <w:r>
              <w:rPr>
                <w:rFonts w:hint="eastAsia" w:ascii="宋体" w:hAnsi="宋体" w:eastAsia="宋体" w:cs="宋体"/>
                <w:color w:val="auto"/>
                <w:sz w:val="24"/>
                <w:szCs w:val="24"/>
                <w:lang w:eastAsia="zh-CN"/>
              </w:rPr>
              <w:t>本小区</w:t>
            </w:r>
            <w:r>
              <w:rPr>
                <w:rFonts w:hint="eastAsia" w:ascii="宋体" w:hAnsi="宋体" w:eastAsia="宋体" w:cs="宋体"/>
                <w:color w:val="auto"/>
                <w:sz w:val="24"/>
                <w:szCs w:val="24"/>
              </w:rPr>
              <w:t>消防器材的安装位置，掌握各种器材的使用，遇到突发事件能正确处理；积极向相关人员进行遵纪守法和治安知识的宣传；</w:t>
            </w:r>
          </w:p>
          <w:p w14:paraId="12F404C3">
            <w:pPr>
              <w:bidi w:val="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16.消防控制室有值班人员24小时在岗值班，有异常情况及时通知临近的岗位人员，有完整的登记、跟进及处理记录</w:t>
            </w:r>
            <w:r>
              <w:rPr>
                <w:rFonts w:hint="eastAsia" w:ascii="宋体" w:hAnsi="宋体" w:eastAsia="宋体" w:cs="宋体"/>
                <w:color w:val="auto"/>
                <w:sz w:val="24"/>
                <w:szCs w:val="24"/>
                <w:lang w:eastAsia="zh-CN"/>
              </w:rPr>
              <w:t>。</w:t>
            </w:r>
          </w:p>
        </w:tc>
      </w:tr>
      <w:tr w14:paraId="1B19C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5" w:hRule="atLeast"/>
        </w:trPr>
        <w:tc>
          <w:tcPr>
            <w:tcW w:w="1746" w:type="dxa"/>
            <w:vAlign w:val="top"/>
          </w:tcPr>
          <w:p w14:paraId="56174906">
            <w:pPr>
              <w:bidi w:val="0"/>
              <w:jc w:val="center"/>
              <w:rPr>
                <w:rFonts w:hint="eastAsia" w:ascii="宋体" w:hAnsi="宋体" w:eastAsia="宋体" w:cs="宋体"/>
                <w:color w:val="auto"/>
                <w:sz w:val="24"/>
                <w:szCs w:val="24"/>
              </w:rPr>
            </w:pPr>
          </w:p>
          <w:p w14:paraId="64699F71">
            <w:pPr>
              <w:bidi w:val="0"/>
              <w:jc w:val="center"/>
              <w:rPr>
                <w:rFonts w:hint="eastAsia" w:ascii="宋体" w:hAnsi="宋体" w:eastAsia="宋体" w:cs="宋体"/>
                <w:color w:val="auto"/>
                <w:sz w:val="24"/>
                <w:szCs w:val="24"/>
              </w:rPr>
            </w:pPr>
          </w:p>
          <w:p w14:paraId="5E78A12D">
            <w:pPr>
              <w:bidi w:val="0"/>
              <w:jc w:val="center"/>
              <w:rPr>
                <w:rFonts w:hint="eastAsia" w:ascii="宋体" w:hAnsi="宋体" w:eastAsia="宋体" w:cs="宋体"/>
                <w:color w:val="auto"/>
                <w:sz w:val="24"/>
                <w:szCs w:val="24"/>
              </w:rPr>
            </w:pPr>
          </w:p>
          <w:p w14:paraId="0DA00A54">
            <w:pPr>
              <w:bidi w:val="0"/>
              <w:jc w:val="center"/>
              <w:rPr>
                <w:rFonts w:hint="eastAsia" w:ascii="宋体" w:hAnsi="宋体" w:eastAsia="宋体" w:cs="宋体"/>
                <w:color w:val="auto"/>
                <w:sz w:val="24"/>
                <w:szCs w:val="24"/>
              </w:rPr>
            </w:pPr>
          </w:p>
          <w:p w14:paraId="2C44A19D">
            <w:pPr>
              <w:bidi w:val="0"/>
              <w:jc w:val="center"/>
              <w:rPr>
                <w:rFonts w:hint="eastAsia" w:ascii="宋体" w:hAnsi="宋体" w:eastAsia="宋体" w:cs="宋体"/>
                <w:color w:val="auto"/>
                <w:sz w:val="24"/>
                <w:szCs w:val="24"/>
              </w:rPr>
            </w:pPr>
          </w:p>
          <w:p w14:paraId="4C713CA7">
            <w:pPr>
              <w:bidi w:val="0"/>
              <w:jc w:val="center"/>
              <w:rPr>
                <w:rFonts w:hint="eastAsia" w:ascii="宋体" w:hAnsi="宋体" w:eastAsia="宋体" w:cs="宋体"/>
                <w:color w:val="auto"/>
                <w:sz w:val="24"/>
                <w:szCs w:val="24"/>
              </w:rPr>
            </w:pPr>
          </w:p>
          <w:p w14:paraId="245FEAEE">
            <w:pPr>
              <w:bidi w:val="0"/>
              <w:jc w:val="center"/>
              <w:rPr>
                <w:rFonts w:hint="eastAsia" w:ascii="宋体" w:hAnsi="宋体" w:eastAsia="宋体" w:cs="宋体"/>
                <w:color w:val="auto"/>
                <w:sz w:val="24"/>
                <w:szCs w:val="24"/>
              </w:rPr>
            </w:pPr>
          </w:p>
          <w:p w14:paraId="6F66F095">
            <w:pPr>
              <w:bidi w:val="0"/>
              <w:jc w:val="center"/>
              <w:rPr>
                <w:rFonts w:hint="eastAsia" w:ascii="宋体" w:hAnsi="宋体" w:eastAsia="宋体" w:cs="宋体"/>
                <w:color w:val="auto"/>
                <w:sz w:val="24"/>
                <w:szCs w:val="24"/>
              </w:rPr>
            </w:pPr>
          </w:p>
          <w:p w14:paraId="6578229B">
            <w:pPr>
              <w:bidi w:val="0"/>
              <w:jc w:val="center"/>
              <w:rPr>
                <w:rFonts w:hint="eastAsia" w:ascii="宋体" w:hAnsi="宋体" w:eastAsia="宋体" w:cs="宋体"/>
                <w:color w:val="auto"/>
                <w:sz w:val="24"/>
                <w:szCs w:val="24"/>
              </w:rPr>
            </w:pPr>
          </w:p>
          <w:p w14:paraId="038D8A4B">
            <w:pPr>
              <w:bidi w:val="0"/>
              <w:jc w:val="center"/>
              <w:rPr>
                <w:rFonts w:hint="eastAsia" w:ascii="宋体" w:hAnsi="宋体" w:eastAsia="宋体" w:cs="宋体"/>
                <w:color w:val="auto"/>
                <w:sz w:val="24"/>
                <w:szCs w:val="24"/>
              </w:rPr>
            </w:pPr>
          </w:p>
          <w:p w14:paraId="46D5E9C3">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(四)</w:t>
            </w:r>
          </w:p>
          <w:p w14:paraId="14D08FB3">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保</w:t>
            </w:r>
          </w:p>
          <w:p w14:paraId="23A296B9">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洁</w:t>
            </w:r>
          </w:p>
          <w:p w14:paraId="1EED8A83">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服</w:t>
            </w:r>
          </w:p>
          <w:p w14:paraId="3607289B">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务</w:t>
            </w:r>
          </w:p>
        </w:tc>
        <w:tc>
          <w:tcPr>
            <w:tcW w:w="5183" w:type="dxa"/>
            <w:vAlign w:val="center"/>
          </w:tcPr>
          <w:p w14:paraId="6DC34304">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 各类清洁设施设备配备齐全，并有专人管理；</w:t>
            </w:r>
          </w:p>
          <w:p w14:paraId="75BEE1CB">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2. 制定环境卫生管理规定、环境卫生质量标准、卫生设施维护保养办法、防疫应急预案等规章制度；</w:t>
            </w:r>
          </w:p>
          <w:p w14:paraId="4E24EDE5">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3. 垃圾日产日清，保持公共区域整洁、无异味；</w:t>
            </w:r>
          </w:p>
          <w:p w14:paraId="00D0BCAA">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4. 使用环保的清洁剂。</w:t>
            </w:r>
          </w:p>
          <w:p w14:paraId="3B9805BD">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5. 楼道、道路、绿地等公共部位的清洁每天不少于2次，目视地面、绿地干净；</w:t>
            </w:r>
          </w:p>
          <w:p w14:paraId="08EEB461">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6. 电梯轿厢、操作板、地面等清洁保养每天不少于2次；电梯门壁打蜡上光每月不少于1次，表面光亮、无污迹；大堂地面根据材质情况每月不少于1次进行抛光保养；</w:t>
            </w:r>
          </w:p>
          <w:p w14:paraId="5CD52F29">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7. 公共雨、污水管道每半年疏通1次；雨、污水井每月检查1次，并视检查情况及时清掏；化粪池每月检查1次，每半年清掏1次，发现异常及时清掏；</w:t>
            </w:r>
          </w:p>
          <w:p w14:paraId="65E03515">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8. 做好白蚁及卫生虫害的防治工作，其中4-11月的灭四害消杀工作每月不少于3次，其余月份每月不少于1次。</w:t>
            </w:r>
          </w:p>
          <w:p w14:paraId="4CAC74CA">
            <w:pPr>
              <w:bidi w:val="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9.按照垃圾分类的要求设置垃圾收集点，垃圾收集点周围地面、分类垃圾桶无污迹、无异味。</w:t>
            </w:r>
          </w:p>
        </w:tc>
        <w:tc>
          <w:tcPr>
            <w:tcW w:w="7815" w:type="dxa"/>
            <w:vAlign w:val="center"/>
          </w:tcPr>
          <w:p w14:paraId="40A74C5A">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1.各类清洁设施设备配备齐全，并有专人管理；</w:t>
            </w:r>
          </w:p>
          <w:p w14:paraId="7C3D4544">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2.制定环境卫生管理规定、环境卫生质量标准、卫生设施维护保养办法、防疫应急预案等规章制度；</w:t>
            </w:r>
          </w:p>
          <w:p w14:paraId="675FBBA8">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3.按时保洁，垃圾日产日清，保持公共区域整洁、无异味；整洁干净，路面、明沟无明显可见垃圾，水景水体洁净，无异味，玻璃洁净无明显污迹、积尘；</w:t>
            </w:r>
          </w:p>
          <w:p w14:paraId="52B11250">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4.使用环保的清洁剂；</w:t>
            </w:r>
          </w:p>
          <w:p w14:paraId="4A31811D">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5.楼道、道路、绿地等公共部位的清洁每天不少于2次，目视地面、绿地干净；</w:t>
            </w:r>
          </w:p>
          <w:p w14:paraId="7288ED1C">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6.电梯轿厢、操作板、地面等清洁保养每天不少于2次；电梯门壁打蜡上光每月不少于1次，表面光亮、无污迹；大堂地面根据材质情况每月不少于1次进行抛光保养；</w:t>
            </w:r>
          </w:p>
          <w:p w14:paraId="27CDC1E0">
            <w:pPr>
              <w:bidi w:val="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7.公共雨、污水管道每半年疏通1次；雨、污水井每月检查1次，并视检查情况及时清掏；化粪池每月检查1次，每半年清掏1次，发现异常及时清掏；花池每月冲洗</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随时清洁污染处</w:t>
            </w:r>
            <w:r>
              <w:rPr>
                <w:rFonts w:hint="eastAsia" w:ascii="宋体" w:hAnsi="宋体" w:eastAsia="宋体" w:cs="宋体"/>
                <w:color w:val="auto"/>
                <w:sz w:val="24"/>
                <w:szCs w:val="24"/>
                <w:lang w:eastAsia="zh-CN"/>
              </w:rPr>
              <w:t>；</w:t>
            </w:r>
          </w:p>
          <w:p w14:paraId="006BBFB5">
            <w:pPr>
              <w:bidi w:val="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8.做好白蚁及卫生虫害的防治工作，其中4-11月的灭四害消杀工作每月不少于</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次，其余月份每月不少于2次；区域内</w:t>
            </w:r>
            <w:r>
              <w:rPr>
                <w:rFonts w:hint="eastAsia" w:ascii="宋体" w:hAnsi="宋体" w:eastAsia="宋体" w:cs="宋体"/>
                <w:color w:val="auto"/>
                <w:sz w:val="24"/>
                <w:szCs w:val="24"/>
                <w:lang w:eastAsia="zh-CN"/>
              </w:rPr>
              <w:t>做到</w:t>
            </w:r>
            <w:r>
              <w:rPr>
                <w:rFonts w:hint="eastAsia" w:ascii="宋体" w:hAnsi="宋体" w:eastAsia="宋体" w:cs="宋体"/>
                <w:color w:val="auto"/>
                <w:sz w:val="24"/>
                <w:szCs w:val="24"/>
              </w:rPr>
              <w:t>无白蚁</w:t>
            </w:r>
            <w:r>
              <w:rPr>
                <w:rFonts w:hint="eastAsia" w:ascii="宋体" w:hAnsi="宋体" w:eastAsia="宋体" w:cs="宋体"/>
                <w:color w:val="auto"/>
                <w:sz w:val="24"/>
                <w:szCs w:val="24"/>
                <w:lang w:eastAsia="zh-CN"/>
              </w:rPr>
              <w:t>及</w:t>
            </w:r>
            <w:r>
              <w:rPr>
                <w:rFonts w:hint="eastAsia" w:ascii="宋体" w:hAnsi="宋体" w:eastAsia="宋体" w:cs="宋体"/>
                <w:color w:val="auto"/>
                <w:sz w:val="24"/>
                <w:szCs w:val="24"/>
              </w:rPr>
              <w:t>鼠害</w:t>
            </w:r>
            <w:r>
              <w:rPr>
                <w:rFonts w:hint="eastAsia" w:ascii="宋体" w:hAnsi="宋体" w:eastAsia="宋体" w:cs="宋体"/>
                <w:color w:val="auto"/>
                <w:sz w:val="24"/>
                <w:szCs w:val="24"/>
                <w:lang w:eastAsia="zh-CN"/>
              </w:rPr>
              <w:t>等；</w:t>
            </w:r>
          </w:p>
          <w:p w14:paraId="7F922442">
            <w:pPr>
              <w:bidi w:val="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9.按照垃圾分类的要求设置垃圾收集点，垃圾收集点周围地面、分类垃圾桶无污迹、无异味</w:t>
            </w:r>
            <w:r>
              <w:rPr>
                <w:rFonts w:hint="eastAsia" w:ascii="宋体" w:hAnsi="宋体" w:eastAsia="宋体" w:cs="宋体"/>
                <w:color w:val="auto"/>
                <w:sz w:val="24"/>
                <w:szCs w:val="24"/>
                <w:lang w:eastAsia="zh-CN"/>
              </w:rPr>
              <w:t>。</w:t>
            </w:r>
          </w:p>
          <w:p w14:paraId="247A558C">
            <w:pPr>
              <w:bidi w:val="0"/>
              <w:jc w:val="both"/>
              <w:rPr>
                <w:rFonts w:hint="eastAsia" w:ascii="宋体" w:hAnsi="宋体" w:eastAsia="宋体" w:cs="宋体"/>
                <w:color w:val="auto"/>
                <w:sz w:val="24"/>
                <w:szCs w:val="24"/>
                <w:lang w:eastAsia="zh-CN"/>
              </w:rPr>
            </w:pPr>
          </w:p>
        </w:tc>
      </w:tr>
      <w:tr w14:paraId="6DEF32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7" w:hRule="atLeast"/>
        </w:trPr>
        <w:tc>
          <w:tcPr>
            <w:tcW w:w="1746" w:type="dxa"/>
            <w:vAlign w:val="top"/>
          </w:tcPr>
          <w:p w14:paraId="69D7E6D0">
            <w:pPr>
              <w:bidi w:val="0"/>
              <w:jc w:val="center"/>
              <w:rPr>
                <w:rFonts w:hint="eastAsia" w:ascii="宋体" w:hAnsi="宋体" w:eastAsia="宋体" w:cs="宋体"/>
                <w:color w:val="auto"/>
                <w:sz w:val="24"/>
                <w:szCs w:val="24"/>
              </w:rPr>
            </w:pPr>
          </w:p>
          <w:p w14:paraId="4E818A09">
            <w:pPr>
              <w:bidi w:val="0"/>
              <w:jc w:val="center"/>
              <w:rPr>
                <w:rFonts w:hint="eastAsia" w:ascii="宋体" w:hAnsi="宋体" w:eastAsia="宋体" w:cs="宋体"/>
                <w:color w:val="auto"/>
                <w:sz w:val="24"/>
                <w:szCs w:val="24"/>
              </w:rPr>
            </w:pPr>
          </w:p>
          <w:p w14:paraId="2FBE52B8">
            <w:pPr>
              <w:bidi w:val="0"/>
              <w:jc w:val="center"/>
              <w:rPr>
                <w:rFonts w:hint="eastAsia" w:ascii="宋体" w:hAnsi="宋体" w:eastAsia="宋体" w:cs="宋体"/>
                <w:color w:val="auto"/>
                <w:sz w:val="24"/>
                <w:szCs w:val="24"/>
              </w:rPr>
            </w:pPr>
          </w:p>
          <w:p w14:paraId="0E2D5557">
            <w:pPr>
              <w:bidi w:val="0"/>
              <w:jc w:val="center"/>
              <w:rPr>
                <w:rFonts w:hint="eastAsia" w:ascii="宋体" w:hAnsi="宋体" w:eastAsia="宋体" w:cs="宋体"/>
                <w:color w:val="auto"/>
                <w:sz w:val="24"/>
                <w:szCs w:val="24"/>
              </w:rPr>
            </w:pPr>
          </w:p>
          <w:p w14:paraId="17CF6606">
            <w:pPr>
              <w:bidi w:val="0"/>
              <w:jc w:val="center"/>
              <w:rPr>
                <w:rFonts w:hint="eastAsia" w:ascii="宋体" w:hAnsi="宋体" w:eastAsia="宋体" w:cs="宋体"/>
                <w:color w:val="auto"/>
                <w:sz w:val="24"/>
                <w:szCs w:val="24"/>
              </w:rPr>
            </w:pPr>
          </w:p>
          <w:p w14:paraId="0C7E9F85">
            <w:pPr>
              <w:bidi w:val="0"/>
              <w:jc w:val="center"/>
              <w:rPr>
                <w:rFonts w:hint="eastAsia" w:ascii="宋体" w:hAnsi="宋体" w:eastAsia="宋体" w:cs="宋体"/>
                <w:color w:val="auto"/>
                <w:sz w:val="24"/>
                <w:szCs w:val="24"/>
              </w:rPr>
            </w:pPr>
          </w:p>
          <w:p w14:paraId="05CE4913">
            <w:pPr>
              <w:bidi w:val="0"/>
              <w:jc w:val="center"/>
              <w:rPr>
                <w:rFonts w:hint="eastAsia" w:ascii="宋体" w:hAnsi="宋体" w:eastAsia="宋体" w:cs="宋体"/>
                <w:color w:val="auto"/>
                <w:sz w:val="24"/>
                <w:szCs w:val="24"/>
              </w:rPr>
            </w:pPr>
          </w:p>
          <w:p w14:paraId="138CB9A2">
            <w:pPr>
              <w:bidi w:val="0"/>
              <w:jc w:val="center"/>
              <w:rPr>
                <w:rFonts w:hint="eastAsia" w:ascii="宋体" w:hAnsi="宋体" w:eastAsia="宋体" w:cs="宋体"/>
                <w:color w:val="auto"/>
                <w:sz w:val="24"/>
                <w:szCs w:val="24"/>
              </w:rPr>
            </w:pPr>
          </w:p>
          <w:p w14:paraId="729BFC50">
            <w:pPr>
              <w:bidi w:val="0"/>
              <w:jc w:val="center"/>
              <w:rPr>
                <w:rFonts w:hint="eastAsia" w:ascii="宋体" w:hAnsi="宋体" w:eastAsia="宋体" w:cs="宋体"/>
                <w:color w:val="auto"/>
                <w:sz w:val="24"/>
                <w:szCs w:val="24"/>
              </w:rPr>
            </w:pPr>
          </w:p>
          <w:p w14:paraId="61F23FF3">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(五)</w:t>
            </w:r>
          </w:p>
          <w:p w14:paraId="6071D650">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绿</w:t>
            </w:r>
          </w:p>
          <w:p w14:paraId="787A2539">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化</w:t>
            </w:r>
          </w:p>
          <w:p w14:paraId="758DE709">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养</w:t>
            </w:r>
          </w:p>
          <w:p w14:paraId="1864D291">
            <w:pPr>
              <w:bidi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护</w:t>
            </w:r>
          </w:p>
        </w:tc>
        <w:tc>
          <w:tcPr>
            <w:tcW w:w="5183" w:type="dxa"/>
            <w:vAlign w:val="center"/>
          </w:tcPr>
          <w:p w14:paraId="5B8A7E35">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1.有专业人员进行绿化养护管理；</w:t>
            </w:r>
          </w:p>
          <w:p w14:paraId="4E4AA34B">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2.制定园林绿化设施管理规定、维护保养办法等规章制度；</w:t>
            </w:r>
          </w:p>
          <w:p w14:paraId="52B9DD27">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3.草坪生长良好，及时修剪和补种，花卉、绿篱、树木根据其品种和生长情况，及时修剪整形；</w:t>
            </w:r>
          </w:p>
          <w:p w14:paraId="552C44E7">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4.做好病虫害防治工作；</w:t>
            </w:r>
          </w:p>
          <w:p w14:paraId="058E3A0F">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5.使用化学药剂，必须严格执行国家现行有关规定；选用高效低毒、低残留的药剂控制有害生物的危害，并在喷药前安民告示。</w:t>
            </w:r>
          </w:p>
          <w:p w14:paraId="0A1EF1D4">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6.乔木每年修剪不少于1次、灌木、攀缘植物每季度修剪1次以上，无枯枝、缺枝，常年土壤疏松通透，无杂草；按植物品种、生长状况、土壤条件适时适量施肥，每年普施基肥不少于1遍，花灌木增追施复合肥2遍，满足植物生长需要；</w:t>
            </w:r>
          </w:p>
          <w:p w14:paraId="7108DE39">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7.草坪常年保持平整，边缘清晰，及时清理杂草，按肥力、草种、生长情况，适时适量施有机复合肥2到3遍；</w:t>
            </w:r>
          </w:p>
          <w:p w14:paraId="2A435DC3">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8.花坛及时更换枯死、损毁的花木，及时清除枯萎的花蒂、黄叶、杂草、垃圾，每年施基肥1次，每次布置前施复合肥1次，盛花期追肥适量；</w:t>
            </w:r>
          </w:p>
          <w:p w14:paraId="06D3A44B">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9.每年中有3次以上花卉、景点布置，4季有花。</w:t>
            </w:r>
          </w:p>
        </w:tc>
        <w:tc>
          <w:tcPr>
            <w:tcW w:w="7815" w:type="dxa"/>
            <w:vAlign w:val="center"/>
          </w:tcPr>
          <w:p w14:paraId="29677801">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1.有专业人员进行绿化养护管理，淋水视天气而定，以泥面不干裂、无缺水枯萎现象为原则；</w:t>
            </w:r>
          </w:p>
          <w:p w14:paraId="72A1C1E6">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2.制定园林绿化设施管理规定、维护保养办法等规章制度；</w:t>
            </w:r>
          </w:p>
          <w:p w14:paraId="770EF7D6">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3.草坪生长良好，按肥力、草种、生长情况及时修剪和补种，花卉、绿篱、树木根据其品种和生长情况，及时修剪整形；</w:t>
            </w:r>
          </w:p>
          <w:p w14:paraId="2BA997C6">
            <w:pPr>
              <w:bidi w:val="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4.做好病虫害防治工作，根据季节及植物特点进行喷洒药物，做到无病虫害</w:t>
            </w:r>
            <w:r>
              <w:rPr>
                <w:rFonts w:hint="eastAsia" w:ascii="宋体" w:hAnsi="宋体" w:eastAsia="宋体" w:cs="宋体"/>
                <w:color w:val="auto"/>
                <w:sz w:val="24"/>
                <w:szCs w:val="24"/>
                <w:lang w:eastAsia="zh-CN"/>
              </w:rPr>
              <w:t>；</w:t>
            </w:r>
          </w:p>
          <w:p w14:paraId="5AD12CA6">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使用化学药剂</w:t>
            </w:r>
            <w:r>
              <w:rPr>
                <w:rFonts w:hint="eastAsia" w:ascii="宋体" w:hAnsi="宋体" w:eastAsia="宋体" w:cs="宋体"/>
                <w:color w:val="auto"/>
                <w:sz w:val="24"/>
                <w:szCs w:val="24"/>
                <w:lang w:eastAsia="zh-CN"/>
              </w:rPr>
              <w:t>，必</w:t>
            </w:r>
            <w:r>
              <w:rPr>
                <w:rFonts w:hint="eastAsia" w:ascii="宋体" w:hAnsi="宋体" w:eastAsia="宋体" w:cs="宋体"/>
                <w:color w:val="auto"/>
                <w:sz w:val="24"/>
                <w:szCs w:val="24"/>
              </w:rPr>
              <w:t>须严格执行国家</w:t>
            </w:r>
            <w:r>
              <w:rPr>
                <w:rFonts w:hint="eastAsia" w:ascii="宋体" w:hAnsi="宋体" w:eastAsia="宋体" w:cs="宋体"/>
                <w:color w:val="auto"/>
                <w:sz w:val="24"/>
                <w:szCs w:val="24"/>
                <w:lang w:eastAsia="zh-CN"/>
              </w:rPr>
              <w:t>现行</w:t>
            </w:r>
            <w:r>
              <w:rPr>
                <w:rFonts w:hint="eastAsia" w:ascii="宋体" w:hAnsi="宋体" w:eastAsia="宋体" w:cs="宋体"/>
                <w:color w:val="auto"/>
                <w:sz w:val="24"/>
                <w:szCs w:val="24"/>
              </w:rPr>
              <w:t>有关规定；选用高效低毒、低残留的药剂控制有害生物，并在喷洒药物前提前通知并张贴公告告知业户喷药计划，挂上提示牌；</w:t>
            </w:r>
          </w:p>
          <w:p w14:paraId="43F824E6">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.保持乔木成型美观，生长良好，无死株；有针对性的施肥，保证乔木生长中需要的营养，施肥不少于2次/年、修剪不少于</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次/年，做到冠形优美,分枝点合适,内膛不乱,通风透光，无枯枝、缺枝；保持灌木</w:t>
            </w:r>
            <w:r>
              <w:rPr>
                <w:rFonts w:hint="eastAsia" w:ascii="宋体" w:hAnsi="宋体" w:eastAsia="宋体" w:cs="宋体"/>
                <w:color w:val="auto"/>
                <w:sz w:val="24"/>
                <w:szCs w:val="24"/>
                <w:lang w:eastAsia="zh-CN"/>
              </w:rPr>
              <w:t>、攀缘</w:t>
            </w:r>
            <w:r>
              <w:rPr>
                <w:rFonts w:hint="eastAsia" w:ascii="宋体" w:hAnsi="宋体" w:eastAsia="宋体" w:cs="宋体"/>
                <w:color w:val="auto"/>
                <w:sz w:val="24"/>
                <w:szCs w:val="24"/>
              </w:rPr>
              <w:t>植物每季度修剪1次以上，无枯枝、缺枝，常年土壤疏松通透，无杂草；按植物品种、生长状况、土壤条件适时适量施肥，每年普施基肥不少于1遍，花灌木增追施复合肥2遍，满足植物生长需要；</w:t>
            </w:r>
          </w:p>
          <w:p w14:paraId="6470A386">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草坪常年保持平整，边缘清晰，及时清理杂草，按肥力、草种、生长情况，适时适量施有机复合肥2到3遍；地被保持成型美观，生长旺盛，无裸露、无枯黄；有针对性的施肥，保证不同植物生长中需要的营养，保持排水畅通，雨后无积水；</w:t>
            </w:r>
          </w:p>
          <w:p w14:paraId="6D02DCB8">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.花坛及时更换枯死、损毁的花木，及时清除枯萎的花蒂、黄叶、杂草、垃圾，每年施基肥2次，每次布置前施复合肥1次，盛花期追肥适量；</w:t>
            </w:r>
          </w:p>
          <w:p w14:paraId="30AEDEB6">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9.每年中有4次以上花卉、景点布置，4季有花； </w:t>
            </w:r>
          </w:p>
          <w:p w14:paraId="5A6781F1">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10.做好绿化防涝、防冻保护；</w:t>
            </w:r>
          </w:p>
          <w:p w14:paraId="46359CD1">
            <w:pPr>
              <w:bidi w:val="0"/>
              <w:jc w:val="both"/>
              <w:rPr>
                <w:rFonts w:hint="eastAsia" w:ascii="宋体" w:hAnsi="宋体" w:eastAsia="宋体" w:cs="宋体"/>
                <w:color w:val="auto"/>
                <w:sz w:val="24"/>
                <w:szCs w:val="24"/>
              </w:rPr>
            </w:pPr>
            <w:r>
              <w:rPr>
                <w:rFonts w:hint="eastAsia" w:ascii="宋体" w:hAnsi="宋体" w:eastAsia="宋体" w:cs="宋体"/>
                <w:color w:val="auto"/>
                <w:sz w:val="24"/>
                <w:szCs w:val="24"/>
              </w:rPr>
              <w:t>11.</w:t>
            </w:r>
            <w:r>
              <w:rPr>
                <w:rFonts w:hint="eastAsia" w:ascii="宋体" w:hAnsi="宋体" w:eastAsia="宋体" w:cs="宋体"/>
                <w:color w:val="auto"/>
                <w:sz w:val="24"/>
                <w:szCs w:val="24"/>
                <w:lang w:eastAsia="zh-CN"/>
              </w:rPr>
              <w:t>春节盆景绿植等</w:t>
            </w:r>
            <w:r>
              <w:rPr>
                <w:rFonts w:hint="eastAsia" w:ascii="宋体" w:hAnsi="宋体" w:eastAsia="宋体" w:cs="宋体"/>
                <w:color w:val="auto"/>
                <w:sz w:val="24"/>
                <w:szCs w:val="24"/>
              </w:rPr>
              <w:t>布置。</w:t>
            </w:r>
          </w:p>
        </w:tc>
      </w:tr>
    </w:tbl>
    <w:p w14:paraId="5729E046">
      <w:pPr>
        <w:bidi w:val="0"/>
        <w:rPr>
          <w:color w:val="auto"/>
        </w:rPr>
      </w:pPr>
    </w:p>
    <w:p w14:paraId="4AC42527">
      <w:pPr>
        <w:bidi w:val="0"/>
      </w:pPr>
    </w:p>
    <w:sectPr>
      <w:headerReference r:id="rId6" w:type="default"/>
      <w:type w:val="continuous"/>
      <w:pgSz w:w="16837" w:h="11905"/>
      <w:pgMar w:top="400" w:right="1088" w:bottom="0" w:left="1008" w:header="0" w:footer="0" w:gutter="0"/>
      <w:cols w:equalWidth="0" w:num="1">
        <w:col w:w="14741"/>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4DE0E">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5B968">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FCA34E"/>
    <w:multiLevelType w:val="singleLevel"/>
    <w:tmpl w:val="8BFCA34E"/>
    <w:lvl w:ilvl="0" w:tentative="0">
      <w:start w:val="1"/>
      <w:numFmt w:val="decimal"/>
      <w:lvlText w:val="%1."/>
      <w:lvlJc w:val="left"/>
      <w:pPr>
        <w:tabs>
          <w:tab w:val="left" w:pos="312"/>
        </w:tabs>
      </w:pPr>
    </w:lvl>
  </w:abstractNum>
  <w:abstractNum w:abstractNumId="1">
    <w:nsid w:val="B8009194"/>
    <w:multiLevelType w:val="singleLevel"/>
    <w:tmpl w:val="B8009194"/>
    <w:lvl w:ilvl="0" w:tentative="0">
      <w:start w:val="1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ulTrailSpace/>
    <w:doNotExpandShiftReturn/>
    <w:adjustLineHeightInTable/>
    <w:useFELayout/>
    <w:doNotUseIndentAsNumberingTabStop/>
    <w:compatSetting w:name="compatibilityMode" w:uri="http://schemas.microsoft.com/office/word" w:val="14"/>
  </w:compat>
  <w:docVars>
    <w:docVar w:name="commondata" w:val="eyJoZGlkIjoiOTQyMTc1NTM5YTk2ZGNhNjJiMDg2NzVhZDRhNmM3YmUifQ=="/>
  </w:docVars>
  <w:rsids>
    <w:rsidRoot w:val="00000000"/>
    <w:rsid w:val="0B1D0C79"/>
    <w:rsid w:val="10281712"/>
    <w:rsid w:val="12A1786F"/>
    <w:rsid w:val="19ED1D1F"/>
    <w:rsid w:val="1A494467"/>
    <w:rsid w:val="207D47DA"/>
    <w:rsid w:val="20E63F82"/>
    <w:rsid w:val="24B656FD"/>
    <w:rsid w:val="294131A0"/>
    <w:rsid w:val="2A5C699B"/>
    <w:rsid w:val="2CBD0053"/>
    <w:rsid w:val="2D8E211C"/>
    <w:rsid w:val="368808C4"/>
    <w:rsid w:val="37677539"/>
    <w:rsid w:val="483722C8"/>
    <w:rsid w:val="48914416"/>
    <w:rsid w:val="48B5597E"/>
    <w:rsid w:val="48D10CB7"/>
    <w:rsid w:val="492B6CBD"/>
    <w:rsid w:val="4BBA0128"/>
    <w:rsid w:val="4CB965F8"/>
    <w:rsid w:val="4EE01439"/>
    <w:rsid w:val="4F2204BE"/>
    <w:rsid w:val="54574766"/>
    <w:rsid w:val="551B39E5"/>
    <w:rsid w:val="561B02D9"/>
    <w:rsid w:val="59DB771E"/>
    <w:rsid w:val="5A672890"/>
    <w:rsid w:val="6481610F"/>
    <w:rsid w:val="657F31A9"/>
    <w:rsid w:val="6CE84614"/>
    <w:rsid w:val="6D6D538E"/>
    <w:rsid w:val="6E5E46AE"/>
    <w:rsid w:val="711B46F9"/>
    <w:rsid w:val="75630D65"/>
    <w:rsid w:val="7FD603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4">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5">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8">
    <w:name w:val="Default Paragraph Font"/>
    <w:semiHidden/>
    <w:qFormat/>
    <w:uiPriority w:val="0"/>
  </w:style>
  <w:style w:type="table" w:default="1" w:styleId="7">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Body Text"/>
    <w:basedOn w:val="1"/>
    <w:semiHidden/>
    <w:qFormat/>
    <w:uiPriority w:val="0"/>
    <w:rPr>
      <w:rFonts w:ascii="宋体" w:hAnsi="宋体" w:eastAsia="宋体" w:cs="宋体"/>
      <w:sz w:val="11"/>
      <w:szCs w:val="11"/>
      <w:lang w:val="en-US" w:eastAsia="en-US" w:bidi="ar-SA"/>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宋体" w:hAnsi="宋体" w:eastAsia="宋体" w:cs="宋体"/>
      <w:sz w:val="11"/>
      <w:szCs w:val="1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7619</Words>
  <Characters>7875</Characters>
  <TotalTime>52</TotalTime>
  <ScaleCrop>false</ScaleCrop>
  <LinksUpToDate>false</LinksUpToDate>
  <CharactersWithSpaces>7902</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2023-10-11T10:03:00Z</dcterms:created>
  <dc:creator>12195</dc:creator>
  <cp:lastModifiedBy>小lolo</cp:lastModifiedBy>
  <dcterms:modified xsi:type="dcterms:W3CDTF">2026-01-30T07:47:06Z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2023-11-10T19:33:25Z</vt:filetime>
  </property>
  <property fmtid="{D5CDD505-2E9C-101B-9397-08002B2CF9AE}" pid="4" name="KSOProductBuildVer">
    <vt:lpwstr>2052-12.1.0.24657</vt:lpwstr>
  </property>
  <property fmtid="{D5CDD505-2E9C-101B-9397-08002B2CF9AE}" pid="5" name="ICV">
    <vt:lpwstr>127B7D03797948E7B99522ED12E898B0_13</vt:lpwstr>
  </property>
  <property fmtid="{D5CDD505-2E9C-101B-9397-08002B2CF9AE}" pid="6" name="KSOTemplateDocerSaveRecord">
    <vt:lpwstr>eyJoZGlkIjoiMGI5ZWExYjE4MjFiNTU2ZGUyNzYyMDUyMDVhMjg5N2EiLCJ1c2VySWQiOiIyODIxMTQyMTYifQ==</vt:lpwstr>
  </property>
</Properties>
</file>