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DDEC9C">
      <w:pPr>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105</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14:paraId="52CB11B6">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番禺区政协十五届</w:t>
      </w:r>
      <w:r>
        <w:rPr>
          <w:rFonts w:hint="eastAsia" w:ascii="方正小标宋_GBK" w:hAnsi="方正小标宋_GBK" w:eastAsia="方正小标宋_GBK" w:cs="方正小标宋_GBK"/>
          <w:sz w:val="44"/>
          <w:szCs w:val="44"/>
          <w:lang w:eastAsia="zh-CN"/>
        </w:rPr>
        <w:t>五次</w:t>
      </w:r>
      <w:r>
        <w:rPr>
          <w:rFonts w:hint="eastAsia" w:ascii="方正小标宋_GBK" w:hAnsi="方正小标宋_GBK" w:eastAsia="方正小标宋_GBK" w:cs="方正小标宋_GBK"/>
          <w:sz w:val="44"/>
          <w:szCs w:val="44"/>
        </w:rPr>
        <w:t>会议提案</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403"/>
        <w:gridCol w:w="1288"/>
        <w:gridCol w:w="562"/>
        <w:gridCol w:w="618"/>
        <w:gridCol w:w="374"/>
        <w:gridCol w:w="1634"/>
      </w:tblGrid>
      <w:tr w14:paraId="6075F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5373427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题    目</w:t>
            </w:r>
          </w:p>
        </w:tc>
        <w:tc>
          <w:tcPr>
            <w:tcW w:w="6879" w:type="dxa"/>
            <w:gridSpan w:val="6"/>
            <w:tcBorders>
              <w:top w:val="single" w:color="auto" w:sz="4" w:space="0"/>
              <w:left w:val="single" w:color="auto" w:sz="4" w:space="0"/>
              <w:bottom w:val="single" w:color="auto" w:sz="4" w:space="0"/>
              <w:right w:val="single" w:color="auto" w:sz="4" w:space="0"/>
            </w:tcBorders>
            <w:vAlign w:val="center"/>
          </w:tcPr>
          <w:p w14:paraId="07C9B6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关于明确产业用房开发项目中分割转让部分税务处理的提案</w:t>
            </w:r>
          </w:p>
        </w:tc>
      </w:tr>
      <w:tr w14:paraId="72128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27C0480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rPr>
            </w:pPr>
            <w:r>
              <w:rPr>
                <w:rFonts w:hint="eastAsia" w:ascii="仿宋_GB2312" w:hAnsi="宋体" w:eastAsia="仿宋_GB2312"/>
                <w:sz w:val="32"/>
                <w:szCs w:val="32"/>
              </w:rPr>
              <w:t>提 案 者</w:t>
            </w:r>
          </w:p>
          <w:p w14:paraId="790D343F">
            <w:pPr>
              <w:pStyle w:val="2"/>
              <w:jc w:val="center"/>
            </w:pPr>
            <w:r>
              <w:rPr>
                <w:rFonts w:hint="eastAsia" w:ascii="仿宋_GB2312" w:hAnsi="宋体" w:eastAsia="仿宋_GB2312"/>
                <w:sz w:val="28"/>
                <w:szCs w:val="28"/>
                <w:lang w:val="en-US" w:eastAsia="zh-CN"/>
              </w:rPr>
              <w:t>（括号内注明主笔人）</w:t>
            </w:r>
          </w:p>
        </w:tc>
        <w:tc>
          <w:tcPr>
            <w:tcW w:w="3691" w:type="dxa"/>
            <w:gridSpan w:val="2"/>
            <w:tcBorders>
              <w:top w:val="single" w:color="auto" w:sz="4" w:space="0"/>
              <w:left w:val="single" w:color="auto" w:sz="4" w:space="0"/>
              <w:bottom w:val="single" w:color="auto" w:sz="4" w:space="0"/>
              <w:right w:val="single" w:color="auto" w:sz="4" w:space="0"/>
            </w:tcBorders>
            <w:vAlign w:val="center"/>
          </w:tcPr>
          <w:p w14:paraId="789F681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ascii="仿宋_GB2312" w:hAnsi="宋体" w:eastAsia="仿宋_GB2312"/>
                <w:sz w:val="32"/>
                <w:szCs w:val="32"/>
              </w:rPr>
              <w:t>番禺区党外知识分子联谊会</w:t>
            </w:r>
          </w:p>
          <w:p w14:paraId="1696EE1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sz w:val="32"/>
                <w:szCs w:val="32"/>
                <w:lang w:eastAsia="zh-CN"/>
              </w:rPr>
            </w:pPr>
            <w:r>
              <w:rPr>
                <w:rFonts w:hint="eastAsia" w:ascii="仿宋_GB2312" w:hAnsi="宋体" w:eastAsia="仿宋_GB2312"/>
                <w:sz w:val="32"/>
                <w:szCs w:val="32"/>
                <w:lang w:eastAsia="zh-CN"/>
              </w:rPr>
              <w:t>（</w:t>
            </w:r>
            <w:r>
              <w:rPr>
                <w:rFonts w:hint="eastAsia" w:ascii="仿宋_GB2312" w:hAnsi="宋体" w:eastAsia="仿宋_GB2312"/>
                <w:sz w:val="32"/>
                <w:szCs w:val="32"/>
              </w:rPr>
              <w:t>钟桂源</w:t>
            </w:r>
            <w:r>
              <w:rPr>
                <w:rFonts w:hint="eastAsia" w:ascii="仿宋_GB2312" w:hAnsi="宋体" w:eastAsia="仿宋_GB2312"/>
                <w:sz w:val="32"/>
                <w:szCs w:val="32"/>
                <w:lang w:eastAsia="zh-CN"/>
              </w:rPr>
              <w:t>）</w:t>
            </w:r>
          </w:p>
        </w:tc>
        <w:tc>
          <w:tcPr>
            <w:tcW w:w="1180" w:type="dxa"/>
            <w:gridSpan w:val="2"/>
            <w:tcBorders>
              <w:top w:val="single" w:color="auto" w:sz="4" w:space="0"/>
              <w:left w:val="single" w:color="auto" w:sz="4" w:space="0"/>
              <w:bottom w:val="single" w:color="auto" w:sz="4" w:space="0"/>
              <w:right w:val="single" w:color="auto" w:sz="4" w:space="0"/>
            </w:tcBorders>
            <w:vAlign w:val="center"/>
          </w:tcPr>
          <w:p w14:paraId="373788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联系人</w:t>
            </w:r>
          </w:p>
        </w:tc>
        <w:tc>
          <w:tcPr>
            <w:tcW w:w="2008" w:type="dxa"/>
            <w:gridSpan w:val="2"/>
            <w:tcBorders>
              <w:top w:val="single" w:color="auto" w:sz="4" w:space="0"/>
              <w:left w:val="single" w:color="auto" w:sz="4" w:space="0"/>
              <w:bottom w:val="single" w:color="auto" w:sz="4" w:space="0"/>
              <w:right w:val="single" w:color="auto" w:sz="4" w:space="0"/>
            </w:tcBorders>
            <w:vAlign w:val="center"/>
          </w:tcPr>
          <w:p w14:paraId="688C86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钟桂源</w:t>
            </w:r>
          </w:p>
        </w:tc>
      </w:tr>
      <w:tr w14:paraId="1CCEA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4BDC36C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工作单位</w:t>
            </w:r>
          </w:p>
        </w:tc>
        <w:tc>
          <w:tcPr>
            <w:tcW w:w="3691" w:type="dxa"/>
            <w:gridSpan w:val="2"/>
            <w:tcBorders>
              <w:top w:val="single" w:color="auto" w:sz="4" w:space="0"/>
              <w:left w:val="single" w:color="auto" w:sz="4" w:space="0"/>
              <w:bottom w:val="single" w:color="auto" w:sz="4" w:space="0"/>
              <w:right w:val="single" w:color="auto" w:sz="4" w:space="0"/>
            </w:tcBorders>
            <w:vAlign w:val="center"/>
          </w:tcPr>
          <w:p w14:paraId="5A2F8DD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广州谨效税务师事务所有限公司</w:t>
            </w:r>
          </w:p>
        </w:tc>
        <w:tc>
          <w:tcPr>
            <w:tcW w:w="1180" w:type="dxa"/>
            <w:gridSpan w:val="2"/>
            <w:tcBorders>
              <w:top w:val="single" w:color="auto" w:sz="4" w:space="0"/>
              <w:left w:val="single" w:color="auto" w:sz="4" w:space="0"/>
              <w:bottom w:val="single" w:color="auto" w:sz="4" w:space="0"/>
              <w:right w:val="single" w:color="auto" w:sz="4" w:space="0"/>
            </w:tcBorders>
            <w:vAlign w:val="center"/>
          </w:tcPr>
          <w:p w14:paraId="6D609D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008" w:type="dxa"/>
            <w:gridSpan w:val="2"/>
            <w:tcBorders>
              <w:top w:val="single" w:color="auto" w:sz="4" w:space="0"/>
              <w:left w:val="single" w:color="auto" w:sz="4" w:space="0"/>
              <w:bottom w:val="single" w:color="auto" w:sz="4" w:space="0"/>
              <w:right w:val="single" w:color="auto" w:sz="4" w:space="0"/>
            </w:tcBorders>
            <w:vAlign w:val="center"/>
          </w:tcPr>
          <w:p w14:paraId="2E80C33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执行合伙人</w:t>
            </w:r>
          </w:p>
        </w:tc>
      </w:tr>
      <w:tr w14:paraId="7F922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3F67BC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手机号码</w:t>
            </w:r>
          </w:p>
        </w:tc>
        <w:tc>
          <w:tcPr>
            <w:tcW w:w="2403" w:type="dxa"/>
            <w:tcBorders>
              <w:top w:val="single" w:color="auto" w:sz="4" w:space="0"/>
              <w:left w:val="single" w:color="auto" w:sz="4" w:space="0"/>
              <w:bottom w:val="single" w:color="auto" w:sz="4" w:space="0"/>
              <w:right w:val="single" w:color="auto" w:sz="4" w:space="0"/>
            </w:tcBorders>
            <w:vAlign w:val="center"/>
          </w:tcPr>
          <w:p w14:paraId="09B3043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p>
        </w:tc>
        <w:tc>
          <w:tcPr>
            <w:tcW w:w="1850" w:type="dxa"/>
            <w:gridSpan w:val="2"/>
            <w:tcBorders>
              <w:top w:val="single" w:color="auto" w:sz="4" w:space="0"/>
              <w:left w:val="single" w:color="auto" w:sz="4" w:space="0"/>
              <w:bottom w:val="single" w:color="auto" w:sz="4" w:space="0"/>
              <w:right w:val="single" w:color="auto" w:sz="4" w:space="0"/>
            </w:tcBorders>
            <w:vAlign w:val="center"/>
          </w:tcPr>
          <w:p w14:paraId="33B4D10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办公电话</w:t>
            </w:r>
          </w:p>
        </w:tc>
        <w:tc>
          <w:tcPr>
            <w:tcW w:w="2626" w:type="dxa"/>
            <w:gridSpan w:val="3"/>
            <w:tcBorders>
              <w:top w:val="single" w:color="auto" w:sz="4" w:space="0"/>
              <w:left w:val="single" w:color="auto" w:sz="4" w:space="0"/>
              <w:bottom w:val="single" w:color="auto" w:sz="4" w:space="0"/>
              <w:right w:val="single" w:color="auto" w:sz="4" w:space="0"/>
            </w:tcBorders>
            <w:vAlign w:val="center"/>
          </w:tcPr>
          <w:p w14:paraId="3AC3AB5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p>
        </w:tc>
      </w:tr>
      <w:tr w14:paraId="349FC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25E1FD3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vAlign w:val="center"/>
          </w:tcPr>
          <w:p w14:paraId="69BBA04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5E01F08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邮编</w:t>
            </w:r>
          </w:p>
        </w:tc>
        <w:tc>
          <w:tcPr>
            <w:tcW w:w="1634" w:type="dxa"/>
            <w:tcBorders>
              <w:top w:val="single" w:color="auto" w:sz="4" w:space="0"/>
              <w:left w:val="single" w:color="auto" w:sz="4" w:space="0"/>
              <w:bottom w:val="single" w:color="auto" w:sz="4" w:space="0"/>
              <w:right w:val="single" w:color="auto" w:sz="4" w:space="0"/>
            </w:tcBorders>
            <w:vAlign w:val="center"/>
          </w:tcPr>
          <w:p w14:paraId="0B7578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510000</w:t>
            </w:r>
          </w:p>
        </w:tc>
      </w:tr>
      <w:tr w14:paraId="6EC4C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trPr>
        <w:tc>
          <w:tcPr>
            <w:tcW w:w="1951" w:type="dxa"/>
            <w:tcBorders>
              <w:top w:val="single" w:color="auto" w:sz="4" w:space="0"/>
              <w:left w:val="single" w:color="auto" w:sz="4" w:space="0"/>
              <w:bottom w:val="single" w:color="auto" w:sz="4" w:space="0"/>
              <w:right w:val="single" w:color="auto" w:sz="4" w:space="0"/>
            </w:tcBorders>
            <w:vAlign w:val="center"/>
          </w:tcPr>
          <w:p w14:paraId="7129E4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联名提案人</w:t>
            </w:r>
          </w:p>
          <w:p w14:paraId="6F3E4F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879" w:type="dxa"/>
            <w:gridSpan w:val="6"/>
            <w:tcBorders>
              <w:top w:val="single" w:color="auto" w:sz="4" w:space="0"/>
              <w:left w:val="single" w:color="auto" w:sz="4" w:space="0"/>
              <w:bottom w:val="single" w:color="auto" w:sz="4" w:space="0"/>
              <w:right w:val="single" w:color="auto" w:sz="4" w:space="0"/>
            </w:tcBorders>
            <w:vAlign w:val="center"/>
          </w:tcPr>
          <w:p w14:paraId="448CF5F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bookmarkStart w:id="0" w:name="_GoBack"/>
            <w:bookmarkEnd w:id="0"/>
          </w:p>
        </w:tc>
      </w:tr>
      <w:tr w14:paraId="72E47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center"/>
          </w:tcPr>
          <w:p w14:paraId="0E26008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提案委员会</w:t>
            </w:r>
          </w:p>
          <w:p w14:paraId="62EFB1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rPr>
              <w:t>审查意见</w:t>
            </w:r>
          </w:p>
        </w:tc>
        <w:tc>
          <w:tcPr>
            <w:tcW w:w="6879" w:type="dxa"/>
            <w:gridSpan w:val="6"/>
            <w:tcBorders>
              <w:top w:val="single" w:color="auto" w:sz="4" w:space="0"/>
              <w:left w:val="single" w:color="auto" w:sz="4" w:space="0"/>
              <w:bottom w:val="single" w:color="auto" w:sz="4" w:space="0"/>
              <w:right w:val="single" w:color="auto" w:sz="4" w:space="0"/>
            </w:tcBorders>
            <w:vAlign w:val="center"/>
          </w:tcPr>
          <w:p w14:paraId="2072E5B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宋体" w:eastAsia="仿宋_GB2312"/>
                <w:sz w:val="32"/>
                <w:szCs w:val="32"/>
              </w:rPr>
            </w:pPr>
            <w:r>
              <w:rPr>
                <w:rFonts w:hint="eastAsia" w:ascii="仿宋_GB2312" w:hAnsi="宋体" w:eastAsia="仿宋_GB2312"/>
                <w:sz w:val="32"/>
                <w:szCs w:val="32"/>
                <w:lang w:eastAsia="zh-CN"/>
              </w:rPr>
              <w:t>同意立案</w:t>
            </w:r>
          </w:p>
        </w:tc>
      </w:tr>
    </w:tbl>
    <w:p w14:paraId="41DD5B64">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sz w:val="32"/>
          <w:szCs w:val="32"/>
        </w:rPr>
      </w:pPr>
      <w:r>
        <w:rPr>
          <w:rFonts w:hint="eastAsia" w:ascii="黑体" w:hAnsi="黑体" w:eastAsia="黑体"/>
          <w:sz w:val="32"/>
          <w:szCs w:val="32"/>
        </w:rPr>
        <w:t>根据实际情况在（）内打勾确认：</w:t>
      </w:r>
    </w:p>
    <w:p w14:paraId="5D96C297">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b/>
          <w:sz w:val="30"/>
          <w:szCs w:val="30"/>
        </w:rPr>
      </w:pPr>
      <w:r>
        <w:rPr>
          <w:rFonts w:hint="eastAsia" w:ascii="宋体" w:hAnsi="宋体"/>
          <w:b/>
          <w:sz w:val="30"/>
          <w:szCs w:val="30"/>
        </w:rPr>
        <w:t>是否同意公开：</w:t>
      </w:r>
    </w:p>
    <w:p w14:paraId="22268068">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b/>
          <w:sz w:val="32"/>
          <w:szCs w:val="32"/>
        </w:rPr>
      </w:pPr>
      <w:r>
        <w:rPr>
          <w:rFonts w:hint="eastAsia" w:ascii="宋体" w:hAnsi="宋体"/>
          <w:sz w:val="30"/>
          <w:szCs w:val="30"/>
        </w:rPr>
        <w:t>是（）</w:t>
      </w:r>
      <w:r>
        <w:rPr>
          <w:rFonts w:ascii="宋体" w:hAnsi="宋体"/>
          <w:sz w:val="30"/>
          <w:szCs w:val="30"/>
        </w:rPr>
        <w:t xml:space="preserve">  </w:t>
      </w:r>
      <w:r>
        <w:rPr>
          <w:rFonts w:hint="eastAsia" w:ascii="宋体" w:hAnsi="宋体"/>
          <w:sz w:val="30"/>
          <w:szCs w:val="30"/>
        </w:rPr>
        <w:t>否（</w:t>
      </w:r>
      <w:r>
        <w:rPr>
          <w:rFonts w:ascii="Arial" w:hAnsi="Arial" w:cs="Arial"/>
          <w:sz w:val="30"/>
          <w:szCs w:val="30"/>
        </w:rPr>
        <w:t>√</w:t>
      </w:r>
      <w:r>
        <w:rPr>
          <w:rFonts w:hint="eastAsia" w:ascii="宋体" w:hAnsi="宋体"/>
          <w:sz w:val="30"/>
          <w:szCs w:val="30"/>
        </w:rPr>
        <w:t>）</w:t>
      </w:r>
      <w:r>
        <w:rPr>
          <w:rFonts w:ascii="宋体" w:hAnsi="宋体"/>
          <w:sz w:val="30"/>
          <w:szCs w:val="30"/>
        </w:rPr>
        <w:t xml:space="preserve"> </w:t>
      </w:r>
    </w:p>
    <w:p w14:paraId="1D574AC4">
      <w:pPr>
        <w:pStyle w:val="2"/>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pPr>
    </w:p>
    <w:p w14:paraId="3649E06D">
      <w:pPr>
        <w:spacing w:line="360" w:lineRule="auto"/>
        <w:rPr>
          <w:rFonts w:ascii="黑体" w:hAnsi="黑体" w:eastAsia="黑体"/>
          <w:b/>
          <w:bCs w:val="0"/>
          <w:sz w:val="32"/>
          <w:szCs w:val="32"/>
        </w:rPr>
      </w:pPr>
      <w:r>
        <w:rPr>
          <w:rFonts w:hint="eastAsia" w:ascii="黑体" w:hAnsi="黑体" w:eastAsia="黑体"/>
          <w:b/>
          <w:bCs w:val="0"/>
          <w:sz w:val="32"/>
          <w:szCs w:val="32"/>
        </w:rPr>
        <w:t>理由：</w:t>
      </w:r>
    </w:p>
    <w:p w14:paraId="4B42CDB3">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一、问题背景</w:t>
      </w:r>
    </w:p>
    <w:p w14:paraId="5CDA1A1A">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近年来，番禺区积极推进产业转型升级和新型产业用地（M0）政策试点，鼓励建设高标准产业用房，支持产业链协同发展。在此背景下，众多产业地产开发企业按照政府规划要求，在自持不低于70%计容建筑面积的前提下，依法合规开展产业用房的分割转让。</w:t>
      </w:r>
    </w:p>
    <w:p w14:paraId="40843D58">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然而，在实际税收征管过程中，针对企业持有的用于出售的产业用房部分（即存货性质房产），基层税务机关与区级税务主管部门在是否应征收房产税的问题上存在理解分歧：</w:t>
      </w:r>
    </w:p>
    <w:p w14:paraId="1DC57603">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番禺</w:t>
      </w:r>
      <w:r>
        <w:rPr>
          <w:rFonts w:hint="eastAsia" w:ascii="仿宋_GB2312" w:hAnsi="仿宋_GB2312" w:eastAsia="仿宋_GB2312" w:cs="仿宋_GB2312"/>
          <w:sz w:val="32"/>
          <w:szCs w:val="32"/>
        </w:rPr>
        <w:t>地方税务所认为：只要房屋建成并取得产权，无论是否出售，均应作为自有房产纳入房产税征税范围；</w:t>
      </w:r>
    </w:p>
    <w:p w14:paraId="3B4D0338">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另一部分业务科室则认为：开发企业持有的待售房产属于“存货”，根据《中华人民共和国房产税暂行条例》及相关政策精神，房地产开发企业销售前的待售房产不属自用或出租性质，不应征收房产税。</w:t>
      </w:r>
    </w:p>
    <w:p w14:paraId="148142AE">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这种同一区域内执法标准不一的现象，导致企业面临不确定的税负预期，增加了合规成本，影响了市场主体的投资信心和营商环境的公平性、可预期性。</w:t>
      </w:r>
    </w:p>
    <w:p w14:paraId="7E64F6C7">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二、存在问题</w:t>
      </w:r>
    </w:p>
    <w:p w14:paraId="2456A495">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执法尺度不统一，造成“同案不同罚”，违背税收公平</w:t>
      </w:r>
      <w:r>
        <w:rPr>
          <w:rFonts w:hint="eastAsia" w:ascii="仿宋_GB2312" w:hAnsi="仿宋_GB2312" w:eastAsia="仿宋_GB2312" w:cs="仿宋_GB2312"/>
          <w:sz w:val="32"/>
          <w:szCs w:val="32"/>
          <w:lang w:val="en-US" w:eastAsia="zh-CN"/>
        </w:rPr>
        <w:t>性</w:t>
      </w:r>
      <w:r>
        <w:rPr>
          <w:rFonts w:hint="eastAsia" w:ascii="仿宋_GB2312" w:hAnsi="仿宋_GB2312" w:eastAsia="仿宋_GB2312" w:cs="仿宋_GB2312"/>
          <w:sz w:val="32"/>
          <w:szCs w:val="32"/>
        </w:rPr>
        <w:t>原则；增加企业合规负担，企业需反复解释、沟通甚至申请复议；抑制产业项目开发积极性，尤其对中小开发主体形成隐性壁垒；与全国通行做法不符：在全国多数城市，房地产开发企业持有待售房产（包括产业地产）普遍视为存货，不征收房产税。</w:t>
      </w:r>
    </w:p>
    <w:p w14:paraId="2AF49BC2">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三、政策依据与合理性分析</w:t>
      </w:r>
    </w:p>
    <w:p w14:paraId="05081ABA">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1、《房产税暂行条例》规定：房产税征收对象为“产权所有人自用或出租的房产”。开发企业持有的待售房产属于商品性质，尚未实现最终使用或出租行为，不属于应税范围。</w:t>
      </w:r>
    </w:p>
    <w:p w14:paraId="22F5FC5B">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2、国家税务总局相关答复精神：</w:t>
      </w:r>
    </w:p>
    <w:p w14:paraId="51DEFE08">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国税函〔2003〕529号等文件明确指出：房地产开发企业建造的商品房，在出售前不征收房产税；一旦使用或出租，则从次月起征税。</w:t>
      </w:r>
    </w:p>
    <w:p w14:paraId="72C463FA">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此原则适用于住宅、商业及产业类地产项目。</w:t>
      </w:r>
    </w:p>
    <w:p w14:paraId="733C5D50">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3、会计与法律属性一致：</w:t>
      </w:r>
    </w:p>
    <w:p w14:paraId="6DD4AAB0">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企业会计准则将未售房产列为“存货”；</w:t>
      </w:r>
    </w:p>
    <w:p w14:paraId="12A5200B">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税务处理应与经济实质保持一致，避免人为割裂。</w:t>
      </w:r>
    </w:p>
    <w:p w14:paraId="63CB1472">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4、地方政策协同需要：</w:t>
      </w:r>
    </w:p>
    <w:p w14:paraId="00DC3A13">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番禺区鼓励产业用房分割转让，若对“待售部分”征收房产税，相当于变相提高开发成本，削弱政策激励效果。</w:t>
      </w:r>
    </w:p>
    <w:p w14:paraId="1564532E">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0" w:firstLineChars="0"/>
        <w:textAlignment w:val="auto"/>
        <w:rPr>
          <w:rFonts w:hint="eastAsia" w:ascii="仿宋_GB2312" w:hAnsi="仿宋_GB2312" w:eastAsia="仿宋_GB2312" w:cs="仿宋_GB2312"/>
          <w:sz w:val="32"/>
          <w:szCs w:val="32"/>
        </w:rPr>
      </w:pPr>
    </w:p>
    <w:p w14:paraId="3743BAEE">
      <w:pPr>
        <w:pStyle w:val="4"/>
        <w:keepNext w:val="0"/>
        <w:keepLines w:val="0"/>
        <w:pageBreakBefore w:val="0"/>
        <w:widowControl w:val="0"/>
        <w:kinsoku/>
        <w:wordWrap/>
        <w:overflowPunct/>
        <w:topLinePunct w:val="0"/>
        <w:autoSpaceDE/>
        <w:autoSpaceDN/>
        <w:bidi w:val="0"/>
        <w:adjustRightInd w:val="0"/>
        <w:snapToGrid w:val="0"/>
        <w:spacing w:line="560" w:lineRule="exact"/>
        <w:ind w:left="0" w:leftChars="0" w:firstLine="0" w:firstLineChars="0"/>
        <w:textAlignment w:val="auto"/>
        <w:rPr>
          <w:rFonts w:hint="eastAsia" w:ascii="黑体" w:hAnsi="黑体" w:eastAsia="黑体" w:cs="黑体"/>
          <w:b/>
          <w:bCs/>
          <w:sz w:val="32"/>
          <w:szCs w:val="32"/>
          <w:lang w:eastAsia="zh-CN"/>
        </w:rPr>
      </w:pPr>
      <w:r>
        <w:rPr>
          <w:rFonts w:hint="eastAsia" w:ascii="黑体" w:hAnsi="黑体" w:eastAsia="黑体" w:cs="黑体"/>
          <w:b/>
          <w:bCs/>
          <w:sz w:val="32"/>
          <w:szCs w:val="32"/>
          <w:lang w:eastAsia="zh-CN"/>
        </w:rPr>
        <w:t>办法：</w:t>
      </w:r>
    </w:p>
    <w:p w14:paraId="1BACAA85">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四、具体建议</w:t>
      </w:r>
    </w:p>
    <w:p w14:paraId="4A166BF6">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为营造稳定、公平、透明、可预期的税收环境，推动番禺区产业地产健康有序发展，特提出如下建议：</w:t>
      </w:r>
    </w:p>
    <w:p w14:paraId="119CDAD2">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1、由</w:t>
      </w:r>
      <w:r>
        <w:rPr>
          <w:rFonts w:hint="eastAsia" w:ascii="仿宋_GB2312" w:hAnsi="仿宋_GB2312" w:eastAsia="仿宋_GB2312" w:cs="仿宋_GB2312"/>
          <w:sz w:val="32"/>
          <w:szCs w:val="32"/>
          <w:lang w:eastAsia="zh-CN"/>
        </w:rPr>
        <w:t>番禺区</w:t>
      </w:r>
      <w:r>
        <w:rPr>
          <w:rFonts w:hint="eastAsia" w:ascii="仿宋_GB2312" w:hAnsi="仿宋_GB2312" w:eastAsia="仿宋_GB2312" w:cs="仿宋_GB2312"/>
          <w:sz w:val="32"/>
          <w:szCs w:val="32"/>
        </w:rPr>
        <w:t>税务</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牵头，联合财政、住建、产业园区等部门，出台统一指导意见，明确：“对符合产业用房分割转让政策条件的开发项目，其用于出售的部分，在完成销售前视为企业存货，不属于房产税征税范围，不予征收房产税。”</w:t>
      </w:r>
    </w:p>
    <w:p w14:paraId="52FB33FB">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2、建立分类管理制度：</w:t>
      </w:r>
    </w:p>
    <w:p w14:paraId="0A0611BB">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区分“自持运营部分”与“待售部分”；</w:t>
      </w:r>
    </w:p>
    <w:p w14:paraId="0FE436D5">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自持部分依法征收房产税，体现“谁使用、谁纳税”原则；待售部分作为开发产品，参照房地产开发企业惯例免征房产税。</w:t>
      </w:r>
    </w:p>
    <w:p w14:paraId="4118470C">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3、加强基层税务人员培训与政策宣讲，确保政策执行口径上下一致，杜绝“一刀切”或选择性执法。</w:t>
      </w:r>
    </w:p>
    <w:p w14:paraId="5B6A5DA4">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4、设立争议协调机制：对于存在理解分歧的个案，由区税务局组织会审，出具书面意见，保障纳税人合法权益。</w:t>
      </w:r>
    </w:p>
    <w:p w14:paraId="1A9744F5">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rPr>
        <w:t>五、预期成效</w:t>
      </w:r>
    </w:p>
    <w:p w14:paraId="3D6FFEA4">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提升税收执法的规范性与透明度；减轻企业不合理税负，增强投资信心；促进产业用房市场健康发展，加快优质产业项目落地；助力番禺打造粤港澳大湾区具有竞争力的现代化产业高地。</w:t>
      </w:r>
    </w:p>
    <w:p w14:paraId="03FE8C5C">
      <w:pPr>
        <w:pStyle w:val="4"/>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恳请相关部门高度重视，尽快推动政策统一，为企业减负松绑，为高质量发展赋能添力。</w:t>
      </w:r>
    </w:p>
    <w:sectPr>
      <w:footerReference r:id="rId5"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011B8">
    <w:pPr>
      <w:pStyle w:val="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AAF4A9">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AAF4A9">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14:paraId="52B48527">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B143C">
    <w:pPr>
      <w:pStyle w:val="5"/>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1A61C9">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14:paraId="271A61C9">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14:paraId="63541C89">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22823">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RhNjE5MGFlZDY2Y2ZhNGFhMThiMThlNzc0MjQ0MzAifQ=="/>
  </w:docVars>
  <w:rsids>
    <w:rsidRoot w:val="00015812"/>
    <w:rsid w:val="00015812"/>
    <w:rsid w:val="00055BD7"/>
    <w:rsid w:val="000F21EB"/>
    <w:rsid w:val="00115BF4"/>
    <w:rsid w:val="00223A4D"/>
    <w:rsid w:val="00247EB3"/>
    <w:rsid w:val="00384DAB"/>
    <w:rsid w:val="00407148"/>
    <w:rsid w:val="005627BA"/>
    <w:rsid w:val="00697524"/>
    <w:rsid w:val="006D19D8"/>
    <w:rsid w:val="0080472B"/>
    <w:rsid w:val="008249B1"/>
    <w:rsid w:val="0087470A"/>
    <w:rsid w:val="008A3EDF"/>
    <w:rsid w:val="0095402C"/>
    <w:rsid w:val="00985ED2"/>
    <w:rsid w:val="009D0185"/>
    <w:rsid w:val="009E0B7C"/>
    <w:rsid w:val="00A338B8"/>
    <w:rsid w:val="00A609C7"/>
    <w:rsid w:val="00AF2B9A"/>
    <w:rsid w:val="00B27B41"/>
    <w:rsid w:val="00C128F7"/>
    <w:rsid w:val="00CA215C"/>
    <w:rsid w:val="00D058B7"/>
    <w:rsid w:val="00E76122"/>
    <w:rsid w:val="00EF795D"/>
    <w:rsid w:val="027D4852"/>
    <w:rsid w:val="03CF3147"/>
    <w:rsid w:val="03CF5817"/>
    <w:rsid w:val="05EE7F09"/>
    <w:rsid w:val="0959493C"/>
    <w:rsid w:val="0A4D7D80"/>
    <w:rsid w:val="0A520BA6"/>
    <w:rsid w:val="0B2E376B"/>
    <w:rsid w:val="0B976B8F"/>
    <w:rsid w:val="0CD02E52"/>
    <w:rsid w:val="0D9C49BC"/>
    <w:rsid w:val="156E30E2"/>
    <w:rsid w:val="16A162D0"/>
    <w:rsid w:val="1D8119E0"/>
    <w:rsid w:val="1E0344C3"/>
    <w:rsid w:val="1EF025FA"/>
    <w:rsid w:val="1F02211F"/>
    <w:rsid w:val="1FE175DF"/>
    <w:rsid w:val="23D76E37"/>
    <w:rsid w:val="26833B07"/>
    <w:rsid w:val="2907142C"/>
    <w:rsid w:val="2C4464F3"/>
    <w:rsid w:val="32113416"/>
    <w:rsid w:val="3269667D"/>
    <w:rsid w:val="34C54DE4"/>
    <w:rsid w:val="38F07C9B"/>
    <w:rsid w:val="3C517E89"/>
    <w:rsid w:val="3CA96D4C"/>
    <w:rsid w:val="3DD66EE5"/>
    <w:rsid w:val="408550BF"/>
    <w:rsid w:val="45F36B68"/>
    <w:rsid w:val="47655843"/>
    <w:rsid w:val="49224174"/>
    <w:rsid w:val="4BF74ED8"/>
    <w:rsid w:val="4DD27EDD"/>
    <w:rsid w:val="4F873390"/>
    <w:rsid w:val="52A33DBD"/>
    <w:rsid w:val="53501DAC"/>
    <w:rsid w:val="55120763"/>
    <w:rsid w:val="5887668A"/>
    <w:rsid w:val="5A820587"/>
    <w:rsid w:val="5AA77AC9"/>
    <w:rsid w:val="5AFB2619"/>
    <w:rsid w:val="5B985733"/>
    <w:rsid w:val="5FFA1995"/>
    <w:rsid w:val="6DCA5B51"/>
    <w:rsid w:val="6E182D60"/>
    <w:rsid w:val="6E22686A"/>
    <w:rsid w:val="6FF93719"/>
    <w:rsid w:val="700C41FF"/>
    <w:rsid w:val="716E4C37"/>
    <w:rsid w:val="72DF49DC"/>
    <w:rsid w:val="735A571F"/>
    <w:rsid w:val="73BC418E"/>
    <w:rsid w:val="742260BC"/>
    <w:rsid w:val="7A707A80"/>
    <w:rsid w:val="7BF86DBE"/>
    <w:rsid w:val="7DA26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Calibri" w:hAnsi="Calibri" w:eastAsia="仿宋_GB2312"/>
      <w:sz w:val="32"/>
      <w:szCs w:val="20"/>
    </w:rPr>
  </w:style>
  <w:style w:type="paragraph" w:styleId="3">
    <w:name w:val="toc 5"/>
    <w:basedOn w:val="1"/>
    <w:next w:val="1"/>
    <w:qFormat/>
    <w:uiPriority w:val="0"/>
    <w:pPr>
      <w:ind w:left="1680"/>
    </w:pPr>
  </w:style>
  <w:style w:type="paragraph" w:styleId="4">
    <w:name w:val="Body Text Indent"/>
    <w:basedOn w:val="1"/>
    <w:qFormat/>
    <w:uiPriority w:val="99"/>
    <w:pPr>
      <w:adjustRightInd w:val="0"/>
      <w:snapToGrid w:val="0"/>
      <w:spacing w:line="360" w:lineRule="auto"/>
      <w:ind w:firstLine="200" w:firstLineChars="200"/>
      <w:jc w:val="left"/>
    </w:pPr>
    <w:rPr>
      <w:sz w:val="28"/>
      <w:szCs w:val="2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Emphasis"/>
    <w:basedOn w:val="8"/>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1510</Words>
  <Characters>1548</Characters>
  <Lines>1</Lines>
  <Paragraphs>3</Paragraphs>
  <TotalTime>5</TotalTime>
  <ScaleCrop>false</ScaleCrop>
  <LinksUpToDate>false</LinksUpToDate>
  <CharactersWithSpaces>1565</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2025-08-14T01:28:00Z</dcterms:created>
  <dc:creator>xr</dc:creator>
  <cp:lastModifiedBy>user</cp:lastModifiedBy>
  <dcterms:modified xsi:type="dcterms:W3CDTF">2026-01-06T03:39:42Z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2052-12.8.2.18606</vt:lpwstr>
  </property>
  <property fmtid="{D5CDD505-2E9C-101B-9397-08002B2CF9AE}" pid="3" name="ICV">
    <vt:lpwstr>6B76AB1DA90C4BA18D663930CCD77765_13</vt:lpwstr>
  </property>
  <property fmtid="{D5CDD505-2E9C-101B-9397-08002B2CF9AE}" pid="4" name="KSOTemplateDocerSaveRecord">
    <vt:lpwstr>eyJoZGlkIjoiOGY4NTNkYjRkMzdhZGU1MzMxYzVjODRkMzgwNzBkN2YiLCJ1c2VySWQiOiI1NzYyODY1OTMifQ==</vt:lpwstr>
  </property>
</Properties>
</file>