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5D506">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5BD21E05">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w:t>
      </w:r>
      <w:r>
        <w:rPr>
          <w:rFonts w:hint="eastAsia" w:ascii="方正小标宋_GBK" w:hAnsi="方正小标宋_GBK" w:eastAsia="方正小标宋_GBK" w:cs="方正小标宋_GBK"/>
          <w:sz w:val="44"/>
          <w:szCs w:val="44"/>
          <w:lang w:eastAsia="zh-CN"/>
        </w:rPr>
        <w:t>十五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1560"/>
        <w:gridCol w:w="992"/>
        <w:gridCol w:w="1326"/>
      </w:tblGrid>
      <w:tr w14:paraId="5B15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951" w:type="dxa"/>
            <w:tcBorders>
              <w:top w:val="single" w:color="auto" w:sz="4" w:space="0"/>
              <w:left w:val="single" w:color="auto" w:sz="4" w:space="0"/>
              <w:bottom w:val="single" w:color="auto" w:sz="4" w:space="0"/>
              <w:right w:val="single" w:color="auto" w:sz="4" w:space="0"/>
            </w:tcBorders>
            <w:vAlign w:val="center"/>
          </w:tcPr>
          <w:p w14:paraId="0705DDD8">
            <w:pPr>
              <w:spacing w:line="680" w:lineRule="exact"/>
              <w:jc w:val="center"/>
              <w:rPr>
                <w:rFonts w:ascii="仿宋_GB2312" w:hAnsi="宋体" w:eastAsia="仿宋_GB2312"/>
                <w:sz w:val="32"/>
                <w:szCs w:val="32"/>
              </w:rPr>
            </w:pPr>
            <w:r>
              <w:rPr>
                <w:rFonts w:hint="eastAsia" w:ascii="仿宋_GB2312" w:hAnsi="宋体" w:eastAsia="仿宋_GB2312"/>
                <w:sz w:val="32"/>
                <w:szCs w:val="32"/>
              </w:rPr>
              <w:t>题    目</w:t>
            </w:r>
          </w:p>
        </w:tc>
        <w:tc>
          <w:tcPr>
            <w:tcW w:w="6571" w:type="dxa"/>
            <w:gridSpan w:val="4"/>
            <w:tcBorders>
              <w:top w:val="single" w:color="auto" w:sz="4" w:space="0"/>
              <w:left w:val="single" w:color="auto" w:sz="4" w:space="0"/>
              <w:bottom w:val="single" w:color="auto" w:sz="4" w:space="0"/>
              <w:right w:val="single" w:color="auto" w:sz="4" w:space="0"/>
            </w:tcBorders>
            <w:vAlign w:val="center"/>
          </w:tcPr>
          <w:p w14:paraId="120274D8">
            <w:pPr>
              <w:spacing w:line="660" w:lineRule="exact"/>
              <w:jc w:val="center"/>
              <w:rPr>
                <w:rFonts w:ascii="仿宋_GB2312" w:hAnsi="宋体" w:eastAsia="仿宋_GB2312"/>
                <w:sz w:val="32"/>
                <w:szCs w:val="32"/>
              </w:rPr>
            </w:pPr>
            <w:r>
              <w:rPr>
                <w:rFonts w:hint="eastAsia" w:ascii="仿宋_GB2312" w:hAnsi="宋体" w:eastAsia="仿宋_GB2312"/>
                <w:sz w:val="32"/>
                <w:szCs w:val="32"/>
              </w:rPr>
              <w:t>关于加强河涌治理工作的建议</w:t>
            </w:r>
          </w:p>
        </w:tc>
      </w:tr>
      <w:tr w14:paraId="50F03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42966E57">
            <w:pPr>
              <w:spacing w:line="680" w:lineRule="exact"/>
              <w:jc w:val="center"/>
              <w:rPr>
                <w:rFonts w:ascii="仿宋_GB2312" w:hAnsi="宋体" w:eastAsia="仿宋_GB2312" w:cs="Times New Roman"/>
                <w:sz w:val="32"/>
                <w:szCs w:val="32"/>
              </w:rPr>
            </w:pPr>
            <w:r>
              <w:rPr>
                <w:rFonts w:hint="eastAsia" w:ascii="仿宋_GB2312" w:hAnsi="宋体" w:eastAsia="仿宋_GB2312" w:cs="Times New Roman"/>
                <w:sz w:val="32"/>
                <w:szCs w:val="32"/>
              </w:rPr>
              <w:t>提 案 者</w:t>
            </w:r>
          </w:p>
          <w:p w14:paraId="465F54EF">
            <w:pPr>
              <w:spacing w:line="680" w:lineRule="exact"/>
              <w:jc w:val="center"/>
              <w:rPr>
                <w:rFonts w:eastAsia="仿宋_GB2312"/>
              </w:rPr>
            </w:pPr>
            <w:r>
              <w:rPr>
                <w:rFonts w:hint="eastAsia" w:ascii="仿宋_GB2312" w:hAnsi="宋体" w:eastAsia="仿宋_GB2312" w:cs="Times New Roman"/>
                <w:sz w:val="28"/>
                <w:szCs w:val="28"/>
              </w:rPr>
              <w:t>（主笔）</w:t>
            </w:r>
          </w:p>
        </w:tc>
        <w:tc>
          <w:tcPr>
            <w:tcW w:w="2693" w:type="dxa"/>
            <w:tcBorders>
              <w:top w:val="single" w:color="auto" w:sz="4" w:space="0"/>
              <w:left w:val="single" w:color="auto" w:sz="4" w:space="0"/>
              <w:bottom w:val="single" w:color="auto" w:sz="4" w:space="0"/>
              <w:right w:val="single" w:color="auto" w:sz="4" w:space="0"/>
            </w:tcBorders>
            <w:vAlign w:val="center"/>
          </w:tcPr>
          <w:p w14:paraId="1D477CF5">
            <w:pPr>
              <w:spacing w:line="680" w:lineRule="exact"/>
              <w:jc w:val="center"/>
              <w:rPr>
                <w:rFonts w:ascii="仿宋_GB2312" w:hAnsi="宋体" w:eastAsia="仿宋_GB2312"/>
                <w:sz w:val="32"/>
                <w:szCs w:val="32"/>
              </w:rPr>
            </w:pPr>
            <w:r>
              <w:rPr>
                <w:rFonts w:hint="eastAsia" w:ascii="仿宋_GB2312" w:hAnsi="宋体" w:eastAsia="仿宋_GB2312"/>
                <w:sz w:val="32"/>
                <w:szCs w:val="32"/>
              </w:rPr>
              <w:t>政协洛浦街工作室</w:t>
            </w:r>
            <w:r>
              <w:rPr>
                <w:rFonts w:hint="eastAsia" w:ascii="仿宋_GB2312" w:hAnsi="宋体" w:eastAsia="仿宋_GB2312"/>
                <w:sz w:val="32"/>
                <w:szCs w:val="32"/>
                <w:lang w:eastAsia="zh-CN"/>
              </w:rPr>
              <w:t>（陈健洪）</w:t>
            </w:r>
          </w:p>
        </w:tc>
        <w:tc>
          <w:tcPr>
            <w:tcW w:w="1560" w:type="dxa"/>
            <w:tcBorders>
              <w:top w:val="single" w:color="auto" w:sz="4" w:space="0"/>
              <w:left w:val="single" w:color="auto" w:sz="4" w:space="0"/>
              <w:bottom w:val="single" w:color="auto" w:sz="4" w:space="0"/>
              <w:right w:val="single" w:color="auto" w:sz="4" w:space="0"/>
            </w:tcBorders>
            <w:vAlign w:val="center"/>
          </w:tcPr>
          <w:p w14:paraId="4B7B9BC2">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vAlign w:val="center"/>
          </w:tcPr>
          <w:p w14:paraId="5E206CA9">
            <w:pPr>
              <w:spacing w:line="680" w:lineRule="exact"/>
              <w:jc w:val="center"/>
              <w:rPr>
                <w:rFonts w:hint="eastAsia" w:ascii="仿宋_GB2312" w:hAnsi="宋体" w:eastAsia="仿宋_GB2312"/>
                <w:sz w:val="32"/>
                <w:szCs w:val="32"/>
                <w:lang w:eastAsia="zh-CN"/>
              </w:rPr>
            </w:pPr>
            <w:r>
              <w:rPr>
                <w:rFonts w:hint="eastAsia" w:ascii="仿宋_GB2312" w:hAnsi="宋体" w:eastAsia="仿宋_GB2312"/>
                <w:sz w:val="32"/>
                <w:szCs w:val="32"/>
                <w:lang w:eastAsia="zh-CN"/>
              </w:rPr>
              <w:t>陈健洪</w:t>
            </w:r>
          </w:p>
        </w:tc>
      </w:tr>
      <w:tr w14:paraId="102B6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2FAFA750">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693" w:type="dxa"/>
            <w:tcBorders>
              <w:top w:val="single" w:color="auto" w:sz="4" w:space="0"/>
              <w:left w:val="single" w:color="auto" w:sz="4" w:space="0"/>
              <w:bottom w:val="single" w:color="auto" w:sz="4" w:space="0"/>
              <w:right w:val="single" w:color="auto" w:sz="4" w:space="0"/>
            </w:tcBorders>
            <w:vAlign w:val="center"/>
          </w:tcPr>
          <w:p w14:paraId="0DD2B5CE">
            <w:pPr>
              <w:spacing w:line="680" w:lineRule="exact"/>
              <w:jc w:val="center"/>
              <w:rPr>
                <w:rFonts w:ascii="仿宋_GB2312" w:hAnsi="宋体" w:eastAsia="仿宋_GB2312"/>
                <w:sz w:val="32"/>
                <w:szCs w:val="32"/>
              </w:rPr>
            </w:pPr>
            <w:r>
              <w:rPr>
                <w:rFonts w:hint="eastAsia" w:ascii="仿宋_GB2312" w:hAnsi="宋体" w:eastAsia="仿宋_GB2312"/>
                <w:sz w:val="32"/>
                <w:szCs w:val="32"/>
              </w:rPr>
              <w:t>广州市平安消防设备有限公司</w:t>
            </w:r>
          </w:p>
        </w:tc>
        <w:tc>
          <w:tcPr>
            <w:tcW w:w="1560" w:type="dxa"/>
            <w:tcBorders>
              <w:top w:val="single" w:color="auto" w:sz="4" w:space="0"/>
              <w:left w:val="single" w:color="auto" w:sz="4" w:space="0"/>
              <w:bottom w:val="single" w:color="auto" w:sz="4" w:space="0"/>
              <w:right w:val="single" w:color="auto" w:sz="4" w:space="0"/>
            </w:tcBorders>
            <w:vAlign w:val="center"/>
          </w:tcPr>
          <w:p w14:paraId="4E950A07">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vAlign w:val="center"/>
          </w:tcPr>
          <w:p w14:paraId="037FAA48">
            <w:pPr>
              <w:spacing w:line="680" w:lineRule="exact"/>
              <w:jc w:val="center"/>
              <w:rPr>
                <w:rFonts w:ascii="仿宋_GB2312" w:hAnsi="宋体" w:eastAsia="仿宋_GB2312"/>
                <w:sz w:val="32"/>
                <w:szCs w:val="32"/>
              </w:rPr>
            </w:pPr>
            <w:r>
              <w:rPr>
                <w:rFonts w:hint="eastAsia" w:ascii="仿宋_GB2312" w:hAnsi="宋体" w:eastAsia="仿宋_GB2312"/>
                <w:sz w:val="32"/>
                <w:szCs w:val="32"/>
              </w:rPr>
              <w:t>总经理</w:t>
            </w:r>
          </w:p>
        </w:tc>
      </w:tr>
      <w:tr w14:paraId="1D32B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61297547">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vAlign w:val="center"/>
          </w:tcPr>
          <w:p w14:paraId="786635D3">
            <w:pPr>
              <w:spacing w:line="680" w:lineRule="exact"/>
              <w:jc w:val="center"/>
              <w:rPr>
                <w:rFonts w:ascii="仿宋_GB2312" w:hAnsi="宋体" w:eastAsia="仿宋_GB2312"/>
                <w:sz w:val="32"/>
                <w:szCs w:val="32"/>
              </w:rPr>
            </w:pPr>
          </w:p>
        </w:tc>
        <w:tc>
          <w:tcPr>
            <w:tcW w:w="1560" w:type="dxa"/>
            <w:tcBorders>
              <w:top w:val="single" w:color="auto" w:sz="4" w:space="0"/>
              <w:left w:val="single" w:color="auto" w:sz="4" w:space="0"/>
              <w:bottom w:val="single" w:color="auto" w:sz="4" w:space="0"/>
              <w:right w:val="single" w:color="auto" w:sz="4" w:space="0"/>
            </w:tcBorders>
            <w:vAlign w:val="center"/>
          </w:tcPr>
          <w:p w14:paraId="33221D60">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vAlign w:val="center"/>
          </w:tcPr>
          <w:p w14:paraId="790EED4A">
            <w:pPr>
              <w:spacing w:line="680" w:lineRule="exact"/>
              <w:jc w:val="center"/>
              <w:rPr>
                <w:rFonts w:ascii="仿宋_GB2312" w:hAnsi="宋体" w:eastAsia="仿宋_GB2312"/>
                <w:sz w:val="32"/>
                <w:szCs w:val="32"/>
              </w:rPr>
            </w:pPr>
          </w:p>
        </w:tc>
      </w:tr>
      <w:tr w14:paraId="2B907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5686058D">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2"/>
            <w:tcBorders>
              <w:top w:val="single" w:color="auto" w:sz="4" w:space="0"/>
              <w:left w:val="single" w:color="auto" w:sz="4" w:space="0"/>
              <w:bottom w:val="single" w:color="auto" w:sz="4" w:space="0"/>
              <w:right w:val="single" w:color="auto" w:sz="4" w:space="0"/>
            </w:tcBorders>
            <w:vAlign w:val="center"/>
          </w:tcPr>
          <w:p w14:paraId="538E1A79">
            <w:pPr>
              <w:spacing w:line="680" w:lineRule="exact"/>
              <w:jc w:val="center"/>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14:paraId="196780BC">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vAlign w:val="center"/>
          </w:tcPr>
          <w:p w14:paraId="5DD283E0">
            <w:pPr>
              <w:spacing w:line="680" w:lineRule="exact"/>
              <w:jc w:val="center"/>
              <w:rPr>
                <w:rFonts w:ascii="仿宋_GB2312" w:hAnsi="宋体" w:eastAsia="仿宋_GB2312"/>
                <w:sz w:val="32"/>
                <w:szCs w:val="32"/>
              </w:rPr>
            </w:pPr>
          </w:p>
        </w:tc>
      </w:tr>
      <w:tr w14:paraId="5E6D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trPr>
        <w:tc>
          <w:tcPr>
            <w:tcW w:w="1951" w:type="dxa"/>
            <w:tcBorders>
              <w:top w:val="single" w:color="auto" w:sz="4" w:space="0"/>
              <w:left w:val="single" w:color="auto" w:sz="4" w:space="0"/>
              <w:bottom w:val="single" w:color="auto" w:sz="4" w:space="0"/>
              <w:right w:val="single" w:color="auto" w:sz="4" w:space="0"/>
            </w:tcBorders>
            <w:vAlign w:val="center"/>
          </w:tcPr>
          <w:p w14:paraId="74185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72336E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w:t>
            </w:r>
            <w:r>
              <w:rPr>
                <w:rFonts w:ascii="仿宋_GB2312" w:hAnsi="仿宋_GB2312" w:eastAsia="仿宋_GB2312" w:cs="仿宋_GB2312"/>
                <w:sz w:val="28"/>
                <w:szCs w:val="28"/>
              </w:rPr>
              <w:t>一经提交不得再增加联名提案人</w:t>
            </w:r>
            <w:r>
              <w:rPr>
                <w:rFonts w:hint="eastAsia" w:ascii="仿宋_GB2312" w:hAnsi="宋体" w:eastAsia="仿宋_GB2312"/>
                <w:spacing w:val="-14"/>
                <w:sz w:val="32"/>
                <w:szCs w:val="32"/>
              </w:rPr>
              <w:t>）</w:t>
            </w:r>
          </w:p>
        </w:tc>
        <w:tc>
          <w:tcPr>
            <w:tcW w:w="6571" w:type="dxa"/>
            <w:gridSpan w:val="4"/>
            <w:tcBorders>
              <w:top w:val="single" w:color="auto" w:sz="4" w:space="0"/>
              <w:left w:val="single" w:color="auto" w:sz="4" w:space="0"/>
              <w:bottom w:val="single" w:color="auto" w:sz="4" w:space="0"/>
              <w:right w:val="single" w:color="auto" w:sz="4" w:space="0"/>
            </w:tcBorders>
            <w:vAlign w:val="center"/>
          </w:tcPr>
          <w:p w14:paraId="69E9AB2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p>
        </w:tc>
      </w:tr>
      <w:tr w14:paraId="6FF42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5E8531B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6E2EBE6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4"/>
            <w:tcBorders>
              <w:top w:val="single" w:color="auto" w:sz="4" w:space="0"/>
              <w:left w:val="single" w:color="auto" w:sz="4" w:space="0"/>
              <w:bottom w:val="single" w:color="auto" w:sz="4" w:space="0"/>
              <w:right w:val="single" w:color="auto" w:sz="4" w:space="0"/>
            </w:tcBorders>
            <w:vAlign w:val="center"/>
          </w:tcPr>
          <w:p w14:paraId="614F22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b/>
                <w:bCs/>
                <w:sz w:val="32"/>
                <w:szCs w:val="32"/>
              </w:rPr>
            </w:pPr>
            <w:r>
              <w:rPr>
                <w:rFonts w:hint="eastAsia" w:ascii="仿宋_GB2312" w:hAnsi="宋体" w:eastAsia="仿宋_GB2312"/>
                <w:sz w:val="32"/>
                <w:szCs w:val="32"/>
                <w:lang w:val="en-US" w:eastAsia="zh-CN"/>
              </w:rPr>
              <w:t>同意立案</w:t>
            </w:r>
          </w:p>
        </w:tc>
      </w:tr>
    </w:tbl>
    <w:p w14:paraId="73F468CA">
      <w:pPr>
        <w:spacing w:line="560" w:lineRule="exact"/>
        <w:rPr>
          <w:rFonts w:ascii="仿宋" w:hAnsi="仿宋" w:eastAsia="仿宋_GB2312"/>
          <w:sz w:val="32"/>
          <w:szCs w:val="32"/>
        </w:rPr>
      </w:pPr>
      <w:r>
        <w:rPr>
          <w:rFonts w:hint="eastAsia" w:ascii="黑体" w:hAnsi="黑体" w:eastAsia="黑体"/>
          <w:sz w:val="32"/>
          <w:szCs w:val="32"/>
        </w:rPr>
        <w:t>根据实际情况在（）内打勾确认：</w:t>
      </w:r>
    </w:p>
    <w:p w14:paraId="5CC7A455">
      <w:pPr>
        <w:spacing w:line="440" w:lineRule="exact"/>
        <w:rPr>
          <w:rFonts w:ascii="宋体" w:hAnsi="宋体"/>
          <w:b/>
          <w:sz w:val="30"/>
          <w:szCs w:val="30"/>
        </w:rPr>
      </w:pPr>
      <w:r>
        <w:rPr>
          <w:rFonts w:hint="eastAsia" w:ascii="宋体" w:hAnsi="宋体"/>
          <w:b/>
          <w:sz w:val="30"/>
          <w:szCs w:val="30"/>
        </w:rPr>
        <w:t>是否同意公开：</w:t>
      </w:r>
    </w:p>
    <w:p w14:paraId="6D7BAC0A">
      <w:pPr>
        <w:spacing w:line="440" w:lineRule="exact"/>
        <w:rPr>
          <w:rFonts w:ascii="宋体" w:hAnsi="宋体"/>
          <w:sz w:val="30"/>
          <w:szCs w:val="30"/>
        </w:rPr>
      </w:pPr>
      <w:r>
        <w:rPr>
          <w:rFonts w:hint="eastAsia" w:ascii="宋体" w:hAnsi="宋体"/>
          <w:sz w:val="30"/>
          <w:szCs w:val="30"/>
        </w:rPr>
        <w:t>是（√）</w:t>
      </w:r>
      <w:r>
        <w:rPr>
          <w:rFonts w:ascii="宋体" w:hAnsi="宋体"/>
          <w:sz w:val="30"/>
          <w:szCs w:val="30"/>
        </w:rPr>
        <w:t xml:space="preserve">  </w:t>
      </w:r>
      <w:r>
        <w:rPr>
          <w:rFonts w:hint="eastAsia" w:ascii="宋体" w:hAnsi="宋体"/>
          <w:sz w:val="30"/>
          <w:szCs w:val="30"/>
        </w:rPr>
        <w:t>否（）</w:t>
      </w:r>
      <w:r>
        <w:rPr>
          <w:rFonts w:ascii="宋体" w:hAnsi="宋体"/>
          <w:sz w:val="30"/>
          <w:szCs w:val="30"/>
        </w:rPr>
        <w:t xml:space="preserve"> </w:t>
      </w:r>
    </w:p>
    <w:p w14:paraId="52F2DA27">
      <w:pPr>
        <w:rPr>
          <w:rFonts w:ascii="宋体" w:hAnsi="宋体"/>
          <w:sz w:val="30"/>
          <w:szCs w:val="30"/>
        </w:rPr>
      </w:pPr>
      <w:r>
        <w:rPr>
          <w:rFonts w:ascii="宋体" w:hAnsi="宋体"/>
          <w:sz w:val="30"/>
          <w:szCs w:val="30"/>
        </w:rPr>
        <w:br w:type="page"/>
      </w:r>
    </w:p>
    <w:p w14:paraId="6C5DDE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rPr>
      </w:pPr>
      <w:r>
        <w:rPr>
          <w:rFonts w:hint="eastAsia" w:ascii="黑体" w:hAnsi="黑体" w:eastAsia="黑体" w:cs="黑体"/>
          <w:b/>
          <w:bCs/>
          <w:sz w:val="32"/>
          <w:szCs w:val="32"/>
        </w:rPr>
        <w:t>理由：</w:t>
      </w:r>
    </w:p>
    <w:p w14:paraId="4A447D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_GB2312" w:cs="仿宋"/>
          <w:sz w:val="32"/>
          <w:szCs w:val="32"/>
        </w:rPr>
      </w:pPr>
      <w:r>
        <w:rPr>
          <w:rFonts w:hint="eastAsia" w:ascii="仿宋" w:hAnsi="仿宋" w:eastAsia="仿宋_GB2312" w:cs="仿宋"/>
          <w:b/>
          <w:bCs/>
          <w:sz w:val="32"/>
          <w:szCs w:val="32"/>
        </w:rPr>
        <w:t>河涌治理作为重大民生实事，关乎民众生活品质与城市可持续发展。</w:t>
      </w:r>
      <w:r>
        <w:rPr>
          <w:rFonts w:hint="eastAsia" w:ascii="仿宋" w:hAnsi="仿宋" w:eastAsia="仿宋_GB2312" w:cs="仿宋"/>
          <w:sz w:val="32"/>
          <w:szCs w:val="32"/>
        </w:rPr>
        <w:t>一方面，它与居民的日常生活息息相关，长期未经治理的河涌黑臭难闻，滋生蚊虫，极大影响周边居住环境，危害居民身体健康。治理后，河涌水质改善，能减少异味与蚊虫滋生，沿岸还可打造休闲景观带，为居民提供散步、休憩的好去处，如广州的荔枝湾涌，整治后成为展现岭南水乡风情的打卡地，提升居民幸福感。另一方面，从城市发展维度，河涌是城市生态系统关键一环，承担防洪排涝、涵养水源功能。优质的河涌水系能增强城市应对暴雨内涝能力，保护城市基础设施。同时，优美的河涌景观利于吸引人才、投资，推动文旅产业发展，为城市经济注入活力，像杭州的西溪湿地周边，依托河涌生态兴起众多文创企业，实现生态与经济双赢，所以河涌治理势在必行，是实实在在的惠民之举。</w:t>
      </w:r>
    </w:p>
    <w:p w14:paraId="06F6C1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_GB2312" w:cs="仿宋"/>
          <w:b/>
          <w:bCs/>
          <w:sz w:val="32"/>
          <w:szCs w:val="32"/>
        </w:rPr>
      </w:pPr>
      <w:r>
        <w:rPr>
          <w:rFonts w:hint="eastAsia" w:ascii="仿宋" w:hAnsi="仿宋" w:eastAsia="仿宋_GB2312" w:cs="仿宋"/>
          <w:b/>
          <w:bCs/>
          <w:sz w:val="32"/>
          <w:szCs w:val="32"/>
        </w:rPr>
        <w:t>存在问题：</w:t>
      </w:r>
    </w:p>
    <w:p w14:paraId="447DD1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_GB2312" w:cs="仿宋"/>
          <w:sz w:val="32"/>
          <w:szCs w:val="32"/>
          <w:lang w:val="en-US" w:eastAsia="zh-CN"/>
        </w:rPr>
      </w:pPr>
      <w:r>
        <w:rPr>
          <w:rFonts w:hint="eastAsia" w:ascii="仿宋" w:hAnsi="仿宋" w:eastAsia="仿宋_GB2312" w:cs="仿宋"/>
          <w:b/>
          <w:bCs/>
          <w:sz w:val="32"/>
          <w:szCs w:val="32"/>
        </w:rPr>
        <w:t>村涉河涌及堤围设施的日常养护和应急抢险的责任主体和资金保障问题</w:t>
      </w:r>
      <w:r>
        <w:rPr>
          <w:rFonts w:hint="eastAsia" w:ascii="仿宋" w:hAnsi="仿宋" w:eastAsia="仿宋_GB2312" w:cs="仿宋"/>
          <w:b/>
          <w:bCs/>
          <w:sz w:val="32"/>
          <w:szCs w:val="32"/>
          <w:lang w:eastAsia="zh-CN"/>
        </w:rPr>
        <w:t>。</w:t>
      </w:r>
      <w:r>
        <w:rPr>
          <w:rFonts w:hint="eastAsia" w:ascii="仿宋" w:hAnsi="仿宋" w:eastAsia="仿宋_GB2312" w:cs="仿宋"/>
          <w:sz w:val="32"/>
          <w:szCs w:val="32"/>
          <w:lang w:eastAsia="zh-CN"/>
        </w:rPr>
        <w:t>如：</w:t>
      </w:r>
      <w:r>
        <w:rPr>
          <w:rFonts w:hint="eastAsia" w:ascii="仿宋_GB2312" w:hAnsi="仿宋_GB2312" w:eastAsia="仿宋_GB2312" w:cs="仿宋_GB2312"/>
          <w:color w:val="auto"/>
          <w:sz w:val="32"/>
          <w:szCs w:val="32"/>
          <w:highlight w:val="none"/>
          <w:lang w:val="en-US" w:eastAsia="zh-CN"/>
        </w:rPr>
        <w:t>受2024年汛期连续降雨以及堤岸设施老旧等综合</w:t>
      </w:r>
      <w:r>
        <w:rPr>
          <w:rFonts w:hint="eastAsia" w:ascii="仿宋" w:hAnsi="仿宋" w:eastAsia="仿宋_GB2312" w:cs="仿宋"/>
          <w:sz w:val="32"/>
          <w:szCs w:val="32"/>
          <w:lang w:val="en-US" w:eastAsia="zh-CN"/>
        </w:rPr>
        <w:t>因素影响，8月21日，洛浦街上滘涌滨江路段右岸河堤局部发生滑塌事件，虽然该街立即启动应急处置，快速对滑塌河堤完成修复。但针对这种应急抢险资金保障问题需要区局相关职能部门作出明细指引。如河涌内日常维护由属地村委为主体，但出现突发应急抢险事件处置时，应急抢险资金由谁负责，是区、街、村三级（3:3:4或之类的比例）按照比例出资，还是由区职能部门负责资金安排。</w:t>
      </w:r>
    </w:p>
    <w:p w14:paraId="1B96362A">
      <w:pPr>
        <w:pStyle w:val="5"/>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ascii="仿宋" w:hAnsi="仿宋" w:eastAsia="仿宋_GB2312" w:cs="仿宋"/>
          <w:b/>
          <w:bCs/>
          <w:sz w:val="32"/>
          <w:szCs w:val="32"/>
        </w:rPr>
      </w:pPr>
    </w:p>
    <w:p w14:paraId="587A858E">
      <w:pPr>
        <w:pStyle w:val="5"/>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eastAsia" w:ascii="黑体" w:hAnsi="黑体" w:eastAsia="黑体" w:cs="黑体"/>
          <w:b/>
          <w:bCs/>
          <w:sz w:val="32"/>
          <w:szCs w:val="32"/>
        </w:rPr>
      </w:pPr>
      <w:r>
        <w:rPr>
          <w:rFonts w:hint="eastAsia" w:ascii="黑体" w:hAnsi="黑体" w:eastAsia="黑体" w:cs="黑体"/>
          <w:b/>
          <w:bCs/>
          <w:sz w:val="32"/>
          <w:szCs w:val="32"/>
        </w:rPr>
        <w:t>办法：</w:t>
      </w:r>
    </w:p>
    <w:p w14:paraId="3BA8718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b/>
          <w:bCs/>
          <w:sz w:val="32"/>
          <w:szCs w:val="32"/>
        </w:rPr>
      </w:pPr>
      <w:r>
        <w:rPr>
          <w:rFonts w:hint="eastAsia" w:ascii="仿宋" w:hAnsi="仿宋" w:eastAsia="仿宋_GB2312" w:cs="仿宋"/>
          <w:b/>
          <w:bCs/>
          <w:sz w:val="32"/>
          <w:szCs w:val="32"/>
        </w:rPr>
        <w:t>一、明确划分责任主体</w:t>
      </w:r>
    </w:p>
    <w:p w14:paraId="13224A1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_GB2312" w:cs="仿宋"/>
          <w:sz w:val="32"/>
          <w:szCs w:val="32"/>
        </w:rPr>
      </w:pPr>
      <w:r>
        <w:rPr>
          <w:rFonts w:hint="eastAsia" w:ascii="仿宋" w:hAnsi="仿宋" w:eastAsia="仿宋_GB2312" w:cs="仿宋"/>
          <w:b/>
          <w:bCs/>
          <w:sz w:val="32"/>
          <w:szCs w:val="32"/>
        </w:rPr>
        <w:t>一是</w:t>
      </w:r>
      <w:r>
        <w:rPr>
          <w:rFonts w:hint="eastAsia" w:ascii="仿宋" w:hAnsi="仿宋" w:eastAsia="仿宋_GB2312" w:cs="仿宋"/>
          <w:sz w:val="32"/>
          <w:szCs w:val="32"/>
        </w:rPr>
        <w:t>通过出台详细的规章制度，明确将村涉河涌及堤围设施的日常养护和应急抢险责任主体落实到具体的村级组织，如村委会或村集体经济组织等。同时，规定设立专门的监管与指导机构，负责对村级责任主体的工作进行监督、考核与技术支持，确保责任的层层落实与有效执行。对于跨村的河涌及堤围设施，应建立区域协调机制，由街道办牵头，组织相关村、社区共同成立联合管理小组，明确各成员村在日常养护和应急抢险中的具体职责和分工，避免出现责任推诿和管理空白的现象。</w:t>
      </w:r>
    </w:p>
    <w:p w14:paraId="58F2A25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_GB2312" w:cs="仿宋"/>
          <w:sz w:val="32"/>
          <w:szCs w:val="32"/>
        </w:rPr>
      </w:pPr>
      <w:r>
        <w:rPr>
          <w:rFonts w:hint="eastAsia" w:ascii="仿宋" w:hAnsi="仿宋" w:eastAsia="仿宋_GB2312" w:cs="仿宋"/>
          <w:b/>
          <w:bCs/>
          <w:sz w:val="32"/>
          <w:szCs w:val="32"/>
        </w:rPr>
        <w:t>二是</w:t>
      </w:r>
      <w:r>
        <w:rPr>
          <w:rFonts w:hint="eastAsia" w:ascii="仿宋" w:hAnsi="仿宋" w:eastAsia="仿宋_GB2312" w:cs="仿宋"/>
          <w:sz w:val="32"/>
          <w:szCs w:val="32"/>
        </w:rPr>
        <w:t>通过定期组织专业培</w:t>
      </w:r>
      <w:bookmarkStart w:id="1" w:name="_GoBack"/>
      <w:bookmarkEnd w:id="1"/>
      <w:r>
        <w:rPr>
          <w:rFonts w:hint="eastAsia" w:ascii="仿宋" w:hAnsi="仿宋" w:eastAsia="仿宋_GB2312" w:cs="仿宋"/>
          <w:sz w:val="32"/>
          <w:szCs w:val="32"/>
        </w:rPr>
        <w:t>训，提升村、社区工作人员在水利设施维护、应急抢险技术、环境保护知识等方面的素养，使其具备基本的养护和抢险能力。</w:t>
      </w:r>
    </w:p>
    <w:p w14:paraId="20D4DF1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lang w:val="en-US" w:bidi="ar-SA"/>
        </w:rPr>
      </w:pPr>
      <w:r>
        <w:rPr>
          <w:rFonts w:hint="eastAsia" w:ascii="仿宋" w:hAnsi="仿宋" w:eastAsia="仿宋_GB2312" w:cs="仿宋"/>
          <w:b/>
          <w:bCs/>
          <w:sz w:val="32"/>
          <w:szCs w:val="32"/>
        </w:rPr>
        <w:t>三是</w:t>
      </w:r>
      <w:r>
        <w:rPr>
          <w:rFonts w:hint="eastAsia" w:ascii="仿宋" w:hAnsi="仿宋" w:eastAsia="仿宋_GB2312" w:cs="仿宋"/>
          <w:sz w:val="32"/>
          <w:szCs w:val="32"/>
        </w:rPr>
        <w:t>建立与上级部门及专业机构的沟通协作渠道，以便在遇到复杂问题和紧急情况时，能够及时获得技术指导和支援，确保养护和抢险工作的科学性与有效性。</w:t>
      </w:r>
    </w:p>
    <w:p w14:paraId="5D84DD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b/>
          <w:bCs/>
          <w:sz w:val="32"/>
          <w:szCs w:val="32"/>
        </w:rPr>
      </w:pPr>
      <w:r>
        <w:rPr>
          <w:rFonts w:hint="eastAsia" w:ascii="仿宋" w:hAnsi="仿宋" w:eastAsia="仿宋_GB2312" w:cs="仿宋"/>
          <w:b/>
          <w:bCs/>
          <w:sz w:val="32"/>
          <w:szCs w:val="32"/>
        </w:rPr>
        <w:t>二、政策资金保障到位</w:t>
      </w:r>
    </w:p>
    <w:p w14:paraId="00265C7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sz w:val="32"/>
          <w:szCs w:val="32"/>
        </w:rPr>
      </w:pPr>
      <w:r>
        <w:rPr>
          <w:rFonts w:hint="eastAsia" w:ascii="仿宋" w:hAnsi="仿宋" w:eastAsia="仿宋_GB2312" w:cs="仿宋"/>
          <w:b/>
          <w:bCs/>
          <w:sz w:val="32"/>
          <w:szCs w:val="32"/>
        </w:rPr>
        <w:t>一是</w:t>
      </w:r>
      <w:r>
        <w:rPr>
          <w:rFonts w:hint="eastAsia" w:ascii="仿宋" w:hAnsi="仿宋" w:eastAsia="仿宋_GB2312" w:cs="仿宋"/>
          <w:sz w:val="32"/>
          <w:szCs w:val="32"/>
        </w:rPr>
        <w:t>区政府、街道办事处应将村涉河涌及堤围设施的日常养护和应急抢险资金纳入财政预算体系，设立专项财政补贴资金。根据各村的实际情况和设施规模，按照一定的标准进行资金分配，为村级责任主体提供稳定的资金来源，用于日常巡查、小型维修、设备购置以及基本的应急物资储备等方面。对于一些经济相对薄弱的村庄，应适当提高财政补贴比例，确保其有足够的资金开展基本的养护和应急工作，避免因资金短缺而导致设施失管失修，影响防洪安全和生态环境。</w:t>
      </w:r>
    </w:p>
    <w:p w14:paraId="669CB97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sz w:val="32"/>
          <w:szCs w:val="32"/>
        </w:rPr>
      </w:pPr>
      <w:r>
        <w:rPr>
          <w:rFonts w:hint="eastAsia" w:ascii="仿宋" w:hAnsi="仿宋" w:eastAsia="仿宋_GB2312" w:cs="仿宋"/>
          <w:b/>
          <w:bCs/>
          <w:sz w:val="32"/>
          <w:szCs w:val="32"/>
        </w:rPr>
        <w:t>二是</w:t>
      </w:r>
      <w:r>
        <w:rPr>
          <w:rFonts w:hint="eastAsia" w:ascii="仿宋" w:hAnsi="仿宋" w:eastAsia="仿宋_GB2312" w:cs="仿宋"/>
          <w:sz w:val="32"/>
          <w:szCs w:val="32"/>
        </w:rPr>
        <w:t>鼓励各村充分挖掘自身的经济潜力，从村集体经济收入中提取一定比例的资金用于河涌及堤围设施的管理维护。例如，对于有集体产业、物业租赁或农业生产经营项目的村庄，可以将部分收益定向投入到水利设施的养护中，增强村庄自我保障能力。同时，引导村庄通过合理开发利用河涌及堤围周边的资源，如发展生态旅游、渔业养殖等产业，将部分收益反哺到设施的日常养护和应急抢险工作中，形成资金的良性循环。</w:t>
      </w:r>
    </w:p>
    <w:p w14:paraId="67EB6D5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sz w:val="32"/>
          <w:szCs w:val="32"/>
        </w:rPr>
      </w:pPr>
      <w:r>
        <w:rPr>
          <w:rFonts w:hint="eastAsia" w:ascii="仿宋" w:hAnsi="仿宋" w:eastAsia="仿宋_GB2312" w:cs="仿宋"/>
          <w:b/>
          <w:bCs/>
          <w:sz w:val="32"/>
          <w:szCs w:val="32"/>
        </w:rPr>
        <w:t>三是</w:t>
      </w:r>
      <w:r>
        <w:rPr>
          <w:rFonts w:hint="eastAsia" w:ascii="仿宋" w:hAnsi="仿宋" w:eastAsia="仿宋_GB2312" w:cs="仿宋"/>
          <w:sz w:val="32"/>
          <w:szCs w:val="32"/>
        </w:rPr>
        <w:t>尝试探索通过市场化手段吸引社会资本参与村涉河涌及堤围设施的管理维护。例如，采用政府购买服务或设立专项基金等方式，鼓励企业、社会组织和个人投资参与水利设施的建设与维护项目，特别是在一些具有一定经济效益潜力的生态修复、景观打造等领域，通过给予一定的政策优惠和回报机制，吸引社会资本投入资金和技术，缓解资金压力，提升设施的管理维护水平。</w:t>
      </w:r>
    </w:p>
    <w:p w14:paraId="43CF999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 w:hAnsi="仿宋" w:eastAsia="仿宋_GB2312" w:cs="仿宋"/>
          <w:b/>
          <w:bCs/>
          <w:sz w:val="32"/>
          <w:szCs w:val="32"/>
        </w:rPr>
      </w:pPr>
      <w:r>
        <w:rPr>
          <w:rFonts w:hint="eastAsia" w:ascii="仿宋" w:hAnsi="仿宋" w:eastAsia="仿宋_GB2312" w:cs="仿宋"/>
          <w:b/>
          <w:bCs/>
          <w:sz w:val="32"/>
          <w:szCs w:val="32"/>
        </w:rPr>
        <w:t>三、</w:t>
      </w:r>
      <w:bookmarkStart w:id="0" w:name="_Hlk186547976"/>
      <w:r>
        <w:rPr>
          <w:rFonts w:hint="eastAsia" w:ascii="仿宋" w:hAnsi="仿宋" w:eastAsia="仿宋_GB2312" w:cs="仿宋"/>
          <w:b/>
          <w:bCs/>
          <w:sz w:val="32"/>
          <w:szCs w:val="32"/>
        </w:rPr>
        <w:t>加强日常管理维护</w:t>
      </w:r>
      <w:bookmarkEnd w:id="0"/>
    </w:p>
    <w:p w14:paraId="538D7C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pPr>
      <w:r>
        <w:rPr>
          <w:rFonts w:hint="eastAsia" w:ascii="仿宋" w:hAnsi="仿宋" w:eastAsia="仿宋_GB2312" w:cs="仿宋"/>
          <w:sz w:val="32"/>
          <w:szCs w:val="32"/>
        </w:rPr>
        <w:t>每逢汛期和龙舟水期间，受连续强降雨影响，部分排水管网老化、雨水口被垃圾杂物堵塞，导致无法及时排水，造成地面积水、交通瘫痪，甚至威胁低洼地段房屋安全。村、社区要建立健全河涌河堤的管理维护制度，明确各部门的职责分工，雨季时期重点加强对路面易浸点的巡查力度。</w:t>
      </w:r>
    </w:p>
    <w:p w14:paraId="2D1CAC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_GB2312" w:cs="仿宋"/>
          <w:sz w:val="32"/>
          <w:szCs w:val="32"/>
        </w:rPr>
      </w:pPr>
      <w:r>
        <w:rPr>
          <w:rFonts w:hint="eastAsia" w:ascii="仿宋" w:hAnsi="仿宋" w:eastAsia="仿宋_GB2312" w:cs="仿宋"/>
          <w:sz w:val="32"/>
          <w:szCs w:val="32"/>
        </w:rPr>
        <w:t>通过明确责任主体、保障资金投入、加强日常管理维护等措施多管齐下，从而有效解决村涉河涌及堤围设施的日常养护和应急抢险所面临的问题，确保水利设施的安全稳定运行和农村地区的生态环境及居民生命财产安全。</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DC0F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D16D8C">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D16D8C">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yMTViYTJiMzUxOGVjY2NhZmY0NzZjMjVlYTg5NzMifQ=="/>
  </w:docVars>
  <w:rsids>
    <w:rsidRoot w:val="21B3617D"/>
    <w:rsid w:val="0025265E"/>
    <w:rsid w:val="00347C78"/>
    <w:rsid w:val="003C1A7F"/>
    <w:rsid w:val="003E1BCE"/>
    <w:rsid w:val="005D7C23"/>
    <w:rsid w:val="007A0051"/>
    <w:rsid w:val="009176D3"/>
    <w:rsid w:val="00956D3A"/>
    <w:rsid w:val="00971A83"/>
    <w:rsid w:val="00C20CE4"/>
    <w:rsid w:val="00D45274"/>
    <w:rsid w:val="00D47E95"/>
    <w:rsid w:val="00DE3360"/>
    <w:rsid w:val="01B16AD4"/>
    <w:rsid w:val="05754851"/>
    <w:rsid w:val="08C642F3"/>
    <w:rsid w:val="0923288D"/>
    <w:rsid w:val="0BB943AD"/>
    <w:rsid w:val="0DA64750"/>
    <w:rsid w:val="0FCB5D7C"/>
    <w:rsid w:val="21B3617D"/>
    <w:rsid w:val="267C1B68"/>
    <w:rsid w:val="29D332F9"/>
    <w:rsid w:val="2AAF5831"/>
    <w:rsid w:val="2E9100E7"/>
    <w:rsid w:val="33C278B8"/>
    <w:rsid w:val="3BE879A1"/>
    <w:rsid w:val="3E5E2F21"/>
    <w:rsid w:val="4051521A"/>
    <w:rsid w:val="44306D0A"/>
    <w:rsid w:val="4D1D74C5"/>
    <w:rsid w:val="4DCB34AF"/>
    <w:rsid w:val="52B21560"/>
    <w:rsid w:val="581806B0"/>
    <w:rsid w:val="5B177288"/>
    <w:rsid w:val="616F5A48"/>
    <w:rsid w:val="6A190855"/>
    <w:rsid w:val="6A457DD4"/>
    <w:rsid w:val="6F094457"/>
    <w:rsid w:val="72363BBA"/>
    <w:rsid w:val="7BE07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bidi="zh-CN"/>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tabs>
        <w:tab w:val="center" w:pos="4153"/>
        <w:tab w:val="right" w:pos="8306"/>
      </w:tabs>
      <w:snapToGrid w:val="0"/>
      <w:jc w:val="center"/>
    </w:pPr>
    <w:rPr>
      <w:sz w:val="18"/>
      <w:szCs w:val="18"/>
    </w:rPr>
  </w:style>
  <w:style w:type="paragraph" w:styleId="5">
    <w:name w:val="toc 2"/>
    <w:basedOn w:val="1"/>
    <w:next w:val="1"/>
    <w:qFormat/>
    <w:uiPriority w:val="0"/>
    <w:pPr>
      <w:ind w:left="420" w:leftChars="200"/>
    </w:pPr>
  </w:style>
  <w:style w:type="paragraph" w:customStyle="1" w:styleId="8">
    <w:name w:val="目录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1896</Words>
  <Characters>1905</Characters>
  <Lines>12</Lines>
  <Paragraphs>3</Paragraphs>
  <TotalTime>0</TotalTime>
  <ScaleCrop>false</ScaleCrop>
  <LinksUpToDate>false</LinksUpToDate>
  <CharactersWithSpaces>1922</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2024-12-31T06:08:00Z</dcterms:created>
  <dc:creator>土鳖</dc:creator>
  <cp:lastModifiedBy>user</cp:lastModifiedBy>
  <cp:lastPrinted>2025-01-06T07:28:00Z</cp:lastPrinted>
  <dcterms:modified xsi:type="dcterms:W3CDTF">2026-01-06T03:38:52Z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B39B0F74A92845F28A0F35FE81F91F36_11</vt:lpwstr>
  </property>
  <property fmtid="{D5CDD505-2E9C-101B-9397-08002B2CF9AE}" pid="4" name="KSOTemplateDocerSaveRecord">
    <vt:lpwstr>eyJoZGlkIjoiNGUyMTViYTJiMzUxOGVjY2NhZmY0NzZjMjVlYTg5NzMifQ==</vt:lpwstr>
  </property>
</Properties>
</file>