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E5D4F">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101</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7C89AF0F">
      <w:pPr>
        <w:jc w:val="center"/>
        <w:rPr>
          <w:rFonts w:hint="eastAsia" w:ascii="小标宋" w:hAnsi="黑体" w:eastAsia="小标宋"/>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次会议提案</w:t>
      </w:r>
    </w:p>
    <w:tbl>
      <w:tblPr>
        <w:tblStyle w:val="10"/>
        <w:tblW w:w="898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745"/>
        <w:gridCol w:w="435"/>
        <w:gridCol w:w="1305"/>
        <w:gridCol w:w="945"/>
        <w:gridCol w:w="1395"/>
      </w:tblGrid>
      <w:tr w14:paraId="6E53E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center"/>
          </w:tcPr>
          <w:p w14:paraId="3051C6FE">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825" w:type="dxa"/>
            <w:gridSpan w:val="5"/>
            <w:tcBorders>
              <w:top w:val="single" w:color="auto" w:sz="4" w:space="0"/>
              <w:left w:val="single" w:color="auto" w:sz="4" w:space="0"/>
              <w:bottom w:val="single" w:color="auto" w:sz="4" w:space="0"/>
              <w:right w:val="single" w:color="auto" w:sz="4" w:space="0"/>
            </w:tcBorders>
            <w:noWrap w:val="0"/>
            <w:vAlign w:val="center"/>
          </w:tcPr>
          <w:p w14:paraId="33885D2C">
            <w:pPr>
              <w:spacing w:line="680" w:lineRule="exact"/>
              <w:jc w:val="center"/>
              <w:rPr>
                <w:rFonts w:hint="default" w:ascii="仿宋_GB2312" w:hAnsi="宋体" w:eastAsia="宋体"/>
                <w:sz w:val="32"/>
                <w:szCs w:val="32"/>
                <w:lang w:val="en-US" w:eastAsia="zh-CN"/>
              </w:rPr>
            </w:pPr>
            <w:r>
              <w:rPr>
                <w:rFonts w:hint="eastAsia" w:ascii="仿宋_GB2312" w:hAnsi="宋体" w:eastAsia="仿宋_GB2312"/>
                <w:sz w:val="32"/>
                <w:szCs w:val="32"/>
                <w:lang w:val="en-US" w:eastAsia="zh-CN"/>
              </w:rPr>
              <w:t>关于加强番禺区信息技术企业出海扶持政策力度的建议</w:t>
            </w:r>
          </w:p>
        </w:tc>
      </w:tr>
      <w:tr w14:paraId="25ECF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center"/>
          </w:tcPr>
          <w:p w14:paraId="1551B0E2">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3180" w:type="dxa"/>
            <w:gridSpan w:val="2"/>
            <w:tcBorders>
              <w:top w:val="single" w:color="auto" w:sz="4" w:space="0"/>
              <w:left w:val="single" w:color="auto" w:sz="4" w:space="0"/>
              <w:bottom w:val="single" w:color="auto" w:sz="4" w:space="0"/>
              <w:right w:val="single" w:color="auto" w:sz="4" w:space="0"/>
            </w:tcBorders>
            <w:noWrap w:val="0"/>
            <w:vAlign w:val="center"/>
          </w:tcPr>
          <w:p w14:paraId="5E294967">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政协小谷围街工作室(吴秀诚)</w:t>
            </w:r>
          </w:p>
        </w:tc>
        <w:tc>
          <w:tcPr>
            <w:tcW w:w="1305" w:type="dxa"/>
            <w:tcBorders>
              <w:top w:val="single" w:color="auto" w:sz="4" w:space="0"/>
              <w:left w:val="single" w:color="auto" w:sz="4" w:space="0"/>
              <w:bottom w:val="single" w:color="auto" w:sz="4" w:space="0"/>
              <w:right w:val="single" w:color="auto" w:sz="4" w:space="0"/>
            </w:tcBorders>
            <w:noWrap w:val="0"/>
            <w:vAlign w:val="center"/>
          </w:tcPr>
          <w:p w14:paraId="57289BED">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7CA1083F">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吴秀诚</w:t>
            </w:r>
          </w:p>
        </w:tc>
      </w:tr>
      <w:tr w14:paraId="1D04E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center"/>
          </w:tcPr>
          <w:p w14:paraId="6D5D245F">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3180" w:type="dxa"/>
            <w:gridSpan w:val="2"/>
            <w:tcBorders>
              <w:top w:val="single" w:color="auto" w:sz="4" w:space="0"/>
              <w:left w:val="single" w:color="auto" w:sz="4" w:space="0"/>
              <w:bottom w:val="single" w:color="auto" w:sz="4" w:space="0"/>
              <w:right w:val="single" w:color="auto" w:sz="4" w:space="0"/>
            </w:tcBorders>
            <w:noWrap w:val="0"/>
            <w:vAlign w:val="center"/>
          </w:tcPr>
          <w:p w14:paraId="7A2D4A85">
            <w:pPr>
              <w:spacing w:line="680" w:lineRule="exact"/>
              <w:jc w:val="center"/>
              <w:rPr>
                <w:rFonts w:hint="default" w:ascii="仿宋_GB2312" w:hAnsi="宋体" w:eastAsia="仿宋_GB2312"/>
                <w:sz w:val="32"/>
                <w:szCs w:val="32"/>
                <w:lang w:val="en-US" w:eastAsia="zh-CN"/>
              </w:rPr>
            </w:pPr>
            <w:r>
              <w:rPr>
                <w:rFonts w:hint="default" w:ascii="仿宋_GB2312" w:hAnsi="宋体" w:eastAsia="仿宋_GB2312"/>
                <w:sz w:val="32"/>
                <w:szCs w:val="32"/>
                <w:lang w:val="en-US" w:eastAsia="zh-CN"/>
              </w:rPr>
              <w:t>广东盈世计算机科技有限公司</w:t>
            </w:r>
          </w:p>
        </w:tc>
        <w:tc>
          <w:tcPr>
            <w:tcW w:w="1305" w:type="dxa"/>
            <w:tcBorders>
              <w:top w:val="single" w:color="auto" w:sz="4" w:space="0"/>
              <w:left w:val="single" w:color="auto" w:sz="4" w:space="0"/>
              <w:bottom w:val="single" w:color="auto" w:sz="4" w:space="0"/>
              <w:right w:val="single" w:color="auto" w:sz="4" w:space="0"/>
            </w:tcBorders>
            <w:noWrap w:val="0"/>
            <w:vAlign w:val="center"/>
          </w:tcPr>
          <w:p w14:paraId="6F03CEEC">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1BC00DE5">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副总裁</w:t>
            </w:r>
          </w:p>
        </w:tc>
      </w:tr>
      <w:tr w14:paraId="1B88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top"/>
          </w:tcPr>
          <w:p w14:paraId="71C6C925">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745" w:type="dxa"/>
            <w:tcBorders>
              <w:top w:val="single" w:color="auto" w:sz="4" w:space="0"/>
              <w:left w:val="single" w:color="auto" w:sz="4" w:space="0"/>
              <w:bottom w:val="single" w:color="auto" w:sz="4" w:space="0"/>
              <w:right w:val="single" w:color="auto" w:sz="4" w:space="0"/>
            </w:tcBorders>
            <w:noWrap w:val="0"/>
            <w:vAlign w:val="top"/>
          </w:tcPr>
          <w:p w14:paraId="670ACBCF">
            <w:pPr>
              <w:spacing w:line="680" w:lineRule="exact"/>
              <w:rPr>
                <w:rFonts w:hint="default" w:ascii="仿宋_GB2312" w:hAnsi="宋体" w:eastAsia="仿宋_GB2312"/>
                <w:sz w:val="32"/>
                <w:szCs w:val="32"/>
                <w:lang w:val="en-US" w:eastAsia="zh-CN"/>
              </w:rPr>
            </w:pPr>
          </w:p>
        </w:tc>
        <w:tc>
          <w:tcPr>
            <w:tcW w:w="1740" w:type="dxa"/>
            <w:gridSpan w:val="2"/>
            <w:tcBorders>
              <w:top w:val="single" w:color="auto" w:sz="4" w:space="0"/>
              <w:left w:val="single" w:color="auto" w:sz="4" w:space="0"/>
              <w:bottom w:val="single" w:color="auto" w:sz="4" w:space="0"/>
              <w:right w:val="single" w:color="auto" w:sz="4" w:space="0"/>
            </w:tcBorders>
            <w:noWrap w:val="0"/>
            <w:vAlign w:val="top"/>
          </w:tcPr>
          <w:p w14:paraId="20CFF690">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40" w:type="dxa"/>
            <w:gridSpan w:val="2"/>
            <w:tcBorders>
              <w:top w:val="single" w:color="auto" w:sz="4" w:space="0"/>
              <w:left w:val="single" w:color="auto" w:sz="4" w:space="0"/>
              <w:bottom w:val="single" w:color="auto" w:sz="4" w:space="0"/>
              <w:right w:val="single" w:color="auto" w:sz="4" w:space="0"/>
            </w:tcBorders>
            <w:noWrap w:val="0"/>
            <w:vAlign w:val="top"/>
          </w:tcPr>
          <w:p w14:paraId="5532E7A6">
            <w:pPr>
              <w:spacing w:line="680" w:lineRule="exact"/>
              <w:rPr>
                <w:rFonts w:hint="default" w:ascii="仿宋_GB2312" w:hAnsi="宋体" w:eastAsia="仿宋_GB2312"/>
                <w:sz w:val="32"/>
                <w:szCs w:val="32"/>
                <w:lang w:val="en-US" w:eastAsia="zh-CN"/>
              </w:rPr>
            </w:pPr>
          </w:p>
        </w:tc>
      </w:tr>
      <w:tr w14:paraId="254E7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center"/>
          </w:tcPr>
          <w:p w14:paraId="60887AA5">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485" w:type="dxa"/>
            <w:gridSpan w:val="3"/>
            <w:tcBorders>
              <w:top w:val="single" w:color="auto" w:sz="4" w:space="0"/>
              <w:left w:val="single" w:color="auto" w:sz="4" w:space="0"/>
              <w:bottom w:val="single" w:color="auto" w:sz="4" w:space="0"/>
              <w:right w:val="single" w:color="auto" w:sz="4" w:space="0"/>
            </w:tcBorders>
            <w:noWrap w:val="0"/>
            <w:vAlign w:val="top"/>
          </w:tcPr>
          <w:p w14:paraId="560DE463">
            <w:pPr>
              <w:spacing w:line="680" w:lineRule="exact"/>
              <w:rPr>
                <w:rFonts w:hint="default" w:ascii="仿宋_GB2312" w:hAnsi="宋体" w:eastAsia="仿宋_GB2312"/>
                <w:sz w:val="32"/>
                <w:szCs w:val="32"/>
                <w:lang w:val="en-US" w:eastAsia="zh-CN"/>
              </w:rPr>
            </w:pPr>
          </w:p>
        </w:tc>
        <w:tc>
          <w:tcPr>
            <w:tcW w:w="945" w:type="dxa"/>
            <w:tcBorders>
              <w:top w:val="single" w:color="auto" w:sz="4" w:space="0"/>
              <w:left w:val="single" w:color="auto" w:sz="4" w:space="0"/>
              <w:bottom w:val="single" w:color="auto" w:sz="4" w:space="0"/>
              <w:right w:val="single" w:color="auto" w:sz="4" w:space="0"/>
            </w:tcBorders>
            <w:noWrap w:val="0"/>
            <w:vAlign w:val="center"/>
          </w:tcPr>
          <w:p w14:paraId="08711335">
            <w:pPr>
              <w:spacing w:line="680" w:lineRule="exact"/>
              <w:jc w:val="center"/>
              <w:rPr>
                <w:rFonts w:ascii="仿宋_GB2312" w:hAnsi="宋体" w:eastAsia="仿宋_GB2312"/>
                <w:sz w:val="32"/>
                <w:szCs w:val="32"/>
              </w:rPr>
            </w:pPr>
            <w:r>
              <w:rPr>
                <w:rFonts w:hint="eastAsia" w:ascii="仿宋_GB2312" w:hAnsi="宋体" w:eastAsia="仿宋_GB2312"/>
                <w:sz w:val="32"/>
                <w:szCs w:val="32"/>
              </w:rPr>
              <w:t>邮编</w:t>
            </w:r>
          </w:p>
        </w:tc>
        <w:tc>
          <w:tcPr>
            <w:tcW w:w="1395" w:type="dxa"/>
            <w:tcBorders>
              <w:top w:val="single" w:color="auto" w:sz="4" w:space="0"/>
              <w:left w:val="single" w:color="auto" w:sz="4" w:space="0"/>
              <w:bottom w:val="single" w:color="auto" w:sz="4" w:space="0"/>
              <w:right w:val="single" w:color="auto" w:sz="4" w:space="0"/>
            </w:tcBorders>
            <w:noWrap w:val="0"/>
            <w:vAlign w:val="center"/>
          </w:tcPr>
          <w:p w14:paraId="199BC236">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511400</w:t>
            </w:r>
          </w:p>
        </w:tc>
      </w:tr>
      <w:tr w14:paraId="044A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trPr>
        <w:tc>
          <w:tcPr>
            <w:tcW w:w="2160" w:type="dxa"/>
            <w:tcBorders>
              <w:top w:val="single" w:color="auto" w:sz="4" w:space="0"/>
              <w:left w:val="single" w:color="auto" w:sz="4" w:space="0"/>
              <w:bottom w:val="single" w:color="auto" w:sz="4" w:space="0"/>
              <w:right w:val="single" w:color="auto" w:sz="4" w:space="0"/>
            </w:tcBorders>
            <w:noWrap w:val="0"/>
            <w:vAlign w:val="center"/>
          </w:tcPr>
          <w:p w14:paraId="04CC2E7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14:paraId="03FB0F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825" w:type="dxa"/>
            <w:gridSpan w:val="5"/>
            <w:tcBorders>
              <w:top w:val="single" w:color="auto" w:sz="4" w:space="0"/>
              <w:left w:val="single" w:color="auto" w:sz="4" w:space="0"/>
              <w:bottom w:val="single" w:color="auto" w:sz="4" w:space="0"/>
              <w:right w:val="single" w:color="auto" w:sz="4" w:space="0"/>
            </w:tcBorders>
            <w:noWrap w:val="0"/>
            <w:vAlign w:val="top"/>
          </w:tcPr>
          <w:p w14:paraId="70CDA19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宋体" w:eastAsia="仿宋_GB2312"/>
                <w:sz w:val="32"/>
                <w:szCs w:val="32"/>
                <w:lang w:val="en-US" w:eastAsia="zh-CN"/>
              </w:rPr>
            </w:pPr>
          </w:p>
        </w:tc>
      </w:tr>
      <w:tr w14:paraId="09642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2160" w:type="dxa"/>
            <w:tcBorders>
              <w:top w:val="single" w:color="auto" w:sz="4" w:space="0"/>
              <w:left w:val="single" w:color="auto" w:sz="4" w:space="0"/>
              <w:bottom w:val="single" w:color="auto" w:sz="4" w:space="0"/>
              <w:right w:val="single" w:color="auto" w:sz="4" w:space="0"/>
            </w:tcBorders>
            <w:noWrap w:val="0"/>
            <w:vAlign w:val="center"/>
          </w:tcPr>
          <w:p w14:paraId="555FF9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6ACE71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6825" w:type="dxa"/>
            <w:gridSpan w:val="5"/>
            <w:tcBorders>
              <w:top w:val="single" w:color="auto" w:sz="4" w:space="0"/>
              <w:left w:val="single" w:color="auto" w:sz="4" w:space="0"/>
              <w:bottom w:val="single" w:color="auto" w:sz="4" w:space="0"/>
              <w:right w:val="single" w:color="auto" w:sz="4" w:space="0"/>
            </w:tcBorders>
            <w:noWrap w:val="0"/>
            <w:vAlign w:val="center"/>
          </w:tcPr>
          <w:p w14:paraId="45227B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lang w:val="en-US" w:eastAsia="zh-CN"/>
              </w:rPr>
              <w:t>同意立案</w:t>
            </w:r>
          </w:p>
        </w:tc>
      </w:tr>
    </w:tbl>
    <w:p w14:paraId="5F5ECAEB">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14:paraId="1313F88A">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14:paraId="7086247B">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p>
    <w:p w14:paraId="5D82B423">
      <w:pPr>
        <w:rPr>
          <w:rFonts w:hint="eastAsia" w:ascii="宋体" w:hAnsi="宋体"/>
          <w:sz w:val="30"/>
          <w:szCs w:val="30"/>
          <w:lang w:eastAsia="zh-CN"/>
        </w:rPr>
      </w:pPr>
      <w:r>
        <w:rPr>
          <w:rFonts w:hint="eastAsia" w:ascii="宋体" w:hAnsi="宋体"/>
          <w:sz w:val="30"/>
          <w:szCs w:val="30"/>
          <w:lang w:eastAsia="zh-CN"/>
        </w:rPr>
        <w:br w:type="page"/>
      </w:r>
    </w:p>
    <w:p w14:paraId="73246A7D">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b/>
          <w:sz w:val="32"/>
          <w:szCs w:val="32"/>
        </w:rPr>
      </w:pPr>
      <w:r>
        <w:rPr>
          <w:rFonts w:hint="eastAsia" w:ascii="黑体" w:hAnsi="黑体" w:eastAsia="黑体"/>
          <w:b/>
          <w:sz w:val="32"/>
          <w:szCs w:val="32"/>
        </w:rPr>
        <w:t>理由：</w:t>
      </w:r>
    </w:p>
    <w:p w14:paraId="0B1790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经济全球化的大背景下，国际贸易形势不断变化，企业出海已成为区域经济发展的重要增长引擎。作为粤港澳大湾区的核心区域之一，为了抓住机遇、应对挑战，番禺区应结合自身产业特色与优势，出台相关扶持政策，鼓励企业积极参与国际贸易，进一步激发本地企业的创新活力和市场竞争力，推动区域经济的高质量发展。</w:t>
      </w:r>
    </w:p>
    <w:p w14:paraId="53F6323E">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随着全球数字化进程的加速，信息行业产品和服务在国际市场上的需求持续增长。番禺区信息技术企业拥有先进的技术和丰富的经验，具备走向国际市场的潜力。</w:t>
      </w:r>
      <w:r>
        <w:rPr>
          <w:rFonts w:hint="eastAsia" w:ascii="仿宋_GB2312" w:hAnsi="仿宋_GB2312" w:eastAsia="仿宋_GB2312" w:cs="仿宋_GB2312"/>
          <w:sz w:val="32"/>
          <w:szCs w:val="32"/>
          <w:lang w:val="en-US" w:eastAsia="zh-CN"/>
        </w:rPr>
        <w:t>目前，番禺区虽有部分企业积极参与国际市场竞争，但在出海过程中仍面临诸多挑战。番禺区现有的出海政策，主要面向跨境电商平台及制造行业，如跨境电商平台聚集发展政策、二手车出口服务基地建设等，针对信息技术企业出海的扶持政策相对较少，在资金扶持、贸易便利化、专业服务配套等方面存在明显不足，企业在出海过程中缺乏足够的政策支持和保障，导致部分企业在海外拓展业务时动力不足、风险应对能力较弱，难以充分利用国际市场资源实现跨越式发展。</w:t>
      </w:r>
    </w:p>
    <w:p w14:paraId="413D357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7240C4B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b/>
          <w:sz w:val="32"/>
          <w:szCs w:val="32"/>
        </w:rPr>
      </w:pPr>
      <w:r>
        <w:rPr>
          <w:rFonts w:hint="eastAsia" w:ascii="黑体" w:hAnsi="黑体" w:eastAsia="黑体"/>
          <w:b/>
          <w:sz w:val="32"/>
          <w:szCs w:val="32"/>
          <w:lang w:eastAsia="zh-CN"/>
        </w:rPr>
        <w:t>办法</w:t>
      </w:r>
      <w:r>
        <w:rPr>
          <w:rFonts w:hint="eastAsia" w:ascii="黑体" w:hAnsi="黑体" w:eastAsia="黑体"/>
          <w:b/>
          <w:sz w:val="32"/>
          <w:szCs w:val="32"/>
        </w:rPr>
        <w:t>：</w:t>
      </w:r>
    </w:p>
    <w:p w14:paraId="1279E2B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70" w:leftChars="0" w:firstLine="560" w:firstLineChars="0"/>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加强政策协同与产业引导</w:t>
      </w:r>
    </w:p>
    <w:p w14:paraId="18C528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成立番禺区企业出海工作领导小组，由区政府主要领导担任组长，成员涵盖商务、科技、金融、税务等相关部门。定期召开联席会议，整合各部门资源，统筹制定企业出海战略规划和政策措施，确保各项政策之间紧密协同，避免政策碎片化和部门之间的推诿现象。</w:t>
      </w:r>
    </w:p>
    <w:p w14:paraId="7B37CE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深入调研番禺区信息产业特点，梳理出具有出海潜力的优势企业及企业出海面临的各种困难，制定个性化的信息产业出海扶持政策，引导企业向高附加值、高科技含量的方向转型升级，提升在国际市场上的产品竞争力和品牌影响力。如鼓励信息行业企业与国外科研机构合作研发，对引进国外先进技术和设备给予补贴等。</w:t>
      </w:r>
    </w:p>
    <w:p w14:paraId="39DF95C8">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70" w:leftChars="0" w:firstLine="560" w:firstLineChars="0"/>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加大资金扶持力度</w:t>
      </w:r>
    </w:p>
    <w:p w14:paraId="512F5F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设立信息技术行业企业出海专项基金，用于支持企业海外投资、市场拓展、技术研发、人才引进、品牌建设等关键环节。如对企业在海外新建生产基地、研发中心、销售中心或并购国外优质企业的项目，给予一定比例的投资补贴或贷款贴息，降低企业海外投资风险和成本；对于参加国际知名展会的企业，给予展位费、展品运输费等相应补贴，帮助企业展示产品、拓展客户资源；对企业在海外开展的广告宣传、电商平台建设等品牌推广活动给予一定的资金支持，提升番禺区企业品牌在国际市场上的知名度和美誉度。</w:t>
      </w:r>
    </w:p>
    <w:p w14:paraId="40B0A5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2.提高对企业出口信用保险的补贴比例，鼓励企业购买出口信用保险，保障企业在海外贸易中的收款安全。鼓励金融机构为信息行业企业提供多样化的融资服务，如信用贷款、抵押贷款、股权融资等。</w:t>
      </w:r>
    </w:p>
    <w:p w14:paraId="3415F29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70" w:leftChars="0" w:firstLine="560" w:firstLineChars="0"/>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提升贸易便利化水平</w:t>
      </w:r>
    </w:p>
    <w:p w14:paraId="156137A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加快推进番禺区国际贸易 “单一窗口” 建设，整合海关、检验、税务、外汇等部门的业务流程，实现企业进出口申报、审批、监管等环节的一站式办理。简化通关手续，推行无纸化报关和智能查验，提高货物通关效率，降低企业通关成本和时间成本。</w:t>
      </w:r>
    </w:p>
    <w:p w14:paraId="666A2B5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同时，简化政策申请和审批流程，提高政策兑现效率，并建立政策执行效果的评估和反馈机制，确保政策能够真正惠及企业。</w:t>
      </w:r>
    </w:p>
    <w:p w14:paraId="702A772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70" w:leftChars="0" w:firstLine="560" w:firstLineChars="0"/>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完善专业服务配套</w:t>
      </w:r>
    </w:p>
    <w:p w14:paraId="010452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设立国际贸易咨询窗口，为企业提供便捷的咨询服务，帮助企业解决出海过程中遇到的问题。此外，定期举办国际贸易规则培训班，邀请专家为信息技术行业企业解读国际贸易规则、海关政策等，协助企业熟悉国际贸易规则。</w:t>
      </w:r>
    </w:p>
    <w:p w14:paraId="7B98B2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加强与国内外专业服务机构的合作，引进一批在国际法律、会计、税务、知识产权保护等方面具有丰富经验的服务机构落户番禺区。同时，依托区内高校、科研院所和行业协会，搭建企业出海公共服务平台，为企业提供海外市场调研、法律咨询、财务审计、知识产权申请与保护、国际认证等一站式专业服务。对使用公共服务平台的企业给予一定的费用补贴，降低企业获取专业服务的成本。</w:t>
      </w:r>
    </w:p>
    <w:p w14:paraId="3BEBC9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知识产权是信息技术企业技术实力、创新能力和品牌价值的集中体现，涉外知识产权保护工作是信息技术企业出海面临的重要问题之一。相关部门应积极开展政策宣贯、法律培训、合规经营等主题的企业海外知识产权保护培训，鼓励企业及时在海外目标市场申请和注册专利、商标等知识产权，推动企业实施知识产权国际合规管理规范，提升海外知识产权保护和运用能力。</w:t>
      </w:r>
    </w:p>
    <w:p w14:paraId="2197B07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（五）构建国际合作网络</w:t>
      </w:r>
    </w:p>
    <w:p w14:paraId="3DEFEC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借鉴深圳市中小企业出海会客厅、黄埔区企业出海贸易促进会等建设，设立专门的企业出海组织机构，与国际知名信息行业组织、商会等建立合作关系，组织企业参加国际展会、研讨会等活动，为番禺区信息行业企业提供国际合作与交流平台，拓展海外市场和人脉资源。鼓励番禺区信息行业出海企业之间组建战略联盟，开展联合研发、市场拓展、品牌推广等合作，实现资源共享和优势互补，共同应对市场挑战和竞争压力。</w:t>
      </w:r>
    </w:p>
    <w:p w14:paraId="318E22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p>
    <w:p w14:paraId="1D5759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结语：</w:t>
      </w:r>
    </w:p>
    <w:p w14:paraId="1707F0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加强番禺区信息技术企业出海扶持政策对于推动番禺区信息行业高质量发展具有重要意义。通过加强政策协同与产业引导、加大资金扶持力度、提升贸易便利化水平、完善专业服务配套、构建国际合作网络等措施</w:t>
      </w:r>
      <w:r>
        <w:rPr>
          <w:rFonts w:hint="default"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可以</w:t>
      </w:r>
      <w:r>
        <w:rPr>
          <w:rFonts w:hint="default" w:ascii="仿宋_GB2312" w:hAnsi="仿宋_GB2312" w:eastAsia="仿宋_GB2312" w:cs="仿宋_GB2312"/>
          <w:kern w:val="2"/>
          <w:sz w:val="32"/>
          <w:szCs w:val="32"/>
          <w:lang w:val="en-US" w:eastAsia="zh-CN" w:bidi="ar-SA"/>
        </w:rPr>
        <w:t>有效</w:t>
      </w:r>
      <w:r>
        <w:rPr>
          <w:rFonts w:hint="eastAsia" w:ascii="仿宋_GB2312" w:hAnsi="仿宋_GB2312" w:eastAsia="仿宋_GB2312" w:cs="仿宋_GB2312"/>
          <w:kern w:val="2"/>
          <w:sz w:val="32"/>
          <w:szCs w:val="32"/>
          <w:lang w:val="en-US" w:eastAsia="zh-CN" w:bidi="ar-SA"/>
        </w:rPr>
        <w:t>提升番禺区信息行业企业的国际竞争力，推动其更好地走向国际市场</w:t>
      </w:r>
      <w:r>
        <w:rPr>
          <w:rFonts w:hint="default" w:ascii="仿宋_GB2312" w:hAnsi="仿宋_GB2312" w:eastAsia="仿宋_GB2312" w:cs="仿宋_GB2312"/>
          <w:kern w:val="2"/>
          <w:sz w:val="32"/>
          <w:szCs w:val="32"/>
          <w:lang w:val="en-US" w:eastAsia="zh-CN" w:bidi="ar-SA"/>
        </w:rPr>
        <w:t>。在实施过程中，要注重政策的协同性、资金的保障力度，确保政策能够真正惠及企业，为番禺区经济的高质量发展注入新的活力。</w:t>
      </w:r>
    </w:p>
    <w:p w14:paraId="5CCC789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 w:hAnsi="楷体" w:eastAsia="楷体" w:cs="楷体"/>
          <w:sz w:val="32"/>
          <w:szCs w:val="32"/>
          <w:lang w:val="en-US" w:eastAsia="zh-CN"/>
        </w:rPr>
      </w:pPr>
      <w:bookmarkStart w:id="0" w:name="_GoBack"/>
      <w:bookmarkEnd w:id="0"/>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5899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A6DD87">
                          <w:pPr>
                            <w:pStyle w:val="7"/>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j5Mq94BAAC+AwAADgAAAGRycy9lMm9Eb2MueG1srVNLjhMxEN0jcQfL&#10;e+KeaIS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WPkyr3gEAAL4DAAAOAAAAAAAA&#10;AAEAIAAAAB4BAABkcnMvZTJvRG9jLnhtbFBLBQYAAAAABgAGAFkBAABuBQAAAAA=&#10;">
              <v:fill on="f" focussize="0,0"/>
              <v:stroke on="f"/>
              <v:imagedata o:title=""/>
              <o:lock v:ext="edit" aspectratio="f"/>
              <v:textbox inset="0mm,0mm,0mm,0mm" style="mso-fit-shape-to-text:t;">
                <w:txbxContent>
                  <w:p w14:paraId="20A6DD87">
                    <w:pPr>
                      <w:pStyle w:val="7"/>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8E43DE"/>
    <w:multiLevelType w:val="singleLevel"/>
    <w:tmpl w:val="738E43DE"/>
    <w:lvl w:ilvl="0" w:tentative="0">
      <w:start w:val="1"/>
      <w:numFmt w:val="chineseCounting"/>
      <w:suff w:val="nothing"/>
      <w:lvlText w:val="（%1）"/>
      <w:lvlJc w:val="left"/>
      <w:pPr>
        <w:ind w:left="7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8B5614"/>
    <w:rsid w:val="01832034"/>
    <w:rsid w:val="01A83C12"/>
    <w:rsid w:val="02E67B67"/>
    <w:rsid w:val="037856E2"/>
    <w:rsid w:val="03E825F7"/>
    <w:rsid w:val="071C4593"/>
    <w:rsid w:val="08032104"/>
    <w:rsid w:val="082A74C0"/>
    <w:rsid w:val="09E35B01"/>
    <w:rsid w:val="0A5D59A6"/>
    <w:rsid w:val="0B3E1E8C"/>
    <w:rsid w:val="0B563D5F"/>
    <w:rsid w:val="0BE913A0"/>
    <w:rsid w:val="0D4C3619"/>
    <w:rsid w:val="0D7B0E47"/>
    <w:rsid w:val="0D903407"/>
    <w:rsid w:val="0E0512BA"/>
    <w:rsid w:val="101B10D0"/>
    <w:rsid w:val="104073F0"/>
    <w:rsid w:val="11AC44A3"/>
    <w:rsid w:val="122779D3"/>
    <w:rsid w:val="127F1866"/>
    <w:rsid w:val="13405DEA"/>
    <w:rsid w:val="14C3007C"/>
    <w:rsid w:val="1600170A"/>
    <w:rsid w:val="17B1375A"/>
    <w:rsid w:val="19BE3B17"/>
    <w:rsid w:val="19CE0CC8"/>
    <w:rsid w:val="1B9A21BF"/>
    <w:rsid w:val="1BD257C7"/>
    <w:rsid w:val="1C622326"/>
    <w:rsid w:val="1C83224E"/>
    <w:rsid w:val="1EAE0924"/>
    <w:rsid w:val="1EF04B68"/>
    <w:rsid w:val="1F8D68EA"/>
    <w:rsid w:val="212C69FD"/>
    <w:rsid w:val="215E7F47"/>
    <w:rsid w:val="219A6BE4"/>
    <w:rsid w:val="224707C2"/>
    <w:rsid w:val="2317356B"/>
    <w:rsid w:val="23870B70"/>
    <w:rsid w:val="23A56C9E"/>
    <w:rsid w:val="23ED0A91"/>
    <w:rsid w:val="24394569"/>
    <w:rsid w:val="24797AB8"/>
    <w:rsid w:val="278F0C96"/>
    <w:rsid w:val="282500FE"/>
    <w:rsid w:val="28554D9C"/>
    <w:rsid w:val="28ED0377"/>
    <w:rsid w:val="295502AF"/>
    <w:rsid w:val="297E6C0B"/>
    <w:rsid w:val="2B2579B7"/>
    <w:rsid w:val="2D660AD0"/>
    <w:rsid w:val="2D8D3ECA"/>
    <w:rsid w:val="2DFE66FF"/>
    <w:rsid w:val="2ED31023"/>
    <w:rsid w:val="30055B34"/>
    <w:rsid w:val="30302CF0"/>
    <w:rsid w:val="3090631B"/>
    <w:rsid w:val="31126BC0"/>
    <w:rsid w:val="31E477A8"/>
    <w:rsid w:val="32752228"/>
    <w:rsid w:val="3334177C"/>
    <w:rsid w:val="33BF0CCC"/>
    <w:rsid w:val="34125B33"/>
    <w:rsid w:val="34DE4DD6"/>
    <w:rsid w:val="34F21D71"/>
    <w:rsid w:val="3509386D"/>
    <w:rsid w:val="35B00755"/>
    <w:rsid w:val="37826121"/>
    <w:rsid w:val="3789593C"/>
    <w:rsid w:val="384D02A2"/>
    <w:rsid w:val="394D11FA"/>
    <w:rsid w:val="3AD15CB4"/>
    <w:rsid w:val="3C400D78"/>
    <w:rsid w:val="3D3F6549"/>
    <w:rsid w:val="3E761C34"/>
    <w:rsid w:val="3F490832"/>
    <w:rsid w:val="406E1939"/>
    <w:rsid w:val="41281AE7"/>
    <w:rsid w:val="431830C3"/>
    <w:rsid w:val="43DF5BD9"/>
    <w:rsid w:val="43F860E9"/>
    <w:rsid w:val="45324199"/>
    <w:rsid w:val="462D586E"/>
    <w:rsid w:val="46CF5452"/>
    <w:rsid w:val="47C955B3"/>
    <w:rsid w:val="47E44B95"/>
    <w:rsid w:val="4801747A"/>
    <w:rsid w:val="492B68D9"/>
    <w:rsid w:val="4ACB09AC"/>
    <w:rsid w:val="4B6252AD"/>
    <w:rsid w:val="4C816A9A"/>
    <w:rsid w:val="4DA84DAC"/>
    <w:rsid w:val="4DE17BEE"/>
    <w:rsid w:val="4ED64BB2"/>
    <w:rsid w:val="4FB06FC2"/>
    <w:rsid w:val="50454190"/>
    <w:rsid w:val="50C87CE9"/>
    <w:rsid w:val="50CB040C"/>
    <w:rsid w:val="511701F2"/>
    <w:rsid w:val="527A25E3"/>
    <w:rsid w:val="52D23801"/>
    <w:rsid w:val="55224BD1"/>
    <w:rsid w:val="56CD16A8"/>
    <w:rsid w:val="56D7096E"/>
    <w:rsid w:val="57D47180"/>
    <w:rsid w:val="580A28D4"/>
    <w:rsid w:val="5AB45281"/>
    <w:rsid w:val="5B320377"/>
    <w:rsid w:val="5B6854AA"/>
    <w:rsid w:val="5C591246"/>
    <w:rsid w:val="5C7634E9"/>
    <w:rsid w:val="5DEA7AEA"/>
    <w:rsid w:val="5EEB6791"/>
    <w:rsid w:val="602202D4"/>
    <w:rsid w:val="605F1EF8"/>
    <w:rsid w:val="60831C82"/>
    <w:rsid w:val="60B824C2"/>
    <w:rsid w:val="615215B4"/>
    <w:rsid w:val="61811882"/>
    <w:rsid w:val="62161780"/>
    <w:rsid w:val="633846AD"/>
    <w:rsid w:val="63665EC6"/>
    <w:rsid w:val="637013A0"/>
    <w:rsid w:val="63CD4168"/>
    <w:rsid w:val="66187D59"/>
    <w:rsid w:val="67255941"/>
    <w:rsid w:val="6739377F"/>
    <w:rsid w:val="67A26809"/>
    <w:rsid w:val="67EA744A"/>
    <w:rsid w:val="68275505"/>
    <w:rsid w:val="6917217B"/>
    <w:rsid w:val="694D2124"/>
    <w:rsid w:val="6A1B48A6"/>
    <w:rsid w:val="6BC12D75"/>
    <w:rsid w:val="6BDC05A5"/>
    <w:rsid w:val="6C0A560E"/>
    <w:rsid w:val="6C6B37B5"/>
    <w:rsid w:val="6E96157F"/>
    <w:rsid w:val="6EA14B04"/>
    <w:rsid w:val="6F221003"/>
    <w:rsid w:val="6FD079FB"/>
    <w:rsid w:val="70FC2E9F"/>
    <w:rsid w:val="71750CBE"/>
    <w:rsid w:val="71A60178"/>
    <w:rsid w:val="73AF50D6"/>
    <w:rsid w:val="74AD2224"/>
    <w:rsid w:val="74C35115"/>
    <w:rsid w:val="74E13899"/>
    <w:rsid w:val="75086B9C"/>
    <w:rsid w:val="753366D1"/>
    <w:rsid w:val="757F3C67"/>
    <w:rsid w:val="777C0A88"/>
    <w:rsid w:val="78F35037"/>
    <w:rsid w:val="79A23534"/>
    <w:rsid w:val="7D597A4E"/>
    <w:rsid w:val="7F5434CC"/>
    <w:rsid w:val="7F737F4A"/>
    <w:rsid w:val="7F8F6B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cs="Times New Roman"/>
    </w:rPr>
  </w:style>
  <w:style w:type="paragraph" w:styleId="3">
    <w:name w:val="Body Text"/>
    <w:basedOn w:val="1"/>
    <w:next w:val="4"/>
    <w:qFormat/>
    <w:uiPriority w:val="0"/>
    <w:rPr>
      <w:rFonts w:ascii="Calibri" w:hAnsi="Calibri" w:eastAsia="仿宋_GB2312"/>
      <w:sz w:val="32"/>
      <w:szCs w:val="20"/>
    </w:rPr>
  </w:style>
  <w:style w:type="paragraph" w:styleId="4">
    <w:name w:val="toc 5"/>
    <w:basedOn w:val="1"/>
    <w:next w:val="1"/>
    <w:qFormat/>
    <w:uiPriority w:val="0"/>
    <w:pPr>
      <w:ind w:left="168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Emphasis"/>
    <w:basedOn w:val="11"/>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2258</Words>
  <Characters>2292</Characters>
  <Lines>0</Lines>
  <Paragraphs>0</Paragraphs>
  <TotalTime>0</TotalTime>
  <ScaleCrop>false</ScaleCrop>
  <LinksUpToDate>false</LinksUpToDate>
  <CharactersWithSpaces>2304</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2020-05-08T00:50:00Z</dcterms:created>
  <dc:creator>Administrator</dc:creator>
  <cp:lastModifiedBy>user</cp:lastModifiedBy>
  <dcterms:modified xsi:type="dcterms:W3CDTF">2026-01-06T03:38:21Z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2CC804FCFD03454AADFE85798006620B_13</vt:lpwstr>
  </property>
  <property fmtid="{D5CDD505-2E9C-101B-9397-08002B2CF9AE}" pid="4" name="KSOTemplateDocerSaveRecord">
    <vt:lpwstr>eyJoZGlkIjoiNTBlMDlmYWRhYTlhMWMxY2RiYTY4MWViMzNhNzE4N2UiLCJ1c2VySWQiOiIxNDc4ODMwMzQ3In0=</vt:lpwstr>
  </property>
</Properties>
</file>