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115A2">
      <w:pPr>
        <w:spacing w:line="520" w:lineRule="exact"/>
        <w:jc w:val="right"/>
        <w:rPr>
          <w:rFonts w:hint="eastAsia" w:ascii="仿宋_GB2312" w:hAnsi="仿宋_GB2312" w:eastAsia="仿宋_GB2312" w:cs="仿宋_GB2312"/>
          <w:sz w:val="32"/>
          <w:szCs w:val="32"/>
        </w:rPr>
      </w:pPr>
      <w:r>
        <w:t xml:space="preserve">                                 </w:t>
      </w:r>
      <w:r>
        <w:rPr>
          <w:sz w:val="32"/>
          <w:szCs w:val="32"/>
        </w:rPr>
        <w:t xml:space="preserve">    </w:t>
      </w:r>
      <w:r>
        <w:rPr>
          <w:rFonts w:hint="eastAsia" w:ascii="仿宋_GB2312" w:hAnsi="仿宋_GB2312" w:eastAsia="仿宋_GB2312" w:cs="仿宋_GB2312"/>
          <w:sz w:val="32"/>
          <w:szCs w:val="32"/>
        </w:rPr>
        <w:t xml:space="preserve">   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62</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号</w:t>
      </w:r>
    </w:p>
    <w:p w14:paraId="4C9D1239">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番禺区政协十五届五次会议提案</w:t>
      </w:r>
    </w:p>
    <w:p w14:paraId="40D0F810">
      <w:pPr>
        <w:jc w:val="center"/>
        <w:rPr>
          <w:rFonts w:ascii="??_GB2312" w:hAnsi="宋体" w:eastAsia="Times New Roman"/>
          <w:sz w:val="10"/>
          <w:szCs w:val="10"/>
        </w:rPr>
      </w:pP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3115"/>
        <w:gridCol w:w="425"/>
        <w:gridCol w:w="1276"/>
        <w:gridCol w:w="992"/>
        <w:gridCol w:w="1417"/>
      </w:tblGrid>
      <w:tr w14:paraId="24DF0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1955" w:type="dxa"/>
            <w:vAlign w:val="center"/>
          </w:tcPr>
          <w:p w14:paraId="2BC9521C">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题目</w:t>
            </w:r>
          </w:p>
        </w:tc>
        <w:tc>
          <w:tcPr>
            <w:tcW w:w="7225" w:type="dxa"/>
            <w:gridSpan w:val="5"/>
            <w:vAlign w:val="center"/>
          </w:tcPr>
          <w:p w14:paraId="655FBCE8">
            <w:pPr>
              <w:spacing w:line="560" w:lineRule="exact"/>
              <w:jc w:val="cente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关于加快家庭教育促进会进入社区的提案</w:t>
            </w:r>
          </w:p>
        </w:tc>
      </w:tr>
      <w:tr w14:paraId="7378E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14:paraId="1C2C3ADC">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提案者</w:t>
            </w:r>
          </w:p>
        </w:tc>
        <w:tc>
          <w:tcPr>
            <w:tcW w:w="3540" w:type="dxa"/>
            <w:gridSpan w:val="2"/>
          </w:tcPr>
          <w:p w14:paraId="67DACDBB">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九三学社番禺委员会</w:t>
            </w:r>
          </w:p>
        </w:tc>
        <w:tc>
          <w:tcPr>
            <w:tcW w:w="1276" w:type="dxa"/>
          </w:tcPr>
          <w:p w14:paraId="50136788">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tc>
        <w:tc>
          <w:tcPr>
            <w:tcW w:w="2409" w:type="dxa"/>
            <w:gridSpan w:val="2"/>
          </w:tcPr>
          <w:p w14:paraId="1377BC21">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喻方</w:t>
            </w:r>
          </w:p>
        </w:tc>
      </w:tr>
      <w:tr w14:paraId="45029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955" w:type="dxa"/>
            <w:vAlign w:val="center"/>
          </w:tcPr>
          <w:p w14:paraId="00D45F6B">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工作单位</w:t>
            </w:r>
          </w:p>
        </w:tc>
        <w:tc>
          <w:tcPr>
            <w:tcW w:w="3540" w:type="dxa"/>
            <w:gridSpan w:val="2"/>
            <w:vAlign w:val="center"/>
          </w:tcPr>
          <w:p w14:paraId="6E5D2E1C">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广州市番禺区平川艺术培训中心</w:t>
            </w:r>
          </w:p>
        </w:tc>
        <w:tc>
          <w:tcPr>
            <w:tcW w:w="1276" w:type="dxa"/>
            <w:vAlign w:val="center"/>
          </w:tcPr>
          <w:p w14:paraId="07BEE8C1">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  务</w:t>
            </w:r>
          </w:p>
        </w:tc>
        <w:tc>
          <w:tcPr>
            <w:tcW w:w="2409" w:type="dxa"/>
            <w:gridSpan w:val="2"/>
            <w:vAlign w:val="center"/>
          </w:tcPr>
          <w:p w14:paraId="41F3E770">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校长</w:t>
            </w:r>
          </w:p>
        </w:tc>
      </w:tr>
      <w:tr w14:paraId="7818D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55" w:type="dxa"/>
          </w:tcPr>
          <w:p w14:paraId="106C09A8">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3115" w:type="dxa"/>
          </w:tcPr>
          <w:p w14:paraId="1BBB1925">
            <w:pPr>
              <w:spacing w:line="680" w:lineRule="exact"/>
              <w:rPr>
                <w:rFonts w:hint="eastAsia" w:ascii="仿宋_GB2312" w:hAnsi="仿宋_GB2312" w:eastAsia="仿宋_GB2312" w:cs="仿宋_GB2312"/>
                <w:sz w:val="32"/>
                <w:szCs w:val="32"/>
              </w:rPr>
            </w:pPr>
          </w:p>
        </w:tc>
        <w:tc>
          <w:tcPr>
            <w:tcW w:w="1701" w:type="dxa"/>
            <w:gridSpan w:val="2"/>
          </w:tcPr>
          <w:p w14:paraId="73C0733C">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办公电话</w:t>
            </w:r>
          </w:p>
        </w:tc>
        <w:tc>
          <w:tcPr>
            <w:tcW w:w="2409" w:type="dxa"/>
            <w:gridSpan w:val="2"/>
          </w:tcPr>
          <w:p w14:paraId="3911B9FC">
            <w:pPr>
              <w:spacing w:line="680" w:lineRule="exact"/>
              <w:rPr>
                <w:rFonts w:hint="eastAsia" w:ascii="仿宋_GB2312" w:hAnsi="仿宋_GB2312" w:eastAsia="仿宋_GB2312" w:cs="仿宋_GB2312"/>
                <w:sz w:val="32"/>
                <w:szCs w:val="32"/>
              </w:rPr>
            </w:pPr>
          </w:p>
        </w:tc>
      </w:tr>
      <w:tr w14:paraId="4F93F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1955" w:type="dxa"/>
          </w:tcPr>
          <w:p w14:paraId="6BCA6BF2">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w:t>
            </w:r>
          </w:p>
        </w:tc>
        <w:tc>
          <w:tcPr>
            <w:tcW w:w="4816" w:type="dxa"/>
            <w:gridSpan w:val="3"/>
          </w:tcPr>
          <w:p w14:paraId="4F9C06F1">
            <w:pPr>
              <w:spacing w:line="680" w:lineRule="exact"/>
              <w:rPr>
                <w:rFonts w:hint="eastAsia" w:ascii="仿宋_GB2312" w:hAnsi="仿宋_GB2312" w:eastAsia="仿宋_GB2312" w:cs="仿宋_GB2312"/>
                <w:sz w:val="32"/>
                <w:szCs w:val="32"/>
              </w:rPr>
            </w:pPr>
          </w:p>
        </w:tc>
        <w:tc>
          <w:tcPr>
            <w:tcW w:w="992" w:type="dxa"/>
          </w:tcPr>
          <w:p w14:paraId="2FC33846">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w:t>
            </w:r>
          </w:p>
        </w:tc>
        <w:tc>
          <w:tcPr>
            <w:tcW w:w="1417" w:type="dxa"/>
          </w:tcPr>
          <w:p w14:paraId="6F529E68">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511400</w:t>
            </w:r>
          </w:p>
        </w:tc>
      </w:tr>
      <w:tr w14:paraId="2CF0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955" w:type="dxa"/>
          </w:tcPr>
          <w:p w14:paraId="7ABE09B9">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联名提案人</w:t>
            </w:r>
          </w:p>
          <w:p w14:paraId="6787F232">
            <w:pPr>
              <w:spacing w:line="500" w:lineRule="exact"/>
              <w:jc w:val="center"/>
              <w:rPr>
                <w:rFonts w:hint="eastAsia" w:ascii="仿宋_GB2312" w:hAnsi="仿宋_GB2312" w:eastAsia="仿宋_GB2312" w:cs="仿宋_GB2312"/>
                <w:spacing w:val="-14"/>
                <w:sz w:val="32"/>
                <w:szCs w:val="32"/>
              </w:rPr>
            </w:pPr>
            <w:r>
              <w:rPr>
                <w:rFonts w:hint="eastAsia" w:ascii="仿宋_GB2312" w:hAnsi="仿宋_GB2312" w:eastAsia="仿宋_GB2312" w:cs="仿宋_GB2312"/>
                <w:spacing w:val="-14"/>
                <w:sz w:val="32"/>
                <w:szCs w:val="32"/>
              </w:rPr>
              <w:t>（如</w:t>
            </w:r>
            <w:r>
              <w:rPr>
                <w:rFonts w:hint="eastAsia" w:ascii="仿宋_GB2312" w:hAnsi="仿宋_GB2312" w:eastAsia="仿宋_GB2312" w:cs="仿宋_GB2312"/>
                <w:spacing w:val="-14"/>
                <w:sz w:val="28"/>
                <w:szCs w:val="28"/>
              </w:rPr>
              <w:t>人数较多，可另附于文后</w:t>
            </w:r>
            <w:r>
              <w:rPr>
                <w:rFonts w:hint="eastAsia" w:ascii="仿宋_GB2312" w:hAnsi="仿宋_GB2312" w:eastAsia="仿宋_GB2312" w:cs="仿宋_GB2312"/>
                <w:spacing w:val="-14"/>
                <w:sz w:val="32"/>
                <w:szCs w:val="32"/>
              </w:rPr>
              <w:t>）</w:t>
            </w:r>
          </w:p>
        </w:tc>
        <w:tc>
          <w:tcPr>
            <w:tcW w:w="7225" w:type="dxa"/>
            <w:gridSpan w:val="5"/>
          </w:tcPr>
          <w:p w14:paraId="656348E5">
            <w:pPr>
              <w:spacing w:line="680" w:lineRule="exact"/>
              <w:rPr>
                <w:rFonts w:hint="eastAsia" w:ascii="仿宋_GB2312" w:hAnsi="仿宋_GB2312" w:eastAsia="仿宋_GB2312" w:cs="仿宋_GB2312"/>
                <w:sz w:val="32"/>
                <w:szCs w:val="32"/>
              </w:rPr>
            </w:pPr>
          </w:p>
        </w:tc>
      </w:tr>
      <w:tr w14:paraId="0A223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1955" w:type="dxa"/>
          </w:tcPr>
          <w:p w14:paraId="1D8B2A9A">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提案委员会</w:t>
            </w:r>
          </w:p>
          <w:p w14:paraId="7EEE2045">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审查意见</w:t>
            </w:r>
          </w:p>
        </w:tc>
        <w:tc>
          <w:tcPr>
            <w:tcW w:w="7225" w:type="dxa"/>
            <w:gridSpan w:val="5"/>
          </w:tcPr>
          <w:p w14:paraId="4126D766">
            <w:pPr>
              <w:spacing w:line="680" w:lineRule="exact"/>
              <w:jc w:val="center"/>
              <w:rPr>
                <w:rFonts w:hint="eastAsia" w:ascii="仿宋_GB2312" w:hAnsi="仿宋_GB2312" w:eastAsia="仿宋_GB2312" w:cs="仿宋_GB2312"/>
                <w:sz w:val="32"/>
                <w:szCs w:val="32"/>
              </w:rPr>
            </w:pPr>
            <w:r>
              <w:rPr>
                <w:rFonts w:hint="eastAsia" w:ascii="仿宋_GB2312" w:hAnsi="宋体" w:eastAsia="仿宋_GB2312"/>
                <w:sz w:val="32"/>
                <w:szCs w:val="32"/>
                <w:lang w:val="en-US" w:eastAsia="zh-CN"/>
              </w:rPr>
              <w:t>同意立案</w:t>
            </w:r>
          </w:p>
        </w:tc>
      </w:tr>
    </w:tbl>
    <w:p w14:paraId="78D3F8B7">
      <w:pPr>
        <w:spacing w:line="680" w:lineRule="exact"/>
        <w:rPr>
          <w:rFonts w:hint="eastAsia" w:ascii="黑体" w:hAnsi="黑体" w:eastAsia="黑体"/>
          <w:sz w:val="32"/>
          <w:szCs w:val="32"/>
        </w:rPr>
      </w:pPr>
      <w:r>
        <w:rPr>
          <w:rFonts w:ascii="黑体" w:hAnsi="黑体" w:eastAsia="黑体"/>
          <w:sz w:val="32"/>
          <w:szCs w:val="32"/>
        </w:rPr>
        <w:t>根据实际情况在○内打勾确认：</w:t>
      </w:r>
    </w:p>
    <w:p w14:paraId="76F9777E">
      <w:pPr>
        <w:spacing w:line="440" w:lineRule="exact"/>
        <w:rPr>
          <w:rFonts w:ascii="??_GB2312" w:hAnsi="宋体" w:eastAsia="Times New Roman"/>
          <w:sz w:val="32"/>
          <w:szCs w:val="32"/>
        </w:rPr>
      </w:pPr>
      <w:r>
        <w:rPr>
          <w:rFonts w:ascii="黑体" w:hAnsi="黑体" w:eastAsia="黑体"/>
          <w:sz w:val="32"/>
          <w:szCs w:val="32"/>
        </w:rPr>
        <w:t>是否同意公开：</w:t>
      </w:r>
    </w:p>
    <w:p w14:paraId="71EFAE12">
      <w:pPr>
        <w:spacing w:line="680" w:lineRule="exact"/>
        <w:rPr>
          <w:rFonts w:ascii="??_GB2312" w:hAnsi="宋体" w:eastAsia="Times New Roman"/>
          <w:sz w:val="32"/>
          <w:szCs w:val="32"/>
        </w:rPr>
      </w:pPr>
      <w:r>
        <w:rPr>
          <w:rFonts w:ascii="Arial" w:hAnsi="Arial" w:eastAsia="Times New Roman" w:cs="Arial"/>
          <w:sz w:val="32"/>
          <w:szCs w:val="32"/>
        </w:rPr>
        <w:t>√</w:t>
      </w:r>
      <w:r>
        <w:rPr>
          <w:rFonts w:ascii="??_GB2312" w:hAnsi="宋体" w:eastAsia="Times New Roman"/>
          <w:sz w:val="32"/>
          <w:szCs w:val="32"/>
        </w:rPr>
        <w:t>是  ○否</w:t>
      </w:r>
    </w:p>
    <w:p w14:paraId="182F7A46">
      <w:pPr>
        <w:rPr>
          <w:rFonts w:ascii="??_GB2312" w:hAnsi="宋体" w:eastAsia="Times New Roman"/>
          <w:sz w:val="32"/>
          <w:szCs w:val="32"/>
        </w:rPr>
      </w:pPr>
      <w:r>
        <w:rPr>
          <w:rFonts w:ascii="??_GB2312" w:hAnsi="宋体" w:eastAsia="Times New Roman"/>
          <w:sz w:val="32"/>
          <w:szCs w:val="32"/>
        </w:rPr>
        <w:br w:type="page"/>
      </w:r>
    </w:p>
    <w:p w14:paraId="7E4892E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b/>
          <w:bCs/>
          <w:sz w:val="32"/>
          <w:szCs w:val="32"/>
          <w:lang w:val="en-US" w:eastAsia="zh-CN"/>
        </w:rPr>
      </w:pPr>
    </w:p>
    <w:p w14:paraId="09890973">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b/>
          <w:bCs/>
          <w:sz w:val="32"/>
          <w:szCs w:val="32"/>
        </w:rPr>
      </w:pPr>
      <w:r>
        <w:rPr>
          <w:rFonts w:hint="eastAsia" w:ascii="Times New Roman" w:hAnsi="Times New Roman" w:eastAsia="黑体" w:cs="Times New Roman"/>
          <w:b/>
          <w:bCs/>
          <w:sz w:val="32"/>
          <w:szCs w:val="32"/>
          <w:lang w:val="en-US" w:eastAsia="zh-CN"/>
        </w:rPr>
        <w:t>理由：</w:t>
      </w:r>
    </w:p>
    <w:p w14:paraId="1695A2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当今社会</w:t>
      </w:r>
      <w:bookmarkStart w:id="0" w:name="_GoBack"/>
      <w:bookmarkEnd w:id="0"/>
      <w:r>
        <w:rPr>
          <w:rFonts w:hint="eastAsia" w:ascii="仿宋_GB2312" w:hAnsi="仿宋_GB2312" w:eastAsia="仿宋_GB2312" w:cs="仿宋_GB2312"/>
          <w:sz w:val="32"/>
          <w:szCs w:val="32"/>
        </w:rPr>
        <w:t>，家长与青少年之间的沟通交流阻碍重重，由此滋生的家长和学生的焦虑情绪犹如阴霾，不断侵蚀家庭和睦，危害青少年的身心健康与成长轨迹。</w:t>
      </w:r>
    </w:p>
    <w:p w14:paraId="6D2F87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家庭教育在青少年的成长历程中起着至关重要的作用，它关乎着孩子的性格塑造、价值观的形成以及未来的发展走向。家庭教育促进会作为专业的社会组织，在推动家庭与青少年之间的良性互动方面发挥着不可替代的重要作用。当前，番禺区在家庭教育工作方面已迈出了一定的步伐，但仍面临着一些亟待解决的问题，例如覆盖范围较为有限，致使许多家庭未能从中受益；专业力量相对薄弱，难以切实满足实际需求；服务缺乏针对性，无法精准地解决各类家庭所面临的具体问题。家庭教育促进会以其在促进家庭与青少年良性互动方面的专业造诣和深厚经验，若能深入社区一线开展工作，将为驱散这片阴霾带来曙光，极大地扭转当前的不利局面。</w:t>
      </w:r>
    </w:p>
    <w:p w14:paraId="283497E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b/>
          <w:bCs/>
          <w:sz w:val="32"/>
          <w:szCs w:val="32"/>
          <w:lang w:val="en-US" w:eastAsia="zh-CN"/>
        </w:rPr>
      </w:pPr>
    </w:p>
    <w:p w14:paraId="121D128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Times New Roman"/>
          <w:b/>
          <w:bCs/>
          <w:sz w:val="32"/>
          <w:szCs w:val="32"/>
          <w:lang w:val="en-US" w:eastAsia="zh-CN"/>
        </w:rPr>
      </w:pPr>
      <w:r>
        <w:rPr>
          <w:rFonts w:hint="eastAsia" w:ascii="Times New Roman" w:hAnsi="Times New Roman" w:eastAsia="黑体" w:cs="Times New Roman"/>
          <w:b/>
          <w:bCs/>
          <w:sz w:val="32"/>
          <w:szCs w:val="32"/>
          <w:lang w:val="en-US" w:eastAsia="zh-CN"/>
        </w:rPr>
        <w:t>办法：</w:t>
      </w:r>
    </w:p>
    <w:p w14:paraId="4E3095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为了进一步提升番禺区的家庭教育水平，助力青少年的健康成长，我们提出以下建议，衷心期望能够得到区妇联的关注与支持：</w:t>
      </w:r>
    </w:p>
    <w:p w14:paraId="7741D4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仿宋_GB2312"/>
          <w:sz w:val="32"/>
          <w:szCs w:val="32"/>
        </w:rPr>
        <w:t>一、完善社区合作，构建家庭教育网络</w:t>
      </w:r>
    </w:p>
    <w:p w14:paraId="0615BF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希望区妇联能够积极地推动政府的相关部门，促使番禺区家庭教育促进会与各社区签订合作协议，明确双方在家庭教育工作中的职责以及协作模式。协调各方为促进会提供固定的社区办公场地和活动场所，全力支持其定期举办诸如“亲子有效沟通技巧”“青少年心理发展特点与应对策略”等贴合家长需求的讲座，组织“亲子户外拓展活动”“家庭文化节”等亲子互动活动，以增进亲子之间的理解与信任。可以借鉴上海某社区的成功经验，在社区活动中融入正面情景剧的表演，引导家长和孩子对相处模式进行反思，促进家庭关系的和谐融洽。</w:t>
      </w:r>
    </w:p>
    <w:p w14:paraId="7298E5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sz w:val="32"/>
          <w:szCs w:val="32"/>
        </w:rPr>
      </w:pPr>
      <w:r>
        <w:rPr>
          <w:rFonts w:hint="eastAsia" w:ascii="黑体" w:hAnsi="黑体" w:eastAsia="黑体" w:cs="仿宋_GB2312"/>
          <w:sz w:val="32"/>
          <w:szCs w:val="32"/>
        </w:rPr>
        <w:t>二、强化专业力量，提升服务质量</w:t>
      </w:r>
    </w:p>
    <w:p w14:paraId="3651F4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督促家庭教育促进会选派经验丰富的专业人员进驻各社区，为家长和孩子提供专业的指导。同时，推动对社区工作人员开展系统全面的家庭教育培训，培训内容涵盖亲子关系调解、青少年心理问题的识别与应对等方面，提升他们协助组织活动和处理家庭问题的能力。以广州某社区为例，在专业人员的指导下，社区工作人员成功地调解了亲子冲突，改善了家庭关系。鼓励专业人员指导社区编排融入番禺本地文化元素的家庭教育情景剧，使教育更贴近生活实际，更具实效性。</w:t>
      </w:r>
    </w:p>
    <w:p w14:paraId="02E6A8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仿宋_GB2312"/>
          <w:sz w:val="32"/>
          <w:szCs w:val="32"/>
        </w:rPr>
        <w:t>三、定制个性服务，满足多元需求</w:t>
      </w:r>
    </w:p>
    <w:p w14:paraId="23FD10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充分考虑番禺区社区家庭的多样性，督促家庭教育促进会为不同类型的家庭定制个性化的家长与青少年交流辅导方案。针对单亲家庭，组织“单亲家庭亲子共同成长”活动，帮助修复亲子情感；针对留守儿童家庭，开展“番禺有爱，情系留守”远程亲子沟通辅导项目，借助网络平台加强亲子之间的联系。在实施过程中，创作展现番禺单亲家庭积极生活、留守儿童在关爱下茁壮成长的专属情景剧，以增强家庭成员之间的理解与信任。</w:t>
      </w:r>
    </w:p>
    <w:p w14:paraId="1630A3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sz w:val="32"/>
          <w:szCs w:val="32"/>
        </w:rPr>
      </w:pPr>
      <w:r>
        <w:rPr>
          <w:rFonts w:hint="eastAsia" w:ascii="黑体" w:hAnsi="黑体" w:eastAsia="黑体" w:cs="仿宋_GB2312"/>
          <w:sz w:val="32"/>
          <w:szCs w:val="32"/>
        </w:rPr>
        <w:t>四、建立三方小组，凝聚教育合力</w:t>
      </w:r>
    </w:p>
    <w:p w14:paraId="2FC357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协助推动建立“心理专家-家长-老师”三人小组，共同关注青少年的心理健康。家长作为孩子的第一监护人，要及时察觉孩子的问题，并与老师、心理专家进行沟通。老师在学校要给予孩子更多的关注与鼓励，通过合理的教学方式减轻孩子的学习压力。心理专家除了医院的专业人员外，还可以从社区中选拔有潜力的居民进行培训，充实心理服务力量。社区要定期举办心理咨询专场活动，向家长、老师和孩子普及抑郁症、焦虑症等常见心理疾病的知识，从根源上减轻孩子的心理压力。</w:t>
      </w:r>
    </w:p>
    <w:p w14:paraId="54D7DE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sz w:val="32"/>
          <w:szCs w:val="32"/>
        </w:rPr>
      </w:pPr>
      <w:r>
        <w:rPr>
          <w:rFonts w:hint="eastAsia" w:ascii="黑体" w:hAnsi="黑体" w:eastAsia="黑体" w:cs="仿宋_GB2312"/>
          <w:sz w:val="32"/>
          <w:szCs w:val="32"/>
        </w:rPr>
        <w:t>五、丰富课余生活，拓展社交空间</w:t>
      </w:r>
    </w:p>
    <w:p w14:paraId="0F1C2D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番禺区的城市居住特点，建议区妇联鼓励家长引导孩子充分利用社区的体育馆、文化活动室等娱乐场所，开展打球、下棋等活动，组织外出郊游等活动，让孩子在课余时间能够放松身心，拓展社交圈子，减少因居住环境而导致的社交障碍。</w:t>
      </w:r>
    </w:p>
    <w:p w14:paraId="57AF19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仿宋_GB2312"/>
          <w:sz w:val="32"/>
          <w:szCs w:val="32"/>
        </w:rPr>
        <w:t>六、加强知识学习，提升教育素养</w:t>
      </w:r>
    </w:p>
    <w:p w14:paraId="1EF19E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协调相关部门组织家长和老师参加心理学知识培训课程，帮助他们掌握基本的心理学原理和青少年心理发展的规律，提高对孩子心理问题的识别与应对能力，确保在日常教育中能够采用科学合理的方法。</w:t>
      </w:r>
    </w:p>
    <w:p w14:paraId="4E49A8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仿宋_GB2312"/>
          <w:sz w:val="32"/>
          <w:szCs w:val="32"/>
        </w:rPr>
        <w:t>七、鼓励家务参与，培养责任意识</w:t>
      </w:r>
    </w:p>
    <w:p w14:paraId="371AF4F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倡导家长让孩子参与洗衣、做饭、拖地等日常家务劳动，让孩子在劳动中体会家长的辛苦，学会感恩，培养生活自理能力和责任意识，实现学习与生活的平衡。</w:t>
      </w:r>
    </w:p>
    <w:p w14:paraId="47F7D8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青少年是国家的未来和民族的希望，加强家庭教育工作，促进青少年心理健康成长，是全社会的共同责任。我们衷心期望番禺区妇联及相关部门能够高度重视，整合各方资源，深入推进家庭教育工作，为青少年营造一个健康和谐的成长环境。我们家长也将积极配合，共同为孩子们的美好未来而努力。</w:t>
      </w:r>
    </w:p>
    <w:sectPr>
      <w:footerReference r:id="rId3" w:type="default"/>
      <w:pgSz w:w="11906" w:h="16838"/>
      <w:pgMar w:top="2098" w:right="1474" w:bottom="1984" w:left="158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8354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57478">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9D57478">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532E9"/>
    <w:rsid w:val="000E5249"/>
    <w:rsid w:val="00247137"/>
    <w:rsid w:val="00470B4A"/>
    <w:rsid w:val="004A48B9"/>
    <w:rsid w:val="00644D5A"/>
    <w:rsid w:val="008E7DEC"/>
    <w:rsid w:val="00936A1F"/>
    <w:rsid w:val="00AF6CDC"/>
    <w:rsid w:val="00B603ED"/>
    <w:rsid w:val="00B73F43"/>
    <w:rsid w:val="00C815D8"/>
    <w:rsid w:val="00C910A4"/>
    <w:rsid w:val="00CD359D"/>
    <w:rsid w:val="00E068EE"/>
    <w:rsid w:val="011149CC"/>
    <w:rsid w:val="021210D8"/>
    <w:rsid w:val="03120503"/>
    <w:rsid w:val="03E83388"/>
    <w:rsid w:val="041C114C"/>
    <w:rsid w:val="04307DED"/>
    <w:rsid w:val="04516B33"/>
    <w:rsid w:val="054F4A19"/>
    <w:rsid w:val="06AA7B14"/>
    <w:rsid w:val="07064092"/>
    <w:rsid w:val="093A2D29"/>
    <w:rsid w:val="09D54231"/>
    <w:rsid w:val="0A4A143C"/>
    <w:rsid w:val="0A821DCB"/>
    <w:rsid w:val="0B6955E0"/>
    <w:rsid w:val="0C2B7731"/>
    <w:rsid w:val="0D9E00EC"/>
    <w:rsid w:val="0DCC1BAC"/>
    <w:rsid w:val="0F7450E6"/>
    <w:rsid w:val="103C03B2"/>
    <w:rsid w:val="10600366"/>
    <w:rsid w:val="127157BD"/>
    <w:rsid w:val="13CF6873"/>
    <w:rsid w:val="14A624F0"/>
    <w:rsid w:val="14E867DD"/>
    <w:rsid w:val="15A83922"/>
    <w:rsid w:val="16197320"/>
    <w:rsid w:val="167043DB"/>
    <w:rsid w:val="18C53972"/>
    <w:rsid w:val="19505984"/>
    <w:rsid w:val="19DA580A"/>
    <w:rsid w:val="19F551C3"/>
    <w:rsid w:val="1A1B5DE5"/>
    <w:rsid w:val="1AD9749D"/>
    <w:rsid w:val="1B4F6EEB"/>
    <w:rsid w:val="1C430C6D"/>
    <w:rsid w:val="1C700838"/>
    <w:rsid w:val="1C917726"/>
    <w:rsid w:val="1CB5097E"/>
    <w:rsid w:val="1FC767E1"/>
    <w:rsid w:val="22C01511"/>
    <w:rsid w:val="235532E9"/>
    <w:rsid w:val="23785B93"/>
    <w:rsid w:val="256C6B71"/>
    <w:rsid w:val="263B38B4"/>
    <w:rsid w:val="264D771B"/>
    <w:rsid w:val="2670099D"/>
    <w:rsid w:val="28CC407F"/>
    <w:rsid w:val="29AB5641"/>
    <w:rsid w:val="29B636CD"/>
    <w:rsid w:val="2A01667B"/>
    <w:rsid w:val="2A0517FE"/>
    <w:rsid w:val="2A4315C6"/>
    <w:rsid w:val="2AB01698"/>
    <w:rsid w:val="2B207EFD"/>
    <w:rsid w:val="2B895A15"/>
    <w:rsid w:val="2C784B05"/>
    <w:rsid w:val="2C8D09CA"/>
    <w:rsid w:val="2CCC378C"/>
    <w:rsid w:val="2D2123F9"/>
    <w:rsid w:val="2DE52A35"/>
    <w:rsid w:val="2E9808B0"/>
    <w:rsid w:val="2ED8336B"/>
    <w:rsid w:val="302B395E"/>
    <w:rsid w:val="31852AE1"/>
    <w:rsid w:val="32262532"/>
    <w:rsid w:val="32956E44"/>
    <w:rsid w:val="349F7963"/>
    <w:rsid w:val="36912311"/>
    <w:rsid w:val="369D5236"/>
    <w:rsid w:val="36C761E6"/>
    <w:rsid w:val="39C443D2"/>
    <w:rsid w:val="3CB51561"/>
    <w:rsid w:val="3D1F538F"/>
    <w:rsid w:val="3E123125"/>
    <w:rsid w:val="3E2E5A79"/>
    <w:rsid w:val="3F0E1401"/>
    <w:rsid w:val="3F1F4F1F"/>
    <w:rsid w:val="40F329A2"/>
    <w:rsid w:val="42B71375"/>
    <w:rsid w:val="42CD30A6"/>
    <w:rsid w:val="43E069AD"/>
    <w:rsid w:val="46685E10"/>
    <w:rsid w:val="46EE4C3E"/>
    <w:rsid w:val="494713F4"/>
    <w:rsid w:val="4C240A8E"/>
    <w:rsid w:val="4D1254A2"/>
    <w:rsid w:val="4D933355"/>
    <w:rsid w:val="4ECC52E8"/>
    <w:rsid w:val="4F1E08DD"/>
    <w:rsid w:val="50C75496"/>
    <w:rsid w:val="50D30A35"/>
    <w:rsid w:val="51B07591"/>
    <w:rsid w:val="53852AB6"/>
    <w:rsid w:val="547F68E6"/>
    <w:rsid w:val="548A7CBF"/>
    <w:rsid w:val="554E6969"/>
    <w:rsid w:val="588F3B66"/>
    <w:rsid w:val="58B86C87"/>
    <w:rsid w:val="5A6E68C8"/>
    <w:rsid w:val="5B247496"/>
    <w:rsid w:val="5C477AA5"/>
    <w:rsid w:val="5C5B5CE3"/>
    <w:rsid w:val="5CE91D7D"/>
    <w:rsid w:val="5D41151C"/>
    <w:rsid w:val="60B632DD"/>
    <w:rsid w:val="61B03161"/>
    <w:rsid w:val="625627E4"/>
    <w:rsid w:val="63B24022"/>
    <w:rsid w:val="63B464B8"/>
    <w:rsid w:val="66094DF3"/>
    <w:rsid w:val="67696AA4"/>
    <w:rsid w:val="681D385E"/>
    <w:rsid w:val="683F434E"/>
    <w:rsid w:val="6B7F19ED"/>
    <w:rsid w:val="6E090C4E"/>
    <w:rsid w:val="6E4E6307"/>
    <w:rsid w:val="6E6E253B"/>
    <w:rsid w:val="70674956"/>
    <w:rsid w:val="712325AD"/>
    <w:rsid w:val="71D83356"/>
    <w:rsid w:val="756028AC"/>
    <w:rsid w:val="761A1D50"/>
    <w:rsid w:val="764D5A23"/>
    <w:rsid w:val="77F91E6D"/>
    <w:rsid w:val="781E4034"/>
    <w:rsid w:val="792E7EA8"/>
    <w:rsid w:val="7BF04C71"/>
    <w:rsid w:val="7C8F7A4E"/>
    <w:rsid w:val="7FAF2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305</Words>
  <Characters>1743</Characters>
  <Lines>14</Lines>
  <Paragraphs>4</Paragraphs>
  <TotalTime>0</TotalTime>
  <ScaleCrop>false</ScaleCrop>
  <LinksUpToDate>false</LinksUpToDate>
  <CharactersWithSpaces>2044</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2025-02-21T08:16:00Z</dcterms:created>
  <dc:creator>Admin</dc:creator>
  <cp:lastModifiedBy>user</cp:lastModifiedBy>
  <cp:lastPrinted>2025-02-27T02:29:00Z</cp:lastPrinted>
  <dcterms:modified xsi:type="dcterms:W3CDTF">2026-01-06T03:10:21Z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2B795A8E0A35456A9D425B510827B66E</vt:lpwstr>
  </property>
  <property fmtid="{D5CDD505-2E9C-101B-9397-08002B2CF9AE}" pid="4" name="KSOTemplateDocerSaveRecord">
    <vt:lpwstr>eyJoZGlkIjoiNzhhZjJhNmU1NTkwMGFiOTMwOGIxYWY2YzYxMjMyZWUiLCJ1c2VySWQiOiIxNjQ0NDExNzg2In0=</vt:lpwstr>
  </property>
</Properties>
</file>