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AF664">
      <w:pPr>
        <w:widowControl w:val="0"/>
        <w:jc w:val="righ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 w14:paraId="3D5D649A">
      <w:pPr>
        <w:widowControl w:val="0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番禺区政协十五届五次会议提案</w:t>
      </w:r>
    </w:p>
    <w:tbl>
      <w:tblPr>
        <w:tblStyle w:val="11"/>
        <w:tblW w:w="9195" w:type="dxa"/>
        <w:tblInd w:w="-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2977"/>
        <w:gridCol w:w="1276"/>
        <w:gridCol w:w="2913"/>
      </w:tblGrid>
      <w:tr w14:paraId="05947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6694D">
            <w:pPr>
              <w:widowControl w:val="0"/>
              <w:spacing w:line="68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    目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06305">
            <w:pPr>
              <w:widowControl w:val="0"/>
              <w:spacing w:line="6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关于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推行“读行番禺”计划，构筑家校社企联动生态体系，推动城市高质量发展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的建议</w:t>
            </w:r>
          </w:p>
        </w:tc>
      </w:tr>
      <w:tr w14:paraId="70806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9E7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 案 者</w:t>
            </w:r>
          </w:p>
          <w:p w14:paraId="289C2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仿宋_GB231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（括号内注明主笔人）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5BE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致公党番禺区基层委员会（陈敏玲）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88F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2AD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陈敏玲</w:t>
            </w:r>
          </w:p>
        </w:tc>
      </w:tr>
      <w:tr w14:paraId="2560F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42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122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广州裕基商贸发展有限公司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6E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CC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总经理</w:t>
            </w:r>
          </w:p>
        </w:tc>
      </w:tr>
      <w:tr w14:paraId="2CF7A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75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A49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93F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97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18FC7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22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061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609B9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1A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063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31D50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62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 w14:paraId="785A1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7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63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同意立案</w:t>
            </w:r>
          </w:p>
        </w:tc>
      </w:tr>
    </w:tbl>
    <w:p w14:paraId="1E775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根据实际情况在（）内打勾确认：</w:t>
      </w:r>
    </w:p>
    <w:p w14:paraId="13BB3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是否同意公开：</w:t>
      </w:r>
    </w:p>
    <w:p w14:paraId="5D998A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是（</w:t>
      </w:r>
      <w:r>
        <w:rPr>
          <w:rFonts w:hint="default" w:ascii="Arial" w:hAnsi="Arial" w:cs="Arial"/>
          <w:sz w:val="30"/>
          <w:szCs w:val="30"/>
        </w:rPr>
        <w:t>√</w:t>
      </w:r>
      <w:r>
        <w:rPr>
          <w:rFonts w:hint="eastAsia" w:ascii="宋体" w:hAnsi="宋体"/>
          <w:sz w:val="30"/>
          <w:szCs w:val="30"/>
        </w:rPr>
        <w:t>）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</w:rPr>
        <w:t>否（）</w:t>
      </w:r>
      <w:r>
        <w:rPr>
          <w:rFonts w:ascii="宋体" w:hAnsi="宋体"/>
          <w:sz w:val="30"/>
          <w:szCs w:val="30"/>
        </w:rPr>
        <w:t xml:space="preserve"> </w:t>
      </w:r>
    </w:p>
    <w:p w14:paraId="57995544">
      <w:pPr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br w:type="page"/>
      </w:r>
    </w:p>
    <w:p w14:paraId="28BB96D4">
      <w:pPr>
        <w:pStyle w:val="2"/>
      </w:pPr>
    </w:p>
    <w:p w14:paraId="5A5FA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理由：</w:t>
      </w:r>
    </w:p>
    <w:p w14:paraId="7E5EF09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bookmarkStart w:id="0" w:name="_Toc20059"/>
      <w:r>
        <w:rPr>
          <w:rFonts w:hint="eastAsia" w:ascii="仿宋_GB2312" w:hAnsi="仿宋_GB2312" w:eastAsia="仿宋_GB2312" w:cs="仿宋_GB2312"/>
          <w:sz w:val="32"/>
          <w:szCs w:val="32"/>
        </w:rPr>
        <w:t>番禺区地处粤港澳大湾区地理中心，是广州人口大区、教育强区和文旅重镇。近年来，区政府持续推动公共服务提质增效，如引进知名教育集团合作办学，打造番禺图书馆新馆文化地标等，优质教育资源基本辐射。然而，不少区域及社区仍存在资源闲置、供给不足、机制缺失等突出问题，亟待通过创新模式来解决。</w:t>
      </w:r>
    </w:p>
    <w:p w14:paraId="41794537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43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资源错配与利用难题。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部分社区公共场馆、文化空间利用率不足，存在闲置状态。以社区图书馆为例，因缺乏专业化运营机制和资金支持，图书更新滞后，文化活动开展频次低，致使居民参与积极性不高，未能充分发挥其文化传播与教育功能。</w:t>
      </w:r>
    </w:p>
    <w:p w14:paraId="1B69C841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43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优质教育供给不足。</w:t>
      </w:r>
      <w:r>
        <w:rPr>
          <w:rFonts w:hint="eastAsia" w:ascii="仿宋_GB2312" w:hAnsi="仿宋_GB2312" w:eastAsia="仿宋_GB2312" w:cs="仿宋_GB2312"/>
          <w:sz w:val="32"/>
          <w:szCs w:val="32"/>
        </w:rPr>
        <w:t>一方面，学校校内资源相对匮乏，专业的阅读指导、科创活动等多元教育内容难以充分融入课堂，而校外实践教育、职业体验等环节又缺乏系统性支持，学生综合素质培养存在短板。另一方面，社区服务功能单一，“一老一小”文化教育服务供需失衡，代际互动场景缺失，公共服务效能未达最大化。</w:t>
      </w:r>
    </w:p>
    <w:p w14:paraId="3CB21137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43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文化认同和传承的缺失。</w:t>
      </w:r>
      <w:r>
        <w:rPr>
          <w:rFonts w:hint="eastAsia" w:ascii="仿宋_GB2312" w:hAnsi="仿宋_GB2312" w:eastAsia="仿宋_GB2312" w:cs="仿宋_GB2312"/>
          <w:sz w:val="32"/>
          <w:szCs w:val="32"/>
        </w:rPr>
        <w:t>番禺区番禺作为岭南古邑、广东音乐之乡，拥有丰富的历史文化资源，但青少年对本土文化认知和传承却不容乐观，一是缺乏传承本土文化的有效载体与平台，相关文化活动少。二是学校、社区和文化机构缺乏常态化、长效化的协同机制，无法充分利用社会文化资源，限制了文化传承的深度与广度。</w:t>
      </w:r>
    </w:p>
    <w:p w14:paraId="5C74356D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43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社会力量参与渠道不畅。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社会力量拥有丰富的资源与专业能力，有意愿也有能力配合政府、社区、学校及家庭提供配套的资源和服务。国家也大力支持社会力量参与公共文化服务和文化遗产保护传承</w:t>
      </w:r>
      <w:r>
        <w:rPr>
          <w:rStyle w:val="16"/>
          <w:rFonts w:hint="eastAsia" w:ascii="仿宋_GB2312" w:hAnsi="仿宋_GB2312" w:eastAsia="仿宋_GB2312" w:cs="仿宋_GB2312"/>
          <w:sz w:val="32"/>
          <w:szCs w:val="32"/>
        </w:rPr>
        <w:footnoteReference w:id="0"/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。但企业、公益组织等社会资本在实际参与教育服务时面临政策衔接不明确、合作模式单一等问题，未能充分释放其资源和技术优势。</w:t>
      </w:r>
    </w:p>
    <w:p w14:paraId="6233AE3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深入剖析这些问题，根源主要体现在以下几个方面：其一，社区教育资源配置缺少顶层统筹规划，尚未构建起“政府引导、多元共建、成果共享”的成熟机制，进而造成资源浪费。其二，当前社区教育服务主要依赖行政主导，市场化运营与社会化参与程度较低，难以满足居民个性化、多样化的需求。其三，针对家校社企联动的公益项目，缺乏长效评估机制，使得社会资本投入的积极性不高。</w:t>
      </w:r>
    </w:p>
    <w:p w14:paraId="0BEBE60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当下，国家积极推动全民阅读、研学旅行、综合实践和文旅融合发展，大力支持家校社企教联体建设，为地区构建高质量教育生态提供了坚实的政策保障。《广州市番禺区国民经济和社会发展第十四个五年规划和2035年远景目标纲要》也明确鼓励通过文教、文商、文企融合，吸引社会力量参与公共文化服务。地方社区的成功实践，如青岛市李沧区“悦读书房”项目</w:t>
      </w:r>
      <w:r>
        <w:rPr>
          <w:rStyle w:val="16"/>
          <w:rFonts w:hint="eastAsia" w:ascii="仿宋_GB2312" w:hAnsi="仿宋_GB2312" w:eastAsia="仿宋_GB2312" w:cs="仿宋_GB2312"/>
          <w:sz w:val="32"/>
          <w:szCs w:val="32"/>
        </w:rPr>
        <w:footnoteReference w:id="1"/>
      </w:r>
      <w:r>
        <w:rPr>
          <w:rFonts w:hint="eastAsia" w:ascii="仿宋_GB2312" w:hAnsi="仿宋_GB2312" w:eastAsia="仿宋_GB2312" w:cs="仿宋_GB2312"/>
          <w:sz w:val="32"/>
          <w:szCs w:val="32"/>
        </w:rPr>
        <w:t>，以及构建全民阅读的“读者方案”，充分证明了多元主体协同参与社区公共空间建设的可行性。在此形势下，重构社区、家校、校企关系，打造“政府监管、社会运营、平台管理、家校社企联合”的高质量发展生态，极具现实意义与实践价值。</w:t>
      </w:r>
    </w:p>
    <w:p w14:paraId="61E317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sz w:val="32"/>
          <w:szCs w:val="32"/>
        </w:rPr>
      </w:pPr>
    </w:p>
    <w:p w14:paraId="214AB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ascii="国标仿宋" w:hAnsi="国标仿宋" w:eastAsia="国标仿宋" w:cs="国标仿宋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办法：</w:t>
      </w:r>
      <w:bookmarkEnd w:id="0"/>
    </w:p>
    <w:p w14:paraId="0CEC5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借助国家“教联体”推行和鼓励社会力量参与公共文化服务的利好趋势，着眼于番禺部分社区闲置场地，通过“读行番禺”计划，打造阅读文化空间，让社区成为全居民阅读文化活动的核心阵地，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全面激活</w:t>
      </w:r>
      <w:r>
        <w:rPr>
          <w:rFonts w:hint="eastAsia" w:ascii="仿宋_GB2312" w:hAnsi="仿宋_GB2312" w:eastAsia="仿宋_GB2312" w:cs="仿宋_GB2312"/>
          <w:sz w:val="32"/>
          <w:szCs w:val="32"/>
        </w:rPr>
        <w:t>社区活力，重塑其文化教育功能，有效重构社区关系，构建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“政府引导-企业赋能-家校协同-社区落地”</w:t>
      </w:r>
      <w:r>
        <w:rPr>
          <w:rFonts w:hint="eastAsia" w:ascii="仿宋_GB2312" w:hAnsi="仿宋_GB2312" w:eastAsia="仿宋_GB2312" w:cs="仿宋_GB2312"/>
          <w:sz w:val="32"/>
          <w:szCs w:val="32"/>
        </w:rPr>
        <w:t>四位一体高质量发展生态，实现文化育人、资源增效、产业联动的多赢目标。</w:t>
      </w:r>
    </w:p>
    <w:p w14:paraId="11BD48B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建立“家校社企”公益基金，激发资源整合效能</w:t>
      </w:r>
    </w:p>
    <w:p w14:paraId="5EF71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sz w:val="32"/>
          <w:szCs w:val="32"/>
        </w:rPr>
      </w:pPr>
      <w:r>
        <w:rPr>
          <w:rFonts w:hint="eastAsia" w:ascii="仿宋_GB2312" w:hAnsi="仿宋_GB2312" w:cs="仿宋_GB2312"/>
          <w:b/>
          <w:bCs/>
          <w:sz w:val="32"/>
          <w:szCs w:val="32"/>
        </w:rPr>
        <w:t>1.设立专项基金：</w:t>
      </w:r>
      <w:r>
        <w:rPr>
          <w:rFonts w:hint="eastAsia" w:ascii="仿宋_GB2312" w:hAnsi="仿宋_GB2312" w:eastAsia="仿宋_GB2312" w:cs="仿宋_GB2312"/>
          <w:sz w:val="32"/>
          <w:szCs w:val="32"/>
        </w:rPr>
        <w:t>由区政府牵头，联合教育部门、文旅局、工商联等单位，成立“读行番禺”文化教育公益基金，</w:t>
      </w:r>
      <w:r>
        <w:rPr>
          <w:rFonts w:hint="eastAsia" w:ascii="仿宋_GB2312" w:hAnsi="仿宋_GB2312" w:cs="仿宋_GB2312"/>
          <w:sz w:val="32"/>
          <w:szCs w:val="32"/>
        </w:rPr>
        <w:t>吸纳企业捐赠、社会募资及财政配套资金，专项用于社区图书馆升级、公益活动运营等。</w:t>
      </w:r>
    </w:p>
    <w:p w14:paraId="12F625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2.创新合作模式：</w:t>
      </w:r>
      <w:r>
        <w:rPr>
          <w:rFonts w:hint="eastAsia" w:ascii="仿宋_GB2312" w:hAnsi="仿宋_GB2312" w:eastAsia="仿宋_GB2312" w:cs="仿宋_GB2312"/>
          <w:sz w:val="32"/>
          <w:szCs w:val="32"/>
        </w:rPr>
        <w:t>采用“公益基金+市场化运营”模式，通过政府购买服务、公益创投等方式，支持社会力量参与社区教育服务。</w:t>
      </w:r>
    </w:p>
    <w:p w14:paraId="1BA64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3.建立激励机制：</w:t>
      </w:r>
      <w:r>
        <w:rPr>
          <w:rFonts w:hint="eastAsia" w:ascii="仿宋_GB2312" w:hAnsi="仿宋_GB2312" w:eastAsia="仿宋_GB2312" w:cs="仿宋_GB2312"/>
          <w:sz w:val="32"/>
          <w:szCs w:val="32"/>
        </w:rPr>
        <w:t>对捐赠企业给予税收优惠、品牌宣传等政策倾斜，对优秀公益项目颁发区级荣誉，形成示范效应。</w:t>
      </w:r>
    </w:p>
    <w:p w14:paraId="65241E4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打造“阅读+研学”品牌矩阵，深化服务内涵</w:t>
      </w:r>
    </w:p>
    <w:p w14:paraId="30FA53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1.名家领读计划：</w:t>
      </w:r>
      <w:r>
        <w:rPr>
          <w:rFonts w:hint="eastAsia" w:ascii="仿宋_GB2312" w:hAnsi="仿宋_GB2312" w:eastAsia="仿宋_GB2312" w:cs="仿宋_GB2312"/>
          <w:sz w:val="32"/>
          <w:szCs w:val="32"/>
        </w:rPr>
        <w:t>①联合作家协会，开展“名家进校园”“一月一社区”公益讲座。②联合出版社，开发《番禺故事》《岭南古建在番禺》等系列分级出版物，配套开发有声读物、数字绘本等数字产品以及设计“跟着名家走读番禺”主题研学体验式产品。</w:t>
      </w:r>
    </w:p>
    <w:p w14:paraId="475B7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2.智慧社区打造计划：</w:t>
      </w:r>
      <w:r>
        <w:rPr>
          <w:rFonts w:hint="eastAsia" w:ascii="仿宋_GB2312" w:hAnsi="仿宋_GB2312" w:eastAsia="仿宋_GB2312" w:cs="仿宋_GB2312"/>
          <w:sz w:val="32"/>
          <w:szCs w:val="32"/>
        </w:rPr>
        <w:t>①将闲置社区场地改造为“智慧阅读空间”，引入数字化借阅系统、有声书资源，增设亲子共读区、老年文化角等功能模块。②丰富社区文化活动内容和形式，定期开展阅读活动、亲子教育、家庭教育、心理讲堂、才艺拓展、社交娱乐等服务。③邀请非遗传承人、民间艺人走进社区，开设“番禺飘色制作体验”“广东音乐欣赏与创作”等活动；④串联博物馆、文化馆、余荫山房、广汽基地、海鸥岛等资源，开发本土特色研学线路，形成“一街镇一特色”研学地图。⑤开展“老幼共学”项目，如“银龄讲师团”带领青少年学习传统文化，青少年协助老年人使用智能设备，促进代际互动。</w:t>
      </w:r>
    </w:p>
    <w:p w14:paraId="2A001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3.校企社联动计划：</w:t>
      </w:r>
      <w:r>
        <w:rPr>
          <w:rFonts w:hint="eastAsia" w:ascii="仿宋_GB2312" w:hAnsi="仿宋_GB2312" w:eastAsia="仿宋_GB2312" w:cs="仿宋_GB2312"/>
          <w:sz w:val="32"/>
          <w:szCs w:val="32"/>
        </w:rPr>
        <w:t>①学校与社区、企业共同建立家长积分激励机制，家长参与社区组织活动可累积积分，用于兑换企业提供的培训优惠、文化产品或服务。②联合银行、出版社、科研机构等企业，开设“职业体验日”，邀请学生走进企业，开展模拟岗位实践，并将其纳入学校综合实践活动课程体系。③支持企业通过冠名、开发联名文创产品等方式实现商业化反哺，延伸文化产业链。</w:t>
      </w:r>
    </w:p>
    <w:p w14:paraId="02C7F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（三）完善机制保障，确保长效运行</w:t>
      </w:r>
    </w:p>
    <w:p w14:paraId="74115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1.强化组织保障：</w:t>
      </w:r>
      <w:r>
        <w:rPr>
          <w:rFonts w:hint="eastAsia" w:ascii="仿宋_GB2312" w:hAnsi="仿宋_GB2312" w:eastAsia="仿宋_GB2312" w:cs="仿宋_GB2312"/>
          <w:sz w:val="32"/>
          <w:szCs w:val="32"/>
        </w:rPr>
        <w:t>成立区级工作领导小组，由分管副区长统筹，教育、文旅、民政、街道等多部门协同，定期召开联席会议。</w:t>
      </w:r>
    </w:p>
    <w:p w14:paraId="320C7B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2.健全评估体系：</w:t>
      </w:r>
      <w:r>
        <w:rPr>
          <w:rFonts w:hint="eastAsia" w:ascii="仿宋_GB2312" w:hAnsi="仿宋_GB2312" w:eastAsia="仿宋_GB2312" w:cs="仿宋_GB2312"/>
          <w:sz w:val="32"/>
          <w:szCs w:val="32"/>
        </w:rPr>
        <w:t>引入第三方机构对项目成效进行年度评估，重点考核资源利用率、居民满意度、学生素养提升等指标。</w:t>
      </w:r>
    </w:p>
    <w:p w14:paraId="5B9C89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3.加强宣传推广：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通过融媒体平台打造“读行番禺”专栏，报道典型案例，扩大社会影响力。</w:t>
      </w:r>
    </w:p>
    <w:p w14:paraId="6DB37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通过此举，将有助于提高番禺区的文化教育质量，提升青少年的文化素养和社会认同，同时解决“一老一小”的服务问题，进一步带动相关产业发展，促进区域经济增长，实现社会效益和经济效益的最大化。</w:t>
      </w:r>
    </w:p>
    <w:sectPr>
      <w:footerReference r:id="rId4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33D5D7D8-CCB4-4F61-9853-686A6709E20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4898E5F-4033-496A-A062-1C041840375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582B500-1C9A-46C1-B7BF-A07B6FD4D51D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933FB88-8794-4195-99B4-2D75D2A727D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78AEE036-1FA2-4CAC-8F9F-AC4EE188C95C}"/>
  </w:font>
  <w:font w:name="国标仿宋">
    <w:altName w:val="仿宋"/>
    <w:panose1 w:val="00000000000000000000"/>
    <w:charset w:val="86"/>
    <w:family w:val="auto"/>
    <w:pitch w:val="default"/>
    <w:sig w:usb0="00000000" w:usb1="00000000" w:usb2="00000016" w:usb3="00000000" w:csb0="00060007" w:csb1="00000000"/>
    <w:embedRegular r:id="rId6" w:fontKey="{346955CF-7524-438F-A032-5D7EFD59885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1487E1">
    <w:pPr>
      <w:pStyle w:val="7"/>
      <w:rPr>
        <w:rStyle w:val="18"/>
      </w:rPr>
    </w:pPr>
    <w:r>
      <w:pict>
        <v:rect id="文本框 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Ll1uVLQAAAABQEAAA8AAAAAAAAAAQAgAAAAIgAAAGRycy9kb3ducmV2LnhtbFBL&#10;AQIUABQAAAAIAIdO4kAVXXP8xQEAAIoDAAAOAAAAAAAAAAEAIAAAAB8BAABkcnMvZTJvRG9jLnht&#10;bFBLBQYAAAAABgAGAFkBAABWBQAAAAA=&#10;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 w14:paraId="6DE07C23">
                <w:pPr>
                  <w:pStyle w:val="7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rect>
      </w:pict>
    </w:r>
    <w:r>
      <w:rPr>
        <w:rStyle w:val="18"/>
      </w:rPr>
      <w:pict>
        <v:rect id="文本框 1025" o:spid="_x0000_s1027" o:spt="1" style="position:absolute;left:0pt;margin-top:0pt;height:144pt;width:144pt;mso-position-horizontal:center;mso-position-horizontal-relative:margin;z-index:251660288;mso-width-relative:page;mso-height-relative:page;" filled="f" stroked="f" coordsize="21600,21600" o:gfxdata="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Wa2Y8tMA&#10;AAAFAQAADwAAAAAAAAABACAAAAAiAAAAZHJzL2Rvd25yZXYueG1sUEsBAhQAFAAAAAgAh07iQJGJ&#10;wimyAQAAZAMAAA4AAAAAAAAAAQAgAAAAIgEAAGRycy9lMm9Eb2MueG1sUEsFBgAAAAAGAAYAWQEA&#10;AEYFAAAAAA==&#10;">
          <v:path/>
          <v:fill on="f" focussize="0,0"/>
          <v:stroke on="f"/>
          <v:imagedata o:title=""/>
          <o:lock v:ext="edit"/>
          <v:textbox inset="0mm,0mm,0mm,0mm">
            <w:txbxContent>
              <w:p w14:paraId="2CA15F78">
                <w:pPr>
                  <w:snapToGrid w:val="0"/>
                  <w:rPr>
                    <w:rStyle w:val="18"/>
                    <w:sz w:val="18"/>
                  </w:rPr>
                </w:pPr>
              </w:p>
              <w:p w14:paraId="07555CB2">
                <w:pPr>
                  <w:rPr>
                    <w:rStyle w:val="18"/>
                  </w:rPr>
                </w:pPr>
              </w:p>
            </w:txbxContent>
          </v:textbox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 w14:paraId="54FAD415">
      <w:pPr>
        <w:pStyle w:val="9"/>
        <w:rPr>
          <w:sz w:val="16"/>
          <w:szCs w:val="22"/>
        </w:rPr>
      </w:pPr>
      <w:r>
        <w:rPr>
          <w:rFonts w:hint="eastAsia"/>
          <w:sz w:val="16"/>
          <w:szCs w:val="22"/>
        </w:rPr>
        <w:footnoteRef/>
      </w:r>
      <w:r>
        <w:rPr>
          <w:rFonts w:hint="eastAsia"/>
          <w:sz w:val="16"/>
          <w:szCs w:val="22"/>
        </w:rPr>
        <w:t xml:space="preserve"> 国务院办公厅印发《关于推动文化高质量发展的若干经济政策》的通知</w:t>
      </w:r>
    </w:p>
  </w:footnote>
  <w:footnote w:id="1">
    <w:p w14:paraId="7D3C8971">
      <w:pPr>
        <w:pStyle w:val="9"/>
        <w:rPr>
          <w:sz w:val="16"/>
          <w:szCs w:val="22"/>
        </w:rPr>
      </w:pPr>
      <w:r>
        <w:rPr>
          <w:rFonts w:hint="eastAsia"/>
          <w:sz w:val="16"/>
          <w:szCs w:val="22"/>
        </w:rPr>
        <w:footnoteRef/>
      </w:r>
      <w:r>
        <w:rPr>
          <w:rFonts w:hint="eastAsia"/>
          <w:sz w:val="16"/>
          <w:szCs w:val="22"/>
        </w:rPr>
        <w:t xml:space="preserve"> 《走向协同，社区图书馆服务供给机制创新》吴金鹏 林风谦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chineseCounting"/>
      <w:suff w:val="nothing"/>
      <w:lvlText w:val="（%1）"/>
      <w:lvlJc w:val="left"/>
      <w:rPr>
        <w:rFonts w:hint="eastAsia"/>
        <w:b/>
        <w:bCs/>
      </w:rPr>
    </w:lvl>
  </w:abstractNum>
  <w:abstractNum w:abstractNumId="1">
    <w:nsid w:val="58870060"/>
    <w:multiLevelType w:val="singleLevel"/>
    <w:tmpl w:val="5887006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oNotUseMarginsForDrawingGridOrigin w:val="1"/>
  <w:drawingGridHorizontalOrigin w:val="1800"/>
  <w:drawingGridVerticalOrigin w:val="1440"/>
  <w:noPunctuationKerning w:val="1"/>
  <w:characterSpacingControl w:val="doNotCompress"/>
  <w:hdrShapeDefaults>
    <o:shapelayout v:ext="edit">
      <o:idmap v:ext="edit" data="1"/>
    </o:shapelayout>
  </w:hdrShapeDefaults>
  <w:footnotePr>
    <w:footnote w:id="4"/>
    <w:footnote w:id="5"/>
  </w:footnotePr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95ED1"/>
    <w:rsid w:val="000F1926"/>
    <w:rsid w:val="002235CA"/>
    <w:rsid w:val="00483C5D"/>
    <w:rsid w:val="005E72E5"/>
    <w:rsid w:val="00895ED1"/>
    <w:rsid w:val="00A12741"/>
    <w:rsid w:val="00B03468"/>
    <w:rsid w:val="00B92181"/>
    <w:rsid w:val="00F65268"/>
    <w:rsid w:val="00FF058C"/>
    <w:rsid w:val="01154EDD"/>
    <w:rsid w:val="011A24F4"/>
    <w:rsid w:val="020E3E06"/>
    <w:rsid w:val="021F4265"/>
    <w:rsid w:val="026E2AF7"/>
    <w:rsid w:val="027654C7"/>
    <w:rsid w:val="02916D6E"/>
    <w:rsid w:val="036F6B27"/>
    <w:rsid w:val="03767EB5"/>
    <w:rsid w:val="037B0E94"/>
    <w:rsid w:val="03C54999"/>
    <w:rsid w:val="04185410"/>
    <w:rsid w:val="0433224A"/>
    <w:rsid w:val="04F73278"/>
    <w:rsid w:val="06085010"/>
    <w:rsid w:val="060E6ACB"/>
    <w:rsid w:val="06222576"/>
    <w:rsid w:val="064F5C7C"/>
    <w:rsid w:val="06514477"/>
    <w:rsid w:val="06982838"/>
    <w:rsid w:val="074D5B0C"/>
    <w:rsid w:val="076F17EB"/>
    <w:rsid w:val="07C80EFB"/>
    <w:rsid w:val="081303C8"/>
    <w:rsid w:val="08CE42EF"/>
    <w:rsid w:val="09862E1C"/>
    <w:rsid w:val="098B0432"/>
    <w:rsid w:val="098C4D36"/>
    <w:rsid w:val="09BB0D18"/>
    <w:rsid w:val="09EC7123"/>
    <w:rsid w:val="0A650C83"/>
    <w:rsid w:val="0AB47515"/>
    <w:rsid w:val="0B022976"/>
    <w:rsid w:val="0B1D155E"/>
    <w:rsid w:val="0B354AFA"/>
    <w:rsid w:val="0BDC31C7"/>
    <w:rsid w:val="0C7B3EEE"/>
    <w:rsid w:val="0C8D0E33"/>
    <w:rsid w:val="0CA710DF"/>
    <w:rsid w:val="0D611BD6"/>
    <w:rsid w:val="0DAE2941"/>
    <w:rsid w:val="0DB02216"/>
    <w:rsid w:val="0F1E7653"/>
    <w:rsid w:val="0F8E6586"/>
    <w:rsid w:val="0FC2411A"/>
    <w:rsid w:val="0FD20B69"/>
    <w:rsid w:val="0FE60171"/>
    <w:rsid w:val="10262F80"/>
    <w:rsid w:val="10E072B6"/>
    <w:rsid w:val="11FF19BD"/>
    <w:rsid w:val="123A29F6"/>
    <w:rsid w:val="13A04ADA"/>
    <w:rsid w:val="14A10EC5"/>
    <w:rsid w:val="14F65D16"/>
    <w:rsid w:val="150D43F1"/>
    <w:rsid w:val="159D39C7"/>
    <w:rsid w:val="16201F02"/>
    <w:rsid w:val="16730284"/>
    <w:rsid w:val="1674297A"/>
    <w:rsid w:val="16AF39B2"/>
    <w:rsid w:val="17824C23"/>
    <w:rsid w:val="17BB0135"/>
    <w:rsid w:val="17D41F08"/>
    <w:rsid w:val="17F11DA8"/>
    <w:rsid w:val="18046F8A"/>
    <w:rsid w:val="18273A1C"/>
    <w:rsid w:val="18A964DB"/>
    <w:rsid w:val="18FC27B3"/>
    <w:rsid w:val="192A6E6C"/>
    <w:rsid w:val="192D6E10"/>
    <w:rsid w:val="19510D51"/>
    <w:rsid w:val="197131A1"/>
    <w:rsid w:val="1A0C111B"/>
    <w:rsid w:val="1B040045"/>
    <w:rsid w:val="1B862808"/>
    <w:rsid w:val="1BEC3F15"/>
    <w:rsid w:val="1C0302FC"/>
    <w:rsid w:val="1CB17D58"/>
    <w:rsid w:val="1E480F24"/>
    <w:rsid w:val="1F1F71FB"/>
    <w:rsid w:val="20052895"/>
    <w:rsid w:val="21611D4D"/>
    <w:rsid w:val="216D63B9"/>
    <w:rsid w:val="218B0B78"/>
    <w:rsid w:val="21F91F85"/>
    <w:rsid w:val="22745AB0"/>
    <w:rsid w:val="228C4BA7"/>
    <w:rsid w:val="237D0994"/>
    <w:rsid w:val="23F070D9"/>
    <w:rsid w:val="242A28CA"/>
    <w:rsid w:val="251406E0"/>
    <w:rsid w:val="251B5988"/>
    <w:rsid w:val="260B4E2D"/>
    <w:rsid w:val="264B4D7A"/>
    <w:rsid w:val="269C3827"/>
    <w:rsid w:val="26CA2142"/>
    <w:rsid w:val="27CC5A46"/>
    <w:rsid w:val="28EA087A"/>
    <w:rsid w:val="29CB64AF"/>
    <w:rsid w:val="2A6F54DA"/>
    <w:rsid w:val="2AD6555A"/>
    <w:rsid w:val="2AF4778E"/>
    <w:rsid w:val="2BA07916"/>
    <w:rsid w:val="2C1F083A"/>
    <w:rsid w:val="2D1759B5"/>
    <w:rsid w:val="2DD27B56"/>
    <w:rsid w:val="2E1A39AF"/>
    <w:rsid w:val="2E777584"/>
    <w:rsid w:val="2F68699C"/>
    <w:rsid w:val="2FA15A0A"/>
    <w:rsid w:val="2FC33BD3"/>
    <w:rsid w:val="2FFF10AF"/>
    <w:rsid w:val="306E7E67"/>
    <w:rsid w:val="30986E0D"/>
    <w:rsid w:val="30B10C23"/>
    <w:rsid w:val="31012C04"/>
    <w:rsid w:val="316A69FC"/>
    <w:rsid w:val="318C409C"/>
    <w:rsid w:val="31D16A7B"/>
    <w:rsid w:val="323668DE"/>
    <w:rsid w:val="32F6606D"/>
    <w:rsid w:val="32FD11AA"/>
    <w:rsid w:val="3361798A"/>
    <w:rsid w:val="33B2468A"/>
    <w:rsid w:val="340530DB"/>
    <w:rsid w:val="340A1DD0"/>
    <w:rsid w:val="3481715A"/>
    <w:rsid w:val="34E02B31"/>
    <w:rsid w:val="35CD57AB"/>
    <w:rsid w:val="3651018A"/>
    <w:rsid w:val="368C2F70"/>
    <w:rsid w:val="36B424C7"/>
    <w:rsid w:val="36E15AC9"/>
    <w:rsid w:val="38084878"/>
    <w:rsid w:val="382C4A0B"/>
    <w:rsid w:val="38C84008"/>
    <w:rsid w:val="392F51F9"/>
    <w:rsid w:val="399D36E6"/>
    <w:rsid w:val="3A0F6392"/>
    <w:rsid w:val="3A1F5EA9"/>
    <w:rsid w:val="3A742699"/>
    <w:rsid w:val="3AF85078"/>
    <w:rsid w:val="3B003F2D"/>
    <w:rsid w:val="3B2E6D56"/>
    <w:rsid w:val="3BD17677"/>
    <w:rsid w:val="3C4E0CC8"/>
    <w:rsid w:val="3CA65C2B"/>
    <w:rsid w:val="3DEB0EC4"/>
    <w:rsid w:val="3E371A14"/>
    <w:rsid w:val="3EA13331"/>
    <w:rsid w:val="3EE15E23"/>
    <w:rsid w:val="3F00466A"/>
    <w:rsid w:val="3F010273"/>
    <w:rsid w:val="3F057D64"/>
    <w:rsid w:val="3F1C50AD"/>
    <w:rsid w:val="3F593C0C"/>
    <w:rsid w:val="3FA94B93"/>
    <w:rsid w:val="401364B0"/>
    <w:rsid w:val="404C3770"/>
    <w:rsid w:val="419D24D5"/>
    <w:rsid w:val="41E225DE"/>
    <w:rsid w:val="41F36599"/>
    <w:rsid w:val="42091919"/>
    <w:rsid w:val="42426BD9"/>
    <w:rsid w:val="42DA5063"/>
    <w:rsid w:val="42F06635"/>
    <w:rsid w:val="433B1FA6"/>
    <w:rsid w:val="43FA577F"/>
    <w:rsid w:val="445B21D4"/>
    <w:rsid w:val="44670B79"/>
    <w:rsid w:val="44B244EA"/>
    <w:rsid w:val="45717F01"/>
    <w:rsid w:val="460C19D8"/>
    <w:rsid w:val="462A00B0"/>
    <w:rsid w:val="46A9191C"/>
    <w:rsid w:val="46E75FA1"/>
    <w:rsid w:val="47213261"/>
    <w:rsid w:val="474369B1"/>
    <w:rsid w:val="477C493B"/>
    <w:rsid w:val="47D74267"/>
    <w:rsid w:val="48045642"/>
    <w:rsid w:val="48EE3617"/>
    <w:rsid w:val="49AB1ED1"/>
    <w:rsid w:val="4A0C5DA6"/>
    <w:rsid w:val="4A5B2F2E"/>
    <w:rsid w:val="4AD8632C"/>
    <w:rsid w:val="4AFC4DD9"/>
    <w:rsid w:val="4B5D6832"/>
    <w:rsid w:val="4BD27220"/>
    <w:rsid w:val="4C6065D9"/>
    <w:rsid w:val="4C891FD4"/>
    <w:rsid w:val="4CA7245A"/>
    <w:rsid w:val="4CE27936"/>
    <w:rsid w:val="4EEF1E97"/>
    <w:rsid w:val="4F0040A4"/>
    <w:rsid w:val="4F905428"/>
    <w:rsid w:val="4FDF015D"/>
    <w:rsid w:val="4FFE6835"/>
    <w:rsid w:val="508605D9"/>
    <w:rsid w:val="50E05F3B"/>
    <w:rsid w:val="51111A9C"/>
    <w:rsid w:val="511A2E6A"/>
    <w:rsid w:val="511E4CB5"/>
    <w:rsid w:val="514F4E6E"/>
    <w:rsid w:val="51784790"/>
    <w:rsid w:val="52626BDB"/>
    <w:rsid w:val="52BB6C5F"/>
    <w:rsid w:val="52DB2E5E"/>
    <w:rsid w:val="530F6FAB"/>
    <w:rsid w:val="538C4158"/>
    <w:rsid w:val="547C241E"/>
    <w:rsid w:val="54ED6E78"/>
    <w:rsid w:val="55455348"/>
    <w:rsid w:val="55BD4A9D"/>
    <w:rsid w:val="564D4072"/>
    <w:rsid w:val="56981066"/>
    <w:rsid w:val="56B7773E"/>
    <w:rsid w:val="56F97D56"/>
    <w:rsid w:val="5705494D"/>
    <w:rsid w:val="57AB782F"/>
    <w:rsid w:val="57EE53E1"/>
    <w:rsid w:val="58C779E0"/>
    <w:rsid w:val="58E961BB"/>
    <w:rsid w:val="59B9791F"/>
    <w:rsid w:val="59C208D3"/>
    <w:rsid w:val="5A831959"/>
    <w:rsid w:val="5ABB7790"/>
    <w:rsid w:val="5B6A2FD1"/>
    <w:rsid w:val="5BA1276A"/>
    <w:rsid w:val="5BED3C02"/>
    <w:rsid w:val="5D0134C1"/>
    <w:rsid w:val="5D325D70"/>
    <w:rsid w:val="5D7E2D63"/>
    <w:rsid w:val="5DA84284"/>
    <w:rsid w:val="5E323B4E"/>
    <w:rsid w:val="5E341674"/>
    <w:rsid w:val="5EBD3D5F"/>
    <w:rsid w:val="5EC21376"/>
    <w:rsid w:val="5F0E3C81"/>
    <w:rsid w:val="5FE175D9"/>
    <w:rsid w:val="5FE315A4"/>
    <w:rsid w:val="60DA0BF8"/>
    <w:rsid w:val="616B7AA3"/>
    <w:rsid w:val="618741B1"/>
    <w:rsid w:val="618D7A19"/>
    <w:rsid w:val="61A94127"/>
    <w:rsid w:val="62031A89"/>
    <w:rsid w:val="621517BC"/>
    <w:rsid w:val="62426A55"/>
    <w:rsid w:val="626A7D5A"/>
    <w:rsid w:val="62C31218"/>
    <w:rsid w:val="63D57455"/>
    <w:rsid w:val="648F3AA8"/>
    <w:rsid w:val="64D0549B"/>
    <w:rsid w:val="64D23995"/>
    <w:rsid w:val="655A40B6"/>
    <w:rsid w:val="65C23A09"/>
    <w:rsid w:val="66083B12"/>
    <w:rsid w:val="660E6C4E"/>
    <w:rsid w:val="669435F8"/>
    <w:rsid w:val="66C57C55"/>
    <w:rsid w:val="67256946"/>
    <w:rsid w:val="676A4358"/>
    <w:rsid w:val="67D0065F"/>
    <w:rsid w:val="685C6397"/>
    <w:rsid w:val="68AA0EB0"/>
    <w:rsid w:val="68AC69FE"/>
    <w:rsid w:val="699E02E9"/>
    <w:rsid w:val="69C42446"/>
    <w:rsid w:val="6A3C1FDC"/>
    <w:rsid w:val="6A6A3676"/>
    <w:rsid w:val="6AB73D58"/>
    <w:rsid w:val="6B7439F8"/>
    <w:rsid w:val="6BC4672D"/>
    <w:rsid w:val="6BE50451"/>
    <w:rsid w:val="6BFD579B"/>
    <w:rsid w:val="6C152AE5"/>
    <w:rsid w:val="6C77379F"/>
    <w:rsid w:val="6C8474F8"/>
    <w:rsid w:val="6CB73B9C"/>
    <w:rsid w:val="6D0A34C9"/>
    <w:rsid w:val="6D1A237D"/>
    <w:rsid w:val="6D9739CD"/>
    <w:rsid w:val="6DBE71AC"/>
    <w:rsid w:val="6EBF31DC"/>
    <w:rsid w:val="6F2C742A"/>
    <w:rsid w:val="6FAD74D8"/>
    <w:rsid w:val="6FB46AB9"/>
    <w:rsid w:val="70291255"/>
    <w:rsid w:val="706978A3"/>
    <w:rsid w:val="70966932"/>
    <w:rsid w:val="71A16BC9"/>
    <w:rsid w:val="72DB435C"/>
    <w:rsid w:val="73261A7B"/>
    <w:rsid w:val="73C02036"/>
    <w:rsid w:val="73E57241"/>
    <w:rsid w:val="73F456D6"/>
    <w:rsid w:val="748C3B60"/>
    <w:rsid w:val="751F2C26"/>
    <w:rsid w:val="753D12FE"/>
    <w:rsid w:val="75930F1E"/>
    <w:rsid w:val="75F56993"/>
    <w:rsid w:val="765E2FD2"/>
    <w:rsid w:val="76F93003"/>
    <w:rsid w:val="771F2A69"/>
    <w:rsid w:val="778622A7"/>
    <w:rsid w:val="789B25C4"/>
    <w:rsid w:val="78A376CA"/>
    <w:rsid w:val="793B4DF1"/>
    <w:rsid w:val="79F11130"/>
    <w:rsid w:val="7B494559"/>
    <w:rsid w:val="7B4C5DF7"/>
    <w:rsid w:val="7B4F7695"/>
    <w:rsid w:val="7BEB5610"/>
    <w:rsid w:val="7BF546E1"/>
    <w:rsid w:val="7CAD6D69"/>
    <w:rsid w:val="7D052701"/>
    <w:rsid w:val="7D3D7E25"/>
    <w:rsid w:val="7D4F1BCF"/>
    <w:rsid w:val="7D935F5F"/>
    <w:rsid w:val="7DA97531"/>
    <w:rsid w:val="7E014D45"/>
    <w:rsid w:val="7E1846B6"/>
    <w:rsid w:val="7E4B683A"/>
    <w:rsid w:val="7EB73ECF"/>
    <w:rsid w:val="7F8C710A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ascii="Arial" w:hAnsi="Arial" w:eastAsia="黑体"/>
      <w:sz w:val="44"/>
    </w:rPr>
  </w:style>
  <w:style w:type="paragraph" w:styleId="4">
    <w:name w:val="heading 3"/>
    <w:basedOn w:val="1"/>
    <w:next w:val="1"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cs="宋体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qFormat/>
    <w:uiPriority w:val="0"/>
    <w:pPr>
      <w:widowControl w:val="0"/>
      <w:ind w:firstLine="420" w:firstLineChars="10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paragraph" w:styleId="5">
    <w:name w:val="Body Text"/>
    <w:next w:val="6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paragraph" w:styleId="6">
    <w:name w:val="toc 5"/>
    <w:next w:val="1"/>
    <w:qFormat/>
    <w:uiPriority w:val="0"/>
    <w:pPr>
      <w:widowControl w:val="0"/>
      <w:ind w:left="168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footnote text"/>
    <w:basedOn w:val="1"/>
    <w:qFormat/>
    <w:uiPriority w:val="99"/>
    <w:pPr>
      <w:snapToGrid w:val="0"/>
      <w:jc w:val="left"/>
    </w:pPr>
    <w:rPr>
      <w:sz w:val="18"/>
    </w:rPr>
  </w:style>
  <w:style w:type="paragraph" w:styleId="10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Emphasis"/>
    <w:basedOn w:val="12"/>
    <w:qFormat/>
    <w:uiPriority w:val="20"/>
    <w:rPr>
      <w:i/>
    </w:rPr>
  </w:style>
  <w:style w:type="character" w:styleId="15">
    <w:name w:val="Hyperlink"/>
    <w:basedOn w:val="12"/>
    <w:qFormat/>
    <w:uiPriority w:val="99"/>
    <w:rPr>
      <w:color w:val="0000FF"/>
      <w:u w:val="single"/>
    </w:rPr>
  </w:style>
  <w:style w:type="character" w:styleId="16">
    <w:name w:val="footnote reference"/>
    <w:basedOn w:val="12"/>
    <w:qFormat/>
    <w:uiPriority w:val="99"/>
    <w:rPr>
      <w:vertAlign w:val="superscript"/>
    </w:rPr>
  </w:style>
  <w:style w:type="paragraph" w:customStyle="1" w:styleId="17">
    <w:name w:val="Heading1"/>
    <w:basedOn w:val="1"/>
    <w:next w:val="1"/>
    <w:qFormat/>
    <w:uiPriority w:val="0"/>
    <w:pPr>
      <w:keepNext/>
      <w:keepLines/>
      <w:spacing w:before="340" w:after="330" w:line="578" w:lineRule="auto"/>
    </w:pPr>
    <w:rPr>
      <w:kern w:val="44"/>
      <w:sz w:val="44"/>
      <w:szCs w:val="44"/>
    </w:rPr>
  </w:style>
  <w:style w:type="character" w:customStyle="1" w:styleId="18">
    <w:name w:val="NormalCharacter"/>
    <w:qFormat/>
    <w:uiPriority w:val="0"/>
  </w:style>
  <w:style w:type="table" w:customStyle="1" w:styleId="19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0">
    <w:name w:val="UserStyle_0"/>
    <w:basedOn w:val="1"/>
    <w:qFormat/>
    <w:uiPriority w:val="0"/>
    <w:pPr>
      <w:ind w:firstLine="420" w:firstLineChars="200"/>
    </w:pPr>
  </w:style>
  <w:style w:type="table" w:customStyle="1" w:styleId="21">
    <w:name w:val="TableGrid"/>
    <w:basedOn w:val="19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395</Words>
  <Characters>2258</Characters>
  <Lines>18</Lines>
  <Paragraphs>5</Paragraphs>
  <TotalTime>3</TotalTime>
  <ScaleCrop>false</ScaleCrop>
  <LinksUpToDate>false</LinksUpToDate>
  <CharactersWithSpaces>2648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2025-03-06T01:50:00Z</dcterms:created>
  <dc:creator>Administrator</dc:creator>
  <cp:lastModifiedBy>user</cp:lastModifiedBy>
  <cp:lastPrinted>2025-03-06T09:58:00Z</cp:lastPrinted>
  <dcterms:modified xsi:type="dcterms:W3CDTF">2026-01-06T03:09:39Z</dcterms:modified>
  <dc:title>佛山市南海区第十七届人民代表大会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19AB021885544A7CAB9419FC3670FCF7_13</vt:lpwstr>
  </property>
  <property fmtid="{D5CDD505-2E9C-101B-9397-08002B2CF9AE}" pid="4" name="KSOTemplateDocerSaveRecord">
    <vt:lpwstr>eyJoZGlkIjoiMWQ5M2MxYTZkOWRhZmFmZmQ2YTMwNGJmNGIxOWM0NDIiLCJ1c2VySWQiOiI0NTA0ODA5NjAifQ==</vt:lpwstr>
  </property>
</Properties>
</file>