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C0986E">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48</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14:paraId="3FA1DF68">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次会议提案</w:t>
      </w:r>
    </w:p>
    <w:tbl>
      <w:tblPr>
        <w:tblStyle w:val="8"/>
        <w:tblW w:w="9195" w:type="dxa"/>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9"/>
        <w:gridCol w:w="2977"/>
        <w:gridCol w:w="1276"/>
        <w:gridCol w:w="2913"/>
      </w:tblGrid>
      <w:tr w14:paraId="01D2F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56CBA8E3">
            <w:pPr>
              <w:spacing w:line="680" w:lineRule="exact"/>
              <w:jc w:val="center"/>
              <w:rPr>
                <w:rFonts w:ascii="仿宋_GB2312" w:hAnsi="宋体" w:eastAsia="仿宋_GB2312"/>
                <w:sz w:val="32"/>
                <w:szCs w:val="32"/>
              </w:rPr>
            </w:pPr>
            <w:r>
              <w:rPr>
                <w:rFonts w:hint="eastAsia" w:ascii="仿宋_GB2312" w:hAnsi="宋体" w:eastAsia="仿宋_GB2312"/>
                <w:sz w:val="32"/>
                <w:szCs w:val="32"/>
              </w:rPr>
              <w:t>题</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目</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3A5F9806">
            <w:pPr>
              <w:numPr>
                <w:ilvl w:val="0"/>
                <w:numId w:val="0"/>
              </w:numPr>
              <w:spacing w:line="660" w:lineRule="exact"/>
              <w:ind w:leftChars="0"/>
              <w:jc w:val="center"/>
              <w:rPr>
                <w:rFonts w:hint="default" w:ascii="仿宋_GB2312" w:hAnsi="宋体" w:eastAsia="仿宋_GB2312"/>
                <w:sz w:val="32"/>
                <w:szCs w:val="32"/>
                <w:lang w:val="en-US" w:eastAsia="zh-CN"/>
              </w:rPr>
            </w:pPr>
            <w:r>
              <w:rPr>
                <w:rFonts w:hint="eastAsia" w:ascii="仿宋_GB2312" w:hAnsi="宋体" w:eastAsia="仿宋_GB2312"/>
                <w:sz w:val="32"/>
                <w:szCs w:val="32"/>
                <w:lang w:eastAsia="zh-CN"/>
              </w:rPr>
              <w:t>关于推动社会力量参与提供基本养老服务，发展普惠性养老服务，扩大优质养老服务供给的建议</w:t>
            </w:r>
          </w:p>
        </w:tc>
      </w:tr>
      <w:tr w14:paraId="68E28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2029" w:type="dxa"/>
            <w:tcBorders>
              <w:top w:val="single" w:color="auto" w:sz="4" w:space="0"/>
              <w:left w:val="single" w:color="auto" w:sz="4" w:space="0"/>
              <w:right w:val="single" w:color="auto" w:sz="4" w:space="0"/>
            </w:tcBorders>
            <w:noWrap w:val="0"/>
            <w:vAlign w:val="center"/>
          </w:tcPr>
          <w:p w14:paraId="1310B4C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rPr>
            </w:pPr>
            <w:r>
              <w:rPr>
                <w:rFonts w:hint="eastAsia" w:ascii="仿宋_GB2312" w:hAnsi="宋体" w:eastAsia="仿宋_GB2312"/>
                <w:sz w:val="32"/>
                <w:szCs w:val="32"/>
              </w:rPr>
              <w:t>提</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案</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者</w:t>
            </w:r>
          </w:p>
          <w:p w14:paraId="5945B89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仿宋_GB2312"/>
                <w:lang w:eastAsia="zh-CN"/>
              </w:rPr>
            </w:pPr>
            <w:r>
              <w:rPr>
                <w:rFonts w:hint="eastAsia" w:ascii="仿宋_GB2312" w:hAnsi="宋体" w:eastAsia="仿宋_GB2312"/>
                <w:sz w:val="28"/>
                <w:szCs w:val="28"/>
                <w:lang w:val="en-US" w:eastAsia="zh-CN"/>
              </w:rPr>
              <w:t>（括号内注明主笔人）</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295355DD">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杜嘉进</w:t>
            </w:r>
          </w:p>
        </w:tc>
        <w:tc>
          <w:tcPr>
            <w:tcW w:w="1276" w:type="dxa"/>
            <w:tcBorders>
              <w:top w:val="single" w:color="auto" w:sz="4" w:space="0"/>
              <w:left w:val="single" w:color="auto" w:sz="4" w:space="0"/>
              <w:right w:val="single" w:color="auto" w:sz="4" w:space="0"/>
            </w:tcBorders>
            <w:noWrap w:val="0"/>
            <w:vAlign w:val="center"/>
          </w:tcPr>
          <w:p w14:paraId="75760EB4">
            <w:pPr>
              <w:spacing w:line="680" w:lineRule="exact"/>
              <w:jc w:val="center"/>
              <w:rPr>
                <w:rFonts w:ascii="仿宋_GB2312" w:hAnsi="宋体" w:eastAsia="仿宋_GB2312"/>
                <w:sz w:val="32"/>
                <w:szCs w:val="32"/>
              </w:rPr>
            </w:pPr>
            <w:r>
              <w:rPr>
                <w:rFonts w:hint="eastAsia" w:ascii="仿宋_GB2312" w:hAnsi="宋体" w:eastAsia="仿宋_GB2312"/>
                <w:sz w:val="32"/>
                <w:szCs w:val="32"/>
              </w:rPr>
              <w:t>联系人</w:t>
            </w:r>
          </w:p>
        </w:tc>
        <w:tc>
          <w:tcPr>
            <w:tcW w:w="2913" w:type="dxa"/>
            <w:tcBorders>
              <w:top w:val="single" w:color="auto" w:sz="4" w:space="0"/>
              <w:left w:val="single" w:color="auto" w:sz="4" w:space="0"/>
              <w:right w:val="single" w:color="auto" w:sz="4" w:space="0"/>
            </w:tcBorders>
            <w:noWrap w:val="0"/>
            <w:vAlign w:val="center"/>
          </w:tcPr>
          <w:p w14:paraId="36021062">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杜嘉进</w:t>
            </w:r>
          </w:p>
        </w:tc>
      </w:tr>
      <w:tr w14:paraId="39D3C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5AA611BB">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3B315ACE">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广州市南大实业有限公司</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EDA0600">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913" w:type="dxa"/>
            <w:tcBorders>
              <w:top w:val="single" w:color="auto" w:sz="4" w:space="0"/>
              <w:left w:val="single" w:color="auto" w:sz="4" w:space="0"/>
              <w:bottom w:val="single" w:color="auto" w:sz="4" w:space="0"/>
              <w:right w:val="single" w:color="auto" w:sz="4" w:space="0"/>
            </w:tcBorders>
            <w:noWrap w:val="0"/>
            <w:vAlign w:val="center"/>
          </w:tcPr>
          <w:p w14:paraId="373B3088">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总经理</w:t>
            </w:r>
          </w:p>
        </w:tc>
      </w:tr>
      <w:tr w14:paraId="71682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0D017036">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51F974F">
            <w:pPr>
              <w:spacing w:line="680" w:lineRule="exact"/>
              <w:jc w:val="center"/>
              <w:rPr>
                <w:rFonts w:hint="default" w:ascii="仿宋_GB2312" w:hAnsi="宋体" w:eastAsia="仿宋_GB2312"/>
                <w:sz w:val="32"/>
                <w:szCs w:val="32"/>
                <w:lang w:val="en-US" w:eastAsia="zh-CN"/>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B7FBBEA">
            <w:pPr>
              <w:spacing w:line="680" w:lineRule="exact"/>
              <w:jc w:val="center"/>
              <w:rPr>
                <w:rFonts w:ascii="仿宋_GB2312" w:hAnsi="宋体" w:eastAsia="仿宋_GB2312"/>
                <w:sz w:val="32"/>
                <w:szCs w:val="32"/>
              </w:rPr>
            </w:pPr>
            <w:r>
              <w:rPr>
                <w:rFonts w:hint="eastAsia" w:ascii="仿宋_GB2312" w:hAnsi="宋体" w:eastAsia="仿宋_GB2312"/>
                <w:spacing w:val="-28"/>
                <w:sz w:val="32"/>
                <w:szCs w:val="32"/>
              </w:rPr>
              <w:t>办公电话</w:t>
            </w:r>
          </w:p>
        </w:tc>
        <w:tc>
          <w:tcPr>
            <w:tcW w:w="2913" w:type="dxa"/>
            <w:tcBorders>
              <w:top w:val="single" w:color="auto" w:sz="4" w:space="0"/>
              <w:left w:val="single" w:color="auto" w:sz="4" w:space="0"/>
              <w:bottom w:val="single" w:color="auto" w:sz="4" w:space="0"/>
              <w:right w:val="single" w:color="auto" w:sz="4" w:space="0"/>
            </w:tcBorders>
            <w:noWrap w:val="0"/>
            <w:vAlign w:val="center"/>
          </w:tcPr>
          <w:p w14:paraId="4651CEC8">
            <w:pPr>
              <w:spacing w:line="680" w:lineRule="exact"/>
              <w:jc w:val="center"/>
              <w:rPr>
                <w:rFonts w:hint="default" w:ascii="仿宋_GB2312" w:hAnsi="宋体" w:eastAsia="仿宋_GB2312"/>
                <w:sz w:val="32"/>
                <w:szCs w:val="32"/>
                <w:lang w:val="en-US" w:eastAsia="zh-CN"/>
              </w:rPr>
            </w:pPr>
          </w:p>
        </w:tc>
      </w:tr>
      <w:tr w14:paraId="5A45F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014E9D80">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3D4F08AC">
            <w:pPr>
              <w:spacing w:line="680" w:lineRule="exact"/>
              <w:jc w:val="center"/>
              <w:rPr>
                <w:rFonts w:hint="default" w:ascii="仿宋_GB2312" w:hAnsi="宋体" w:eastAsia="仿宋_GB2312"/>
                <w:sz w:val="32"/>
                <w:szCs w:val="32"/>
                <w:lang w:val="en-US" w:eastAsia="zh-CN"/>
              </w:rPr>
            </w:pPr>
          </w:p>
        </w:tc>
      </w:tr>
      <w:tr w14:paraId="7A6C5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trPr>
        <w:tc>
          <w:tcPr>
            <w:tcW w:w="2029" w:type="dxa"/>
            <w:tcBorders>
              <w:top w:val="single" w:color="auto" w:sz="4" w:space="0"/>
              <w:left w:val="single" w:color="auto" w:sz="4" w:space="0"/>
              <w:bottom w:val="single" w:color="auto" w:sz="4" w:space="0"/>
              <w:right w:val="single" w:color="auto" w:sz="4" w:space="0"/>
            </w:tcBorders>
            <w:noWrap w:val="0"/>
            <w:vAlign w:val="center"/>
          </w:tcPr>
          <w:p w14:paraId="6DAFE809">
            <w:pPr>
              <w:spacing w:line="680" w:lineRule="exact"/>
              <w:jc w:val="center"/>
              <w:rPr>
                <w:rFonts w:ascii="仿宋_GB2312" w:hAnsi="宋体" w:eastAsia="仿宋_GB2312"/>
                <w:spacing w:val="-14"/>
                <w:sz w:val="32"/>
                <w:szCs w:val="32"/>
              </w:rPr>
            </w:pPr>
            <w:r>
              <w:rPr>
                <w:rFonts w:hint="eastAsia" w:ascii="仿宋_GB2312" w:hAnsi="宋体" w:eastAsia="仿宋_GB2312"/>
                <w:sz w:val="32"/>
                <w:szCs w:val="32"/>
              </w:rPr>
              <w:t>联名提案人</w:t>
            </w:r>
          </w:p>
        </w:tc>
        <w:tc>
          <w:tcPr>
            <w:tcW w:w="7166" w:type="dxa"/>
            <w:gridSpan w:val="3"/>
            <w:tcBorders>
              <w:top w:val="single" w:color="auto" w:sz="4" w:space="0"/>
              <w:left w:val="single" w:color="auto" w:sz="4" w:space="0"/>
              <w:bottom w:val="single" w:color="auto" w:sz="4" w:space="0"/>
              <w:right w:val="single" w:color="auto" w:sz="4" w:space="0"/>
            </w:tcBorders>
            <w:noWrap w:val="0"/>
            <w:vAlign w:val="top"/>
          </w:tcPr>
          <w:p w14:paraId="3C0010C3">
            <w:pPr>
              <w:spacing w:line="680" w:lineRule="exact"/>
              <w:jc w:val="both"/>
              <w:rPr>
                <w:rFonts w:ascii="仿宋_GB2312" w:hAnsi="宋体" w:eastAsia="仿宋_GB2312"/>
                <w:sz w:val="32"/>
                <w:szCs w:val="32"/>
              </w:rPr>
            </w:pPr>
            <w:r>
              <w:rPr>
                <w:rFonts w:hint="eastAsia" w:ascii="仿宋_GB2312" w:hAnsi="宋体" w:eastAsia="仿宋_GB2312"/>
                <w:spacing w:val="-14"/>
                <w:sz w:val="32"/>
                <w:szCs w:val="32"/>
              </w:rPr>
              <w:t>（</w:t>
            </w:r>
            <w:r>
              <w:rPr>
                <w:rFonts w:hint="default" w:ascii="仿宋_GB2312" w:hAnsi="仿宋_GB2312" w:eastAsia="仿宋_GB2312" w:cs="仿宋_GB2312"/>
                <w:kern w:val="2"/>
                <w:sz w:val="28"/>
                <w:szCs w:val="28"/>
                <w:lang w:val="en-US" w:eastAsia="zh-CN" w:bidi="ar-SA"/>
              </w:rPr>
              <w:t>一经提交不得再增加联名提案人</w:t>
            </w:r>
            <w:r>
              <w:rPr>
                <w:rFonts w:hint="eastAsia" w:ascii="仿宋_GB2312" w:hAnsi="宋体" w:eastAsia="仿宋_GB2312"/>
                <w:spacing w:val="-14"/>
                <w:sz w:val="32"/>
                <w:szCs w:val="32"/>
              </w:rPr>
              <w:t>）</w:t>
            </w:r>
          </w:p>
        </w:tc>
      </w:tr>
      <w:tr w14:paraId="23BCB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noWrap w:val="0"/>
            <w:vAlign w:val="center"/>
          </w:tcPr>
          <w:p w14:paraId="58E747A8">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14:paraId="122435F2">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7166" w:type="dxa"/>
            <w:gridSpan w:val="3"/>
            <w:tcBorders>
              <w:top w:val="single" w:color="auto" w:sz="4" w:space="0"/>
              <w:left w:val="single" w:color="auto" w:sz="4" w:space="0"/>
              <w:bottom w:val="single" w:color="auto" w:sz="4" w:space="0"/>
              <w:right w:val="single" w:color="auto" w:sz="4" w:space="0"/>
            </w:tcBorders>
            <w:noWrap w:val="0"/>
            <w:vAlign w:val="center"/>
          </w:tcPr>
          <w:p w14:paraId="32827C6E">
            <w:pPr>
              <w:spacing w:line="680" w:lineRule="exact"/>
              <w:jc w:val="center"/>
              <w:rPr>
                <w:rFonts w:ascii="仿宋_GB2312" w:hAnsi="宋体" w:eastAsia="仿宋_GB2312"/>
                <w:sz w:val="32"/>
                <w:szCs w:val="32"/>
              </w:rPr>
            </w:pPr>
            <w:r>
              <w:rPr>
                <w:rFonts w:hint="eastAsia" w:ascii="仿宋_GB2312" w:hAnsi="宋体" w:eastAsia="仿宋_GB2312"/>
                <w:sz w:val="32"/>
                <w:szCs w:val="32"/>
                <w:lang w:val="en-US" w:eastAsia="zh-CN"/>
              </w:rPr>
              <w:t>同意立案</w:t>
            </w:r>
          </w:p>
        </w:tc>
      </w:tr>
    </w:tbl>
    <w:p w14:paraId="0D402AEB">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14:paraId="3D1D34BF">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14:paraId="21B4A340">
      <w:pPr>
        <w:spacing w:line="440" w:lineRule="exact"/>
        <w:rPr>
          <w:rFonts w:hint="eastAsia" w:ascii="黑体" w:hAnsi="黑体" w:eastAsia="黑体"/>
          <w:b/>
          <w:sz w:val="32"/>
          <w:szCs w:val="32"/>
        </w:rPr>
      </w:pPr>
      <w:r>
        <w:rPr>
          <w:rFonts w:hint="eastAsia" w:ascii="宋体" w:hAnsi="宋体"/>
          <w:sz w:val="30"/>
          <w:szCs w:val="30"/>
          <w:lang w:eastAsia="zh-CN"/>
        </w:rPr>
        <w:t>是（</w:t>
      </w:r>
      <w:r>
        <w:rPr>
          <w:rFonts w:hint="eastAsia" w:ascii="宋体" w:hAnsi="宋体"/>
          <w:sz w:val="30"/>
          <w:szCs w:val="30"/>
          <w:lang w:val="en-US"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14:paraId="44E6DF65">
      <w:pPr>
        <w:spacing w:line="440" w:lineRule="exact"/>
        <w:rPr>
          <w:rFonts w:hint="eastAsia" w:ascii="黑体" w:hAnsi="黑体" w:eastAsia="黑体"/>
          <w:b/>
          <w:sz w:val="32"/>
          <w:szCs w:val="32"/>
        </w:rPr>
      </w:pPr>
    </w:p>
    <w:p w14:paraId="25344B9A">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b/>
          <w:sz w:val="32"/>
          <w:szCs w:val="32"/>
        </w:rPr>
      </w:pPr>
      <w:r>
        <w:rPr>
          <w:rFonts w:hint="eastAsia" w:ascii="黑体" w:hAnsi="黑体" w:eastAsia="黑体"/>
          <w:b/>
          <w:sz w:val="32"/>
          <w:szCs w:val="32"/>
        </w:rPr>
        <w:t>理由：</w:t>
      </w:r>
    </w:p>
    <w:p w14:paraId="03563C83">
      <w:pPr>
        <w:pStyle w:val="2"/>
        <w:keepNext w:val="0"/>
        <w:keepLines w:val="0"/>
        <w:pageBreakBefore w:val="0"/>
        <w:kinsoku/>
        <w:wordWrap/>
        <w:overflowPunct/>
        <w:topLinePunct w:val="0"/>
        <w:autoSpaceDE/>
        <w:autoSpaceDN/>
        <w:bidi w:val="0"/>
        <w:adjustRightInd/>
        <w:snapToGrid/>
        <w:spacing w:line="540" w:lineRule="exact"/>
        <w:ind w:left="0" w:leftChars="0" w:firstLine="640" w:firstLineChars="200"/>
        <w:textAlignment w:val="auto"/>
        <w:rPr>
          <w:rFonts w:hint="default"/>
          <w:lang w:val="en-US" w:eastAsia="zh-CN"/>
        </w:rPr>
      </w:pPr>
      <w:r>
        <w:rPr>
          <w:rFonts w:hint="eastAsia"/>
          <w:lang w:val="en-US" w:eastAsia="zh-CN"/>
        </w:rPr>
        <w:t>保障老有所依、老有所养是中华民族几千年来的传统美德。如今的长者正是当年带领新中国破旧立新、走向伟大复兴的奠基人，更是当今繁荣富强的祖国的建设者、参与者。关爱长者、丰富长者晚年生活是我们义不容辞的责任。仅靠财政力量对养老的支持是单薄的、有限的。结合广州市第十五届人大常</w:t>
      </w:r>
      <w:bookmarkStart w:id="0" w:name="_GoBack"/>
      <w:bookmarkEnd w:id="0"/>
      <w:r>
        <w:rPr>
          <w:rFonts w:hint="eastAsia"/>
          <w:lang w:val="en-US" w:eastAsia="zh-CN"/>
        </w:rPr>
        <w:t>委会于2021年5月26日公布的《广州市养老服务条例》，支持社会力量参与养老服务，构建全面开放、公平参与、竞争有序的养老服务市场。扩大优质养老服务供给，发挥社会力量在养老服务中的主体作用。</w:t>
      </w:r>
    </w:p>
    <w:p w14:paraId="70B27C87">
      <w:pPr>
        <w:pStyle w:val="2"/>
        <w:keepNext w:val="0"/>
        <w:keepLines w:val="0"/>
        <w:pageBreakBefore w:val="0"/>
        <w:kinsoku/>
        <w:wordWrap/>
        <w:overflowPunct/>
        <w:topLinePunct w:val="0"/>
        <w:autoSpaceDE/>
        <w:autoSpaceDN/>
        <w:bidi w:val="0"/>
        <w:adjustRightInd/>
        <w:snapToGrid/>
        <w:spacing w:line="540" w:lineRule="exact"/>
        <w:ind w:left="0" w:leftChars="0" w:firstLine="640" w:firstLineChars="200"/>
        <w:textAlignment w:val="auto"/>
        <w:rPr>
          <w:rFonts w:hint="eastAsia"/>
          <w:lang w:val="en-US" w:eastAsia="zh-CN"/>
        </w:rPr>
      </w:pPr>
      <w:r>
        <w:rPr>
          <w:rFonts w:hint="eastAsia"/>
          <w:lang w:val="en-US" w:eastAsia="zh-CN"/>
        </w:rPr>
        <w:t>目前广州全市户籍人口为1056.61万人，其中60岁以上人口高达204.77万人（约20%），且每年以5%-6%的速度增长，全市即将进入老年化社会。2023年全市领取养老金的人数不过半，拥有职工医保的户籍老年人也仅为58.53%。另外在庞大的外来人口中，60岁以上的老人我区占比最高，达20.12%。这类长者往往由于历史原因，鲜有社会养老保障，基本养老需求巨大。单靠政府有限的财政支出，大多数老年人养老难以保障落实。</w:t>
      </w:r>
    </w:p>
    <w:p w14:paraId="0C26B6F7">
      <w:pPr>
        <w:pStyle w:val="2"/>
        <w:keepNext w:val="0"/>
        <w:keepLines w:val="0"/>
        <w:pageBreakBefore w:val="0"/>
        <w:kinsoku/>
        <w:wordWrap/>
        <w:overflowPunct/>
        <w:topLinePunct w:val="0"/>
        <w:autoSpaceDE/>
        <w:autoSpaceDN/>
        <w:bidi w:val="0"/>
        <w:adjustRightInd/>
        <w:snapToGrid/>
        <w:spacing w:line="540" w:lineRule="exact"/>
        <w:ind w:left="0" w:leftChars="0" w:firstLine="640" w:firstLineChars="200"/>
        <w:textAlignment w:val="auto"/>
        <w:rPr>
          <w:rFonts w:hint="eastAsia" w:ascii="Calibri" w:hAnsi="Calibri" w:eastAsia="仿宋_GB2312" w:cs="Times New Roman"/>
          <w:kern w:val="2"/>
          <w:sz w:val="32"/>
          <w:szCs w:val="20"/>
          <w:lang w:val="en-US" w:eastAsia="zh-CN" w:bidi="ar-SA"/>
        </w:rPr>
      </w:pPr>
      <w:r>
        <w:rPr>
          <w:rFonts w:hint="eastAsia"/>
          <w:lang w:val="en-US" w:eastAsia="zh-CN"/>
        </w:rPr>
        <w:t>因此，发展居家养老极有必要。首先，</w:t>
      </w:r>
      <w:r>
        <w:rPr>
          <w:rFonts w:hint="eastAsia" w:ascii="Calibri" w:hAnsi="Calibri" w:eastAsia="仿宋_GB2312" w:cs="Times New Roman"/>
          <w:kern w:val="2"/>
          <w:sz w:val="32"/>
          <w:szCs w:val="20"/>
          <w:lang w:val="en-US" w:eastAsia="zh-CN" w:bidi="ar-SA"/>
        </w:rPr>
        <w:t>居民对养老服务的倚重程度增加，老年服务资源需求旺盛</w:t>
      </w:r>
      <w:r>
        <w:rPr>
          <w:rFonts w:hint="eastAsia" w:cs="Times New Roman"/>
          <w:kern w:val="2"/>
          <w:sz w:val="32"/>
          <w:szCs w:val="20"/>
          <w:lang w:val="en-US" w:eastAsia="zh-CN" w:bidi="ar-SA"/>
        </w:rPr>
        <w:t>。</w:t>
      </w:r>
      <w:r>
        <w:rPr>
          <w:rFonts w:hint="eastAsia" w:ascii="Calibri" w:hAnsi="Calibri" w:eastAsia="仿宋_GB2312" w:cs="Times New Roman"/>
          <w:kern w:val="2"/>
          <w:sz w:val="32"/>
          <w:szCs w:val="20"/>
          <w:lang w:val="en-US" w:eastAsia="zh-CN" w:bidi="ar-SA"/>
        </w:rPr>
        <w:t>以家庭为核心、以社区为依托、以专业化服务为依靠的居家养老模式已成老年人优先选择。其次，</w:t>
      </w:r>
      <w:r>
        <w:rPr>
          <w:rFonts w:hint="eastAsia" w:cs="Times New Roman"/>
          <w:kern w:val="2"/>
          <w:sz w:val="32"/>
          <w:szCs w:val="20"/>
          <w:lang w:val="en-US" w:eastAsia="zh-CN" w:bidi="ar-SA"/>
        </w:rPr>
        <w:t>对养老保险</w:t>
      </w:r>
      <w:r>
        <w:rPr>
          <w:rFonts w:hint="eastAsia" w:ascii="Calibri" w:hAnsi="Calibri" w:eastAsia="仿宋_GB2312" w:cs="Times New Roman"/>
          <w:kern w:val="2"/>
          <w:sz w:val="32"/>
          <w:szCs w:val="20"/>
          <w:lang w:val="en-US" w:eastAsia="zh-CN" w:bidi="ar-SA"/>
        </w:rPr>
        <w:t>的倚重程度显著提升，亟需优质资本助力发展加速。结合我国小微企业占比90%以上的市场结构现状，</w:t>
      </w:r>
      <w:r>
        <w:rPr>
          <w:rFonts w:hint="eastAsia" w:cs="Times New Roman"/>
          <w:kern w:val="2"/>
          <w:sz w:val="32"/>
          <w:szCs w:val="20"/>
          <w:lang w:val="en-US" w:eastAsia="zh-CN" w:bidi="ar-SA"/>
        </w:rPr>
        <w:t>企业抗风险能力低、持续盈利能力差，故企业年金（福利）支撑的养老</w:t>
      </w:r>
      <w:r>
        <w:rPr>
          <w:rFonts w:hint="eastAsia" w:ascii="Calibri" w:hAnsi="Calibri" w:eastAsia="仿宋_GB2312" w:cs="Times New Roman"/>
          <w:kern w:val="2"/>
          <w:sz w:val="32"/>
          <w:szCs w:val="20"/>
          <w:lang w:val="en-US" w:eastAsia="zh-CN" w:bidi="ar-SA"/>
        </w:rPr>
        <w:t>无法作为承重支柱的替补选择。再次，社区及居家养老运营商服务资源紧俏，以劳动密集型产业为主。在当前劳动密集型产业模式下，养老运营商边际成本有很大的局限，尚未形成产业规模效应。科技投入提升与商业模式创新尚有很大的潜能。</w:t>
      </w:r>
    </w:p>
    <w:p w14:paraId="065A430D">
      <w:pPr>
        <w:pStyle w:val="2"/>
        <w:keepNext w:val="0"/>
        <w:keepLines w:val="0"/>
        <w:pageBreakBefore w:val="0"/>
        <w:kinsoku/>
        <w:wordWrap/>
        <w:overflowPunct/>
        <w:topLinePunct w:val="0"/>
        <w:autoSpaceDE/>
        <w:autoSpaceDN/>
        <w:bidi w:val="0"/>
        <w:adjustRightInd/>
        <w:snapToGrid/>
        <w:spacing w:line="540" w:lineRule="exact"/>
        <w:ind w:left="0" w:leftChars="0" w:firstLine="640" w:firstLineChars="200"/>
        <w:textAlignment w:val="auto"/>
        <w:rPr>
          <w:rFonts w:hint="eastAsia" w:ascii="黑体" w:hAnsi="黑体" w:eastAsia="黑体" w:cs="黑体"/>
          <w:lang w:val="en-US" w:eastAsia="zh-CN"/>
        </w:rPr>
      </w:pPr>
      <w:r>
        <w:rPr>
          <w:rFonts w:hint="eastAsia" w:ascii="黑体" w:hAnsi="黑体" w:eastAsia="黑体" w:cs="黑体"/>
          <w:lang w:val="en-US" w:eastAsia="zh-CN"/>
        </w:rPr>
        <w:t>养老服务面临的难题与制约因素如下：</w:t>
      </w:r>
    </w:p>
    <w:p w14:paraId="25C6C70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textAlignment w:val="auto"/>
        <w:rPr>
          <w:rFonts w:hint="eastAsia" w:ascii="Calibri" w:hAnsi="Calibri" w:eastAsia="仿宋_GB2312" w:cs="Times New Roman"/>
          <w:kern w:val="2"/>
          <w:sz w:val="32"/>
          <w:szCs w:val="20"/>
          <w:lang w:val="en-US" w:eastAsia="zh-CN" w:bidi="ar-SA"/>
        </w:rPr>
      </w:pPr>
      <w:r>
        <w:rPr>
          <w:rFonts w:hint="eastAsia" w:ascii="Calibri" w:hAnsi="Calibri" w:eastAsia="仿宋_GB2312" w:cs="Times New Roman"/>
          <w:kern w:val="2"/>
          <w:sz w:val="32"/>
          <w:szCs w:val="20"/>
          <w:lang w:val="en-US" w:eastAsia="zh-CN" w:bidi="ar-SA"/>
        </w:rPr>
        <w:t>一、养老服务缺乏普惠型。目前居家养老服务供给模式，更类似于以保证老年人基本生存权利实现的社会救助制度，而非面向全体有居家养老服务需求的老年人并为其提供普惠型养老服务，受益人群极为有限。需要通过对养老服务对象进行分级分类管理和制定精准化的管理制度，对这些养老服务对象进行专业化、标准化、信息网络化的服务供应，进而实现资源有限性和保障对象全面性之间的均衡。</w:t>
      </w:r>
    </w:p>
    <w:p w14:paraId="77841EB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textAlignment w:val="auto"/>
        <w:rPr>
          <w:rFonts w:hint="eastAsia" w:ascii="Calibri" w:hAnsi="Calibri" w:eastAsia="仿宋_GB2312" w:cs="Times New Roman"/>
          <w:kern w:val="2"/>
          <w:sz w:val="32"/>
          <w:szCs w:val="20"/>
          <w:lang w:val="en-US" w:eastAsia="zh-CN" w:bidi="ar-SA"/>
        </w:rPr>
      </w:pPr>
      <w:r>
        <w:rPr>
          <w:rFonts w:hint="eastAsia" w:ascii="Calibri" w:hAnsi="Calibri" w:eastAsia="仿宋_GB2312" w:cs="Times New Roman"/>
          <w:kern w:val="2"/>
          <w:sz w:val="32"/>
          <w:szCs w:val="20"/>
          <w:lang w:val="en-US" w:eastAsia="zh-CN" w:bidi="ar-SA"/>
        </w:rPr>
        <w:t>二、多元主体并未构成协同、有效的养老服务供给体系。社区居家养老服务的实际发展与预期还有着较大差距。在社区居家养老服务方面存在的问题主要体现在家庭、社会组织、服务企业各直接参与主体间还未充分协调、沟通，并未做到真正意义上的多元主体共同发力。</w:t>
      </w:r>
    </w:p>
    <w:p w14:paraId="3DFE3D6D">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b/>
          <w:sz w:val="32"/>
          <w:szCs w:val="32"/>
        </w:rPr>
      </w:pPr>
    </w:p>
    <w:p w14:paraId="3976231E">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b/>
          <w:sz w:val="32"/>
          <w:szCs w:val="32"/>
        </w:rPr>
      </w:pPr>
      <w:r>
        <w:rPr>
          <w:rFonts w:hint="eastAsia" w:ascii="黑体" w:hAnsi="黑体" w:eastAsia="黑体"/>
          <w:b/>
          <w:sz w:val="32"/>
          <w:szCs w:val="32"/>
        </w:rPr>
        <w:t>办法：</w:t>
      </w:r>
    </w:p>
    <w:p w14:paraId="4A292720">
      <w:pPr>
        <w:pStyle w:val="2"/>
        <w:keepNext w:val="0"/>
        <w:keepLines w:val="0"/>
        <w:pageBreakBefore w:val="0"/>
        <w:kinsoku/>
        <w:wordWrap/>
        <w:overflowPunct/>
        <w:topLinePunct w:val="0"/>
        <w:autoSpaceDE/>
        <w:autoSpaceDN/>
        <w:bidi w:val="0"/>
        <w:adjustRightInd/>
        <w:snapToGrid/>
        <w:spacing w:line="540" w:lineRule="exact"/>
        <w:ind w:left="0" w:leftChars="0" w:firstLine="640" w:firstLineChars="200"/>
        <w:textAlignment w:val="auto"/>
        <w:rPr>
          <w:rFonts w:hint="eastAsia"/>
          <w:lang w:val="en-US" w:eastAsia="zh-CN"/>
        </w:rPr>
      </w:pPr>
      <w:r>
        <w:rPr>
          <w:rFonts w:hint="eastAsia"/>
          <w:lang w:val="en-US" w:eastAsia="zh-CN"/>
        </w:rPr>
        <w:t>集中力量发展居家养老，让老人在社区内解决基本养老需求，减少社会公共服务机构压力。老人最基本的需求莫过于医疗卫生、生活照料。</w:t>
      </w:r>
    </w:p>
    <w:p w14:paraId="7627E1F9">
      <w:pPr>
        <w:pStyle w:val="2"/>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lang w:val="en-US" w:eastAsia="zh-CN"/>
        </w:rPr>
      </w:pPr>
      <w:r>
        <w:rPr>
          <w:rFonts w:hint="eastAsia"/>
          <w:lang w:val="en-US" w:eastAsia="zh-CN"/>
        </w:rPr>
        <w:t>一、加强镇街卫生服务机构与颐康养老服务中心的联动。将养老服务指标纳入到考核体系中，增加对辖区内长者的服务频次及医疗保障服务范畴。</w:t>
      </w:r>
    </w:p>
    <w:p w14:paraId="5DB79A4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Fonts w:hint="eastAsia" w:ascii="Calibri" w:hAnsi="Calibri" w:eastAsia="仿宋_GB2312" w:cs="Times New Roman"/>
          <w:kern w:val="2"/>
          <w:sz w:val="32"/>
          <w:szCs w:val="20"/>
          <w:lang w:val="en-US" w:eastAsia="zh-CN" w:bidi="ar-SA"/>
        </w:rPr>
      </w:pPr>
      <w:r>
        <w:rPr>
          <w:rFonts w:hint="eastAsia" w:ascii="Calibri" w:hAnsi="Calibri" w:eastAsia="仿宋_GB2312" w:cs="Times New Roman"/>
          <w:kern w:val="2"/>
          <w:sz w:val="32"/>
          <w:szCs w:val="20"/>
          <w:lang w:val="en-US" w:eastAsia="zh-CN" w:bidi="ar-SA"/>
        </w:rPr>
        <w:t>广泛推广医养结合颐康中心服务点建设，筑起基层医养结合服务基石。在乡、镇（街道）颐康养老中心广泛设立医养结合服务点，开展各类医药服务。充分调动卫生服务机构作用，构建针对养老服务从业人员的医药知识与技能培训方案，促进专业人才的扩充和培养。其次，重点建立健全健康监测与预警机制。通过基层医养结合服务点作为老年健康监测“哨点”，实时监测数据系统，为老年人健康卫生管理提供数据和决策参考。同时，在节气变换、传染疾病频发等时间节点，发布老年人健康防护指南，做到卫生服务提前预警、提前介入。</w:t>
      </w:r>
    </w:p>
    <w:p w14:paraId="6E2350A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Fonts w:hint="eastAsia" w:ascii="Calibri" w:hAnsi="Calibri" w:eastAsia="仿宋_GB2312" w:cs="Times New Roman"/>
          <w:kern w:val="2"/>
          <w:sz w:val="32"/>
          <w:szCs w:val="20"/>
          <w:lang w:val="en-US" w:eastAsia="zh-CN" w:bidi="ar-SA"/>
        </w:rPr>
      </w:pPr>
      <w:r>
        <w:rPr>
          <w:rFonts w:hint="eastAsia" w:ascii="Calibri" w:hAnsi="Calibri" w:eastAsia="仿宋_GB2312" w:cs="Times New Roman"/>
          <w:kern w:val="2"/>
          <w:sz w:val="32"/>
          <w:szCs w:val="20"/>
          <w:lang w:val="en-US" w:eastAsia="zh-CN" w:bidi="ar-SA"/>
        </w:rPr>
        <w:t>大力推进医治未病、健康管理进社区，落实基层养老服务“最后一公里”。以“家庭医生签约服务”为抓手，建立规范健康卫生管理服务联动机制，加强健康养生科普宣传，推出形式更丰富、内容更贴近的社区养老健康指南，切实推进医治未病、健康管理走进社区、走向老年人身边。</w:t>
      </w:r>
    </w:p>
    <w:p w14:paraId="5847988C">
      <w:pPr>
        <w:pStyle w:val="2"/>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lang w:val="en-US" w:eastAsia="zh-CN"/>
        </w:rPr>
      </w:pPr>
      <w:r>
        <w:rPr>
          <w:rFonts w:hint="eastAsia"/>
          <w:lang w:val="en-US" w:eastAsia="zh-CN"/>
        </w:rPr>
        <w:t>二、搭建高效、科学的居家养老服务信息共建共享平台。联合社工机构、志愿组织共建养老惠老服务平台。畅通相关部门与社会养老机构数据交流渠道，实现信息共享。加强养老服务组织与线管部门在养老服务工作中的沟通与对话，实现服务工作联动以及服务信息资讯互通有无，最大限度发挥各部门在资源和服务进程方面的协同发展。建立养老志愿服务体系，增加更多社会组织参与到养老的端口，拓宽公益慈善对口养老的渠道。</w:t>
      </w:r>
    </w:p>
    <w:p w14:paraId="4C04AEC0">
      <w:pPr>
        <w:pStyle w:val="2"/>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Calibri" w:hAnsi="Calibri" w:eastAsia="仿宋_GB2312" w:cs="Times New Roman"/>
          <w:kern w:val="2"/>
          <w:sz w:val="32"/>
          <w:szCs w:val="20"/>
          <w:lang w:val="en-US" w:eastAsia="zh-CN" w:bidi="ar-SA"/>
        </w:rPr>
      </w:pPr>
      <w:r>
        <w:rPr>
          <w:rFonts w:hint="eastAsia"/>
          <w:lang w:val="en-US" w:eastAsia="zh-CN"/>
        </w:rPr>
        <w:t>三、增加我区养老服务机构的职能，鼓励养老机构以基本养老服务为本，积极拓展惠民便民的社区养老自费服务。</w:t>
      </w:r>
      <w:r>
        <w:rPr>
          <w:rFonts w:hint="eastAsia" w:ascii="Calibri" w:hAnsi="Calibri" w:eastAsia="仿宋_GB2312" w:cs="Times New Roman"/>
          <w:kern w:val="2"/>
          <w:sz w:val="32"/>
          <w:szCs w:val="20"/>
          <w:lang w:val="en-US" w:eastAsia="zh-CN" w:bidi="ar-SA"/>
        </w:rPr>
        <w:t>鼓励和支持多元主体参与非基本公共服务供给，逐步实现非基本公共服务付费可享有、价格可承受、质量有保障、安全有监管，实现供需动态均衡、服务普惠享有。</w:t>
      </w:r>
    </w:p>
    <w:p w14:paraId="3623358C">
      <w:pPr>
        <w:pStyle w:val="2"/>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lang w:val="en-US" w:eastAsia="zh-CN"/>
        </w:rPr>
      </w:pPr>
      <w:r>
        <w:rPr>
          <w:rFonts w:hint="eastAsia" w:cs="Times New Roman"/>
          <w:kern w:val="2"/>
          <w:sz w:val="32"/>
          <w:szCs w:val="20"/>
          <w:lang w:val="en-US" w:eastAsia="zh-CN" w:bidi="ar-SA"/>
        </w:rPr>
        <w:t>首先，</w:t>
      </w:r>
      <w:r>
        <w:rPr>
          <w:rFonts w:hint="eastAsia" w:ascii="Calibri" w:hAnsi="Calibri" w:eastAsia="仿宋_GB2312" w:cs="Times New Roman"/>
          <w:kern w:val="2"/>
          <w:sz w:val="32"/>
          <w:szCs w:val="20"/>
          <w:lang w:val="en-US" w:eastAsia="zh-CN" w:bidi="ar-SA"/>
        </w:rPr>
        <w:t>发挥区养老平台以政府引导为主与社会自我管理相结合的多层次、全方位监督管理模式</w:t>
      </w:r>
      <w:r>
        <w:rPr>
          <w:rFonts w:hint="eastAsia"/>
          <w:lang w:val="en-US" w:eastAsia="zh-CN"/>
        </w:rPr>
        <w:t>的作用，</w:t>
      </w:r>
      <w:r>
        <w:rPr>
          <w:rFonts w:hint="eastAsia" w:ascii="Calibri" w:hAnsi="Calibri" w:eastAsia="仿宋_GB2312" w:cs="Times New Roman"/>
          <w:kern w:val="2"/>
          <w:sz w:val="32"/>
          <w:szCs w:val="20"/>
          <w:lang w:val="en-US" w:eastAsia="zh-CN" w:bidi="ar-SA"/>
        </w:rPr>
        <w:t>鼓励服务型企业、非营利型组织等市场主体参与到居家养老服务生产工作中</w:t>
      </w:r>
      <w:r>
        <w:rPr>
          <w:rFonts w:hint="eastAsia" w:cs="Times New Roman"/>
          <w:kern w:val="2"/>
          <w:sz w:val="32"/>
          <w:szCs w:val="20"/>
          <w:lang w:val="en-US" w:eastAsia="zh-CN" w:bidi="ar-SA"/>
        </w:rPr>
        <w:t>。</w:t>
      </w:r>
      <w:r>
        <w:rPr>
          <w:rFonts w:hint="eastAsia"/>
          <w:lang w:val="en-US" w:eastAsia="zh-CN"/>
        </w:rPr>
        <w:t>引导提供多元化的养老服务，鼓励紧急救助、生活照护、家政服务、健康预警、远程诊疗、物流配送等各种养老服务的有序，满足不同类型的养老需求。基本公共服务为老年人提供兜底性养老服务，社会资本发挥养老服务多元化服务产品的提供。</w:t>
      </w:r>
    </w:p>
    <w:p w14:paraId="2B3C9C92">
      <w:pPr>
        <w:pStyle w:val="2"/>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lang w:val="en-US" w:eastAsia="zh-CN"/>
        </w:rPr>
      </w:pPr>
      <w:r>
        <w:rPr>
          <w:rFonts w:hint="eastAsia"/>
          <w:lang w:val="en-US" w:eastAsia="zh-CN"/>
        </w:rPr>
        <w:t>其次，鼓励引导社会资本投资，建立老年人医疗康复中心、发展中高端老年人的养老业务，将新型养老社区服务本土化。</w:t>
      </w:r>
      <w:r>
        <w:rPr>
          <w:rFonts w:hint="eastAsia" w:cs="Times New Roman"/>
          <w:kern w:val="2"/>
          <w:sz w:val="32"/>
          <w:szCs w:val="20"/>
          <w:lang w:val="en-US" w:eastAsia="zh-CN" w:bidi="ar-SA"/>
        </w:rPr>
        <w:t>建立</w:t>
      </w:r>
      <w:r>
        <w:rPr>
          <w:rFonts w:hint="eastAsia"/>
          <w:lang w:val="en-US" w:eastAsia="zh-CN"/>
        </w:rPr>
        <w:t>以镇街颐康中心为统筹中心，社区颐康服务站为基础服务单元，遴选正规的社会服务商在居家医疗、到家服务、长者膳食、老年精神文化生活展开自费项目。</w:t>
      </w:r>
    </w:p>
    <w:p w14:paraId="14CF39EC">
      <w:pPr>
        <w:pStyle w:val="2"/>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lang w:val="en-US" w:eastAsia="zh-CN"/>
        </w:rPr>
      </w:pPr>
      <w:r>
        <w:rPr>
          <w:rFonts w:hint="eastAsia"/>
          <w:lang w:val="en-US" w:eastAsia="zh-CN"/>
        </w:rPr>
        <w:t>最后，</w:t>
      </w:r>
      <w:r>
        <w:rPr>
          <w:rFonts w:hint="eastAsia" w:ascii="Calibri" w:hAnsi="Calibri" w:eastAsia="仿宋_GB2312" w:cs="Times New Roman"/>
          <w:kern w:val="2"/>
          <w:sz w:val="32"/>
          <w:szCs w:val="20"/>
          <w:lang w:val="en-US" w:eastAsia="zh-CN" w:bidi="ar-SA"/>
        </w:rPr>
        <w:t>增强考核群众对自费项目满意度，注重分析群众主观感受指标，用好服务“好差评”、基本服务满意度调查结果，在考核中充分体现群众对养老自费服务水平的评价与满意度。</w:t>
      </w: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5F1D2">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72AC0C">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F72AC0C">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xNmI0Y2NiOTg2MDNiYTg5NmI4ZDMxYmQzNzMzMmIifQ=="/>
  </w:docVars>
  <w:rsids>
    <w:rsidRoot w:val="126705C8"/>
    <w:rsid w:val="01BD67B9"/>
    <w:rsid w:val="08D4468A"/>
    <w:rsid w:val="0F476A53"/>
    <w:rsid w:val="10204305"/>
    <w:rsid w:val="115A19CF"/>
    <w:rsid w:val="126705C8"/>
    <w:rsid w:val="13EF2DD1"/>
    <w:rsid w:val="22DE4344"/>
    <w:rsid w:val="24B42DBF"/>
    <w:rsid w:val="322C1149"/>
    <w:rsid w:val="3FFB3F79"/>
    <w:rsid w:val="41DC2EFE"/>
    <w:rsid w:val="49BF697D"/>
    <w:rsid w:val="4A9535B9"/>
    <w:rsid w:val="4DF27705"/>
    <w:rsid w:val="56DA62FE"/>
    <w:rsid w:val="5B5C4A6E"/>
    <w:rsid w:val="5C2C458F"/>
    <w:rsid w:val="78D808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cs="Times New Roman"/>
    </w:rPr>
  </w:style>
  <w:style w:type="paragraph" w:styleId="3">
    <w:name w:val="Body Text"/>
    <w:basedOn w:val="1"/>
    <w:next w:val="4"/>
    <w:qFormat/>
    <w:uiPriority w:val="0"/>
    <w:rPr>
      <w:rFonts w:ascii="Calibri" w:hAnsi="Calibri" w:eastAsia="仿宋_GB2312"/>
      <w:sz w:val="32"/>
      <w:szCs w:val="20"/>
    </w:rPr>
  </w:style>
  <w:style w:type="paragraph" w:styleId="4">
    <w:name w:val="toc 5"/>
    <w:basedOn w:val="1"/>
    <w:next w:val="1"/>
    <w:qFormat/>
    <w:uiPriority w:val="0"/>
    <w:pPr>
      <w:ind w:left="168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区政协</Company>
  <Pages>5</Pages>
  <Words>2369</Words>
  <Characters>2428</Characters>
  <Lines>0</Lines>
  <Paragraphs>0</Paragraphs>
  <TotalTime>1</TotalTime>
  <ScaleCrop>false</ScaleCrop>
  <LinksUpToDate>false</LinksUpToDate>
  <CharactersWithSpaces>2448</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2023-12-12T01:52:00Z</dcterms:created>
  <dc:creator>Administrator</dc:creator>
  <cp:lastModifiedBy>user</cp:lastModifiedBy>
  <dcterms:modified xsi:type="dcterms:W3CDTF">2026-01-06T03:01:12Z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78A44866559E4755BCB85D66B5F0F25D_13</vt:lpwstr>
  </property>
  <property fmtid="{D5CDD505-2E9C-101B-9397-08002B2CF9AE}" pid="4" name="KSOTemplateDocerSaveRecord">
    <vt:lpwstr>eyJoZGlkIjoiYTQ3MTVkMGEyYjdiNTQwNzY2NzFiZjYzMTZkNGEyMDIiLCJ1c2VySWQiOiI0NDI2NDUyNjcifQ==</vt:lpwstr>
  </property>
</Properties>
</file>