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1477C5">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4EA35AEC">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五</w:t>
      </w:r>
      <w:r>
        <w:rPr>
          <w:rFonts w:hint="eastAsia" w:ascii="方正小标宋_GBK" w:hAnsi="方正小标宋_GBK" w:eastAsia="方正小标宋_GBK" w:cs="方正小标宋_GBK"/>
          <w:sz w:val="44"/>
          <w:szCs w:val="44"/>
        </w:rPr>
        <w:t>次会议提案</w:t>
      </w:r>
    </w:p>
    <w:tbl>
      <w:tblPr>
        <w:tblStyle w:val="9"/>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884"/>
      </w:tblGrid>
      <w:tr w14:paraId="3A549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14:paraId="30C5FB7E">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29" w:type="dxa"/>
            <w:gridSpan w:val="5"/>
            <w:tcBorders>
              <w:top w:val="single" w:color="auto" w:sz="4" w:space="0"/>
              <w:left w:val="single" w:color="auto" w:sz="4" w:space="0"/>
              <w:bottom w:val="single" w:color="auto" w:sz="4" w:space="0"/>
              <w:right w:val="single" w:color="auto" w:sz="4" w:space="0"/>
            </w:tcBorders>
            <w:noWrap w:val="0"/>
            <w:vAlign w:val="center"/>
          </w:tcPr>
          <w:p w14:paraId="3FA81983">
            <w:pPr>
              <w:pStyle w:val="7"/>
              <w:rPr>
                <w:rFonts w:hint="default"/>
                <w:b w:val="0"/>
                <w:bCs w:val="0"/>
                <w:sz w:val="32"/>
                <w:szCs w:val="32"/>
                <w:lang w:val="en-US" w:eastAsia="zh-CN"/>
              </w:rPr>
            </w:pPr>
            <w:r>
              <w:rPr>
                <w:rFonts w:hint="eastAsia" w:ascii="仿宋_GB2312" w:hAnsi="宋体" w:eastAsia="仿宋_GB2312" w:cs="Times New Roman"/>
                <w:b w:val="0"/>
                <w:bCs w:val="0"/>
                <w:kern w:val="2"/>
                <w:sz w:val="32"/>
                <w:szCs w:val="32"/>
                <w:lang w:val="en-US" w:eastAsia="zh-CN" w:bidi="ar-SA"/>
              </w:rPr>
              <w:t>“智造”+“智核”双引擎驱动  引领番禺区低空经济和全空间智能无人系统启新篇</w:t>
            </w:r>
          </w:p>
        </w:tc>
      </w:tr>
      <w:tr w14:paraId="34563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21D570EB">
            <w:pPr>
              <w:spacing w:line="68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提</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rPr>
              <w:t>案</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rPr>
              <w:t>者</w:t>
            </w:r>
          </w:p>
          <w:p w14:paraId="5E8A37B0">
            <w:pPr>
              <w:spacing w:line="680" w:lineRule="exact"/>
              <w:jc w:val="center"/>
              <w:rPr>
                <w:rFonts w:hint="eastAsia" w:eastAsia="仿宋_GB2312"/>
                <w:lang w:eastAsia="zh-CN"/>
              </w:rPr>
            </w:pPr>
            <w:r>
              <w:rPr>
                <w:rFonts w:hint="eastAsia" w:ascii="仿宋_GB2312" w:hAnsi="宋体" w:eastAsia="仿宋_GB2312" w:cs="Times New Roman"/>
                <w:sz w:val="28"/>
                <w:szCs w:val="28"/>
                <w:lang w:eastAsia="zh-CN"/>
              </w:rPr>
              <w:t>（主笔）</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14:paraId="243C73C6">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民建番禺区基层</w:t>
            </w:r>
          </w:p>
          <w:p w14:paraId="6546289F">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委员会</w:t>
            </w:r>
          </w:p>
          <w:p w14:paraId="78407771">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（刘悦敏）</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827F7F3">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14:paraId="1E6AFB05">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刘悦敏</w:t>
            </w:r>
          </w:p>
        </w:tc>
      </w:tr>
      <w:tr w14:paraId="38BAC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7087F9EE">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14:paraId="6F294AF5">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番禺民建基层委</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DC22DB9">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14:paraId="162AFA65">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委员</w:t>
            </w:r>
          </w:p>
        </w:tc>
      </w:tr>
      <w:tr w14:paraId="334CC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4E8BFFC2">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6105EB0D">
            <w:pPr>
              <w:spacing w:line="680" w:lineRule="exact"/>
              <w:jc w:val="center"/>
              <w:rPr>
                <w:rFonts w:hint="default"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14:paraId="35751355">
            <w:pPr>
              <w:spacing w:line="680" w:lineRule="exact"/>
              <w:jc w:val="center"/>
              <w:rPr>
                <w:rFonts w:ascii="仿宋_GB2312" w:hAnsi="宋体" w:eastAsia="仿宋_GB2312"/>
                <w:sz w:val="32"/>
                <w:szCs w:val="32"/>
              </w:rPr>
            </w:pPr>
            <w:r>
              <w:rPr>
                <w:rFonts w:hint="eastAsia" w:ascii="仿宋_GB2312" w:hAnsi="宋体" w:eastAsia="仿宋_GB2312"/>
                <w:sz w:val="32"/>
                <w:szCs w:val="32"/>
              </w:rPr>
              <w:t>办公电话</w:t>
            </w: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14:paraId="1AC9AD6D">
            <w:pPr>
              <w:spacing w:line="680" w:lineRule="exact"/>
              <w:jc w:val="center"/>
              <w:rPr>
                <w:rFonts w:hint="default" w:ascii="仿宋_GB2312" w:hAnsi="宋体" w:eastAsia="仿宋_GB2312"/>
                <w:sz w:val="32"/>
                <w:szCs w:val="32"/>
                <w:lang w:val="en-US" w:eastAsia="zh-CN"/>
              </w:rPr>
            </w:pPr>
          </w:p>
        </w:tc>
      </w:tr>
      <w:tr w14:paraId="44C1A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30D634A0">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center"/>
          </w:tcPr>
          <w:p w14:paraId="5EC96DA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383CD8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邮编</w:t>
            </w:r>
          </w:p>
        </w:tc>
        <w:tc>
          <w:tcPr>
            <w:tcW w:w="1884" w:type="dxa"/>
            <w:tcBorders>
              <w:top w:val="single" w:color="auto" w:sz="4" w:space="0"/>
              <w:left w:val="single" w:color="auto" w:sz="4" w:space="0"/>
              <w:bottom w:val="single" w:color="auto" w:sz="4" w:space="0"/>
              <w:right w:val="single" w:color="auto" w:sz="4" w:space="0"/>
            </w:tcBorders>
            <w:noWrap w:val="0"/>
            <w:vAlign w:val="center"/>
          </w:tcPr>
          <w:p w14:paraId="521BC7A8">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510000</w:t>
            </w:r>
          </w:p>
        </w:tc>
      </w:tr>
      <w:tr w14:paraId="30953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14:paraId="1D36CD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14:paraId="51A7873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w:t>
            </w:r>
            <w:r>
              <w:rPr>
                <w:rFonts w:hint="default" w:ascii="仿宋_GB2312" w:hAnsi="仿宋_GB2312" w:eastAsia="仿宋_GB2312" w:cs="仿宋_GB2312"/>
                <w:kern w:val="2"/>
                <w:sz w:val="28"/>
                <w:szCs w:val="28"/>
                <w:lang w:val="en-US" w:eastAsia="zh-CN" w:bidi="ar-SA"/>
              </w:rPr>
              <w:t>一经提交不得再增加联名提案人</w:t>
            </w:r>
            <w:r>
              <w:rPr>
                <w:rFonts w:hint="eastAsia" w:ascii="仿宋_GB2312" w:hAnsi="宋体" w:eastAsia="仿宋_GB2312"/>
                <w:spacing w:val="-14"/>
                <w:sz w:val="32"/>
                <w:szCs w:val="32"/>
              </w:rPr>
              <w:t>）</w:t>
            </w:r>
          </w:p>
        </w:tc>
        <w:tc>
          <w:tcPr>
            <w:tcW w:w="7129" w:type="dxa"/>
            <w:gridSpan w:val="5"/>
            <w:tcBorders>
              <w:top w:val="single" w:color="auto" w:sz="4" w:space="0"/>
              <w:left w:val="single" w:color="auto" w:sz="4" w:space="0"/>
              <w:bottom w:val="single" w:color="auto" w:sz="4" w:space="0"/>
              <w:right w:val="single" w:color="auto" w:sz="4" w:space="0"/>
            </w:tcBorders>
            <w:noWrap w:val="0"/>
            <w:vAlign w:val="center"/>
          </w:tcPr>
          <w:p w14:paraId="192F595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政协小谷围街工作室</w:t>
            </w:r>
          </w:p>
        </w:tc>
      </w:tr>
      <w:tr w14:paraId="0179F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7228DA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14:paraId="16F277E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7129" w:type="dxa"/>
            <w:gridSpan w:val="5"/>
            <w:tcBorders>
              <w:top w:val="single" w:color="auto" w:sz="4" w:space="0"/>
              <w:left w:val="single" w:color="auto" w:sz="4" w:space="0"/>
              <w:bottom w:val="single" w:color="auto" w:sz="4" w:space="0"/>
              <w:right w:val="single" w:color="auto" w:sz="4" w:space="0"/>
            </w:tcBorders>
            <w:noWrap w:val="0"/>
            <w:vAlign w:val="center"/>
          </w:tcPr>
          <w:p w14:paraId="5B66985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lang w:eastAsia="zh-CN"/>
              </w:rPr>
              <w:t>同意立案</w:t>
            </w:r>
          </w:p>
        </w:tc>
      </w:tr>
    </w:tbl>
    <w:p w14:paraId="7BB52212">
      <w:pPr>
        <w:spacing w:line="560" w:lineRule="exact"/>
        <w:rPr>
          <w:rFonts w:hint="eastAsia" w:ascii="仿宋" w:hAnsi="仿宋" w:eastAsia="仿宋"/>
          <w:b w:val="0"/>
          <w:bCs w:val="0"/>
          <w:sz w:val="32"/>
          <w:szCs w:val="32"/>
          <w:lang w:val="en-US" w:eastAsia="zh-CN"/>
        </w:rPr>
      </w:pPr>
      <w:r>
        <w:rPr>
          <w:rFonts w:hint="eastAsia" w:ascii="黑体" w:hAnsi="黑体" w:eastAsia="黑体"/>
          <w:b w:val="0"/>
          <w:bCs w:val="0"/>
          <w:sz w:val="32"/>
          <w:szCs w:val="32"/>
        </w:rPr>
        <w:t>根据实际情况在</w:t>
      </w:r>
      <w:r>
        <w:rPr>
          <w:rFonts w:hint="eastAsia" w:ascii="黑体" w:hAnsi="黑体" w:eastAsia="黑体"/>
          <w:b w:val="0"/>
          <w:bCs w:val="0"/>
          <w:sz w:val="32"/>
          <w:szCs w:val="32"/>
          <w:lang w:eastAsia="zh-CN"/>
        </w:rPr>
        <w:t>（）</w:t>
      </w:r>
      <w:r>
        <w:rPr>
          <w:rFonts w:hint="eastAsia" w:ascii="黑体" w:hAnsi="黑体" w:eastAsia="黑体"/>
          <w:b w:val="0"/>
          <w:bCs w:val="0"/>
          <w:sz w:val="32"/>
          <w:szCs w:val="32"/>
        </w:rPr>
        <w:t>内打勾确认：</w:t>
      </w:r>
    </w:p>
    <w:p w14:paraId="4C85DEED">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5B1C9B81">
      <w:pPr>
        <w:spacing w:line="440" w:lineRule="exact"/>
        <w:rPr>
          <w:rFonts w:ascii="宋体" w:hAnsi="宋体"/>
          <w:sz w:val="32"/>
          <w:szCs w:val="32"/>
        </w:rPr>
      </w:pPr>
      <w:r>
        <w:rPr>
          <w:rFonts w:hint="eastAsia" w:ascii="宋体" w:hAnsi="宋体"/>
          <w:sz w:val="32"/>
          <w:szCs w:val="32"/>
          <w:lang w:eastAsia="zh-CN"/>
        </w:rPr>
        <w:t>是（</w:t>
      </w:r>
      <w:r>
        <w:rPr>
          <w:rFonts w:hint="default" w:ascii="Arial" w:hAnsi="Arial" w:cs="Arial"/>
          <w:sz w:val="32"/>
          <w:szCs w:val="32"/>
          <w:lang w:eastAsia="zh-CN"/>
        </w:rPr>
        <w:t>√</w:t>
      </w:r>
      <w:r>
        <w:rPr>
          <w:rFonts w:hint="eastAsia" w:ascii="宋体" w:hAnsi="宋体"/>
          <w:sz w:val="32"/>
          <w:szCs w:val="32"/>
          <w:lang w:eastAsia="zh-CN"/>
        </w:rPr>
        <w:t>）</w:t>
      </w:r>
      <w:r>
        <w:rPr>
          <w:rFonts w:ascii="宋体" w:hAnsi="宋体"/>
          <w:sz w:val="32"/>
          <w:szCs w:val="32"/>
        </w:rPr>
        <w:t xml:space="preserve">  </w:t>
      </w:r>
      <w:r>
        <w:rPr>
          <w:rFonts w:hint="eastAsia" w:ascii="宋体" w:hAnsi="宋体"/>
          <w:sz w:val="32"/>
          <w:szCs w:val="32"/>
          <w:lang w:eastAsia="zh-CN"/>
        </w:rPr>
        <w:t>否（）</w:t>
      </w:r>
      <w:r>
        <w:rPr>
          <w:rFonts w:ascii="宋体" w:hAnsi="宋体"/>
          <w:sz w:val="32"/>
          <w:szCs w:val="32"/>
        </w:rPr>
        <w:t xml:space="preserve"> </w:t>
      </w:r>
    </w:p>
    <w:p w14:paraId="33AAE9EC">
      <w:pPr>
        <w:rPr>
          <w:rFonts w:ascii="宋体" w:hAnsi="宋体"/>
          <w:sz w:val="32"/>
          <w:szCs w:val="32"/>
        </w:rPr>
      </w:pPr>
      <w:r>
        <w:rPr>
          <w:rFonts w:ascii="宋体" w:hAnsi="宋体"/>
          <w:sz w:val="32"/>
          <w:szCs w:val="32"/>
        </w:rPr>
        <w:br w:type="page"/>
      </w:r>
    </w:p>
    <w:p w14:paraId="6092AFD8">
      <w:pPr>
        <w:spacing w:line="440" w:lineRule="exact"/>
        <w:rPr>
          <w:rFonts w:hint="eastAsia" w:ascii="宋体" w:hAnsi="宋体"/>
          <w:sz w:val="32"/>
          <w:szCs w:val="32"/>
        </w:rPr>
      </w:pPr>
    </w:p>
    <w:p w14:paraId="753E7F7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理由：</w:t>
      </w:r>
    </w:p>
    <w:p w14:paraId="1D9C14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低空经济与全空间智能无人系统作为新兴领域，其蕴含的巨大潜力使其成为各国各地区竞争焦点。广州市番禺区凭借广汽集团、小鹏汇天等行业领军企业，在汽车制造、智能网联等领域积累了深厚基础与丰富资源，</w:t>
      </w:r>
      <w:r>
        <w:rPr>
          <w:rFonts w:hint="eastAsia" w:ascii="仿宋_GB2312" w:hAnsi="仿宋_GB2312" w:eastAsia="仿宋_GB2312" w:cs="仿宋_GB2312"/>
          <w:sz w:val="32"/>
          <w:szCs w:val="32"/>
          <w:lang w:val="en-US" w:eastAsia="zh-CN"/>
        </w:rPr>
        <w:t>区内大学城汇聚众多顶尖高校，“智核”优势突出，</w:t>
      </w:r>
      <w:r>
        <w:rPr>
          <w:rFonts w:hint="eastAsia" w:ascii="仿宋_GB2312" w:hAnsi="仿宋_GB2312" w:eastAsia="仿宋_GB2312" w:cs="仿宋_GB2312"/>
          <w:sz w:val="32"/>
          <w:szCs w:val="32"/>
        </w:rPr>
        <w:t>为低空经济与全空间智能无人系统发展创造了优良条件。</w:t>
      </w:r>
    </w:p>
    <w:p w14:paraId="4967E6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目前番禺区发展</w:t>
      </w:r>
      <w:r>
        <w:rPr>
          <w:rFonts w:hint="eastAsia" w:ascii="仿宋_GB2312" w:hAnsi="仿宋_GB2312" w:eastAsia="仿宋_GB2312" w:cs="仿宋_GB2312"/>
          <w:sz w:val="32"/>
          <w:szCs w:val="32"/>
        </w:rPr>
        <w:t>低空经济和全空间智能</w:t>
      </w:r>
      <w:r>
        <w:rPr>
          <w:rFonts w:hint="eastAsia" w:ascii="仿宋_GB2312" w:hAnsi="仿宋_GB2312" w:eastAsia="仿宋_GB2312" w:cs="仿宋_GB2312"/>
          <w:sz w:val="32"/>
          <w:szCs w:val="32"/>
          <w:lang w:val="en-US" w:eastAsia="zh-CN"/>
        </w:rPr>
        <w:t>无人系统主要存在以下制约因素：</w:t>
      </w:r>
    </w:p>
    <w:p w14:paraId="592C4B4A">
      <w:pPr>
        <w:keepNext w:val="0"/>
        <w:keepLines w:val="0"/>
        <w:pageBreakBefore w:val="0"/>
        <w:widowControl w:val="0"/>
        <w:numPr>
          <w:ilvl w:val="0"/>
          <w:numId w:val="1"/>
        </w:numPr>
        <w:tabs>
          <w:tab w:val="clear" w:pos="720"/>
        </w:tabs>
        <w:kinsoku/>
        <w:wordWrap/>
        <w:overflowPunct/>
        <w:topLinePunct w:val="0"/>
        <w:autoSpaceDE/>
        <w:autoSpaceDN/>
        <w:bidi w:val="0"/>
        <w:adjustRightInd/>
        <w:snapToGrid/>
        <w:spacing w:line="560" w:lineRule="exact"/>
        <w:ind w:left="0" w:firstLine="567"/>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产业协同融合不足</w:t>
      </w:r>
      <w:r>
        <w:rPr>
          <w:rFonts w:hint="eastAsia" w:ascii="仿宋_GB2312" w:hAnsi="仿宋_GB2312" w:eastAsia="仿宋_GB2312" w:cs="仿宋_GB2312"/>
          <w:sz w:val="32"/>
          <w:szCs w:val="32"/>
        </w:rPr>
        <w:t>：番禺区汽车、航空航天等产业</w:t>
      </w:r>
      <w:r>
        <w:rPr>
          <w:rFonts w:hint="eastAsia" w:ascii="仿宋_GB2312" w:hAnsi="仿宋_GB2312" w:eastAsia="仿宋_GB2312" w:cs="仿宋_GB2312"/>
          <w:sz w:val="32"/>
          <w:szCs w:val="32"/>
          <w:lang w:val="en-US" w:eastAsia="zh-CN"/>
        </w:rPr>
        <w:t>与</w:t>
      </w:r>
      <w:r>
        <w:rPr>
          <w:rFonts w:hint="eastAsia" w:ascii="仿宋_GB2312" w:hAnsi="仿宋_GB2312" w:eastAsia="仿宋_GB2312" w:cs="仿宋_GB2312"/>
          <w:sz w:val="32"/>
          <w:szCs w:val="32"/>
        </w:rPr>
        <w:t>低空经济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全空间智能无人系统</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协同联动尚处起步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产业链上下游衔接不畅，供需信息不对称、合作意愿低</w:t>
      </w:r>
      <w:r>
        <w:rPr>
          <w:rFonts w:hint="eastAsia" w:ascii="仿宋_GB2312" w:hAnsi="仿宋_GB2312" w:eastAsia="仿宋_GB2312" w:cs="仿宋_GB2312"/>
          <w:sz w:val="32"/>
          <w:szCs w:val="32"/>
          <w:lang w:eastAsia="zh-CN"/>
        </w:rPr>
        <w:t>。</w:t>
      </w:r>
    </w:p>
    <w:p w14:paraId="5F4C6245">
      <w:pPr>
        <w:keepNext w:val="0"/>
        <w:keepLines w:val="0"/>
        <w:pageBreakBefore w:val="0"/>
        <w:widowControl w:val="0"/>
        <w:numPr>
          <w:ilvl w:val="0"/>
          <w:numId w:val="1"/>
        </w:numPr>
        <w:tabs>
          <w:tab w:val="clear" w:pos="720"/>
        </w:tabs>
        <w:kinsoku/>
        <w:wordWrap/>
        <w:overflowPunct/>
        <w:topLinePunct w:val="0"/>
        <w:autoSpaceDE/>
        <w:autoSpaceDN/>
        <w:bidi w:val="0"/>
        <w:adjustRightInd/>
        <w:snapToGrid/>
        <w:spacing w:line="560" w:lineRule="exact"/>
        <w:ind w:left="0" w:firstLine="567"/>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空域资源与基础设施制约</w:t>
      </w:r>
      <w:r>
        <w:rPr>
          <w:rFonts w:hint="eastAsia" w:ascii="仿宋_GB2312" w:hAnsi="仿宋_GB2312" w:eastAsia="仿宋_GB2312" w:cs="仿宋_GB2312"/>
          <w:sz w:val="32"/>
          <w:szCs w:val="32"/>
        </w:rPr>
        <w:t>：番禺区空域资源紧张，低空飞行管制严格，可利用空域匮乏，限制了低空经济灵活性。起降场地、飞行服务站、通信导航等基础设施建设滞后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成为产业发展瓶颈。</w:t>
      </w:r>
    </w:p>
    <w:p w14:paraId="631FFC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技术创新与人才供给短板</w:t>
      </w:r>
      <w:r>
        <w:rPr>
          <w:rFonts w:hint="eastAsia" w:ascii="仿宋_GB2312" w:hAnsi="仿宋_GB2312" w:eastAsia="仿宋_GB2312" w:cs="仿宋_GB2312"/>
          <w:sz w:val="32"/>
          <w:szCs w:val="32"/>
        </w:rPr>
        <w:t>：番禺区跨领域集成创新面临挑战，产学研用协同创新体系不完善。高校、科研机构与企业资源整合不足，科研成果转化效率低。专业人才培养机制不健全，相关学科设置缺乏系统性与前瞻性，难以满足产业对高端创新人才和复合型技术人才的多元需求。</w:t>
      </w:r>
    </w:p>
    <w:p w14:paraId="469BAE2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rPr>
      </w:pPr>
    </w:p>
    <w:p w14:paraId="51732C63">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办法：</w:t>
      </w:r>
    </w:p>
    <w:p w14:paraId="79B253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把握低空经济发展热潮，</w:t>
      </w:r>
      <w:r>
        <w:rPr>
          <w:rFonts w:hint="eastAsia" w:ascii="仿宋_GB2312" w:hAnsi="仿宋_GB2312" w:eastAsia="仿宋_GB2312" w:cs="仿宋_GB2312"/>
          <w:sz w:val="32"/>
          <w:szCs w:val="32"/>
        </w:rPr>
        <w:t>挖掘番禺产业集聚与协同创新潜力，推动相关产业融合发展，对</w:t>
      </w:r>
      <w:r>
        <w:rPr>
          <w:rFonts w:hint="eastAsia" w:ascii="仿宋_GB2312" w:hAnsi="仿宋_GB2312" w:eastAsia="仿宋_GB2312" w:cs="仿宋_GB2312"/>
          <w:sz w:val="32"/>
          <w:szCs w:val="32"/>
          <w:lang w:val="en-US" w:eastAsia="zh-CN"/>
        </w:rPr>
        <w:t>番禺区</w:t>
      </w:r>
      <w:r>
        <w:rPr>
          <w:rFonts w:hint="eastAsia" w:ascii="仿宋_GB2312" w:hAnsi="仿宋_GB2312" w:eastAsia="仿宋_GB2312" w:cs="仿宋_GB2312"/>
          <w:sz w:val="32"/>
          <w:szCs w:val="32"/>
        </w:rPr>
        <w:t>在未来产业竞争中占据制高点，提升城市综合竞争力意义重大且极为紧迫。</w:t>
      </w:r>
      <w:r>
        <w:rPr>
          <w:rFonts w:hint="eastAsia" w:ascii="仿宋_GB2312" w:hAnsi="仿宋_GB2312" w:eastAsia="仿宋_GB2312" w:cs="仿宋_GB2312"/>
          <w:sz w:val="32"/>
          <w:szCs w:val="32"/>
          <w:lang w:val="en-US" w:eastAsia="zh-CN"/>
        </w:rPr>
        <w:t>具体建议如下：</w:t>
      </w:r>
    </w:p>
    <w:p w14:paraId="73D491E8">
      <w:pPr>
        <w:pStyle w:val="11"/>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567" w:firstLineChars="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强化产业协同融合</w:t>
      </w:r>
    </w:p>
    <w:p w14:paraId="4F8EDE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搭建产业合作平台</w:t>
      </w:r>
    </w:p>
    <w:p w14:paraId="6B0850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政府、行业协会及企业三方共同</w:t>
      </w:r>
      <w:r>
        <w:rPr>
          <w:rFonts w:hint="eastAsia" w:ascii="仿宋_GB2312" w:hAnsi="仿宋_GB2312" w:eastAsia="仿宋_GB2312" w:cs="仿宋_GB2312"/>
          <w:sz w:val="32"/>
          <w:szCs w:val="32"/>
        </w:rPr>
        <w:t>打造低空经济与全空间智能无人系统产业合作平台。平台以数字化技术构建大数据中心，涵盖企业、技术、项目、人才等多维度信息库，为企业精准对接与合作提供数据支持与智能匹配服务。</w:t>
      </w:r>
    </w:p>
    <w:p w14:paraId="1E8E9A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建立技术共享联盟，制定详细规则与激励机制。鼓励企业上传闲置或有合作价值的研发成果、实验设施、专利技术等资源信息，平台评估定价后推动有偿共享与合作开发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降低创新成本，加速技术创新扩散与应用。</w:t>
      </w:r>
    </w:p>
    <w:p w14:paraId="5FF627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培育多元应用场景</w:t>
      </w:r>
    </w:p>
    <w:p w14:paraId="1AEDCE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探索低空飞行与智能网联汽车协同的智慧交通方案。构建低空物流配送与智能汽车末端配送无缝衔接模式，无人机将货物运至城市边缘配送站，智能汽车完成最后一公里配送，提高物流效率，缓解交通拥堵</w:t>
      </w:r>
      <w:r>
        <w:rPr>
          <w:rFonts w:hint="eastAsia" w:ascii="仿宋_GB2312" w:hAnsi="仿宋_GB2312" w:eastAsia="仿宋_GB2312" w:cs="仿宋_GB2312"/>
          <w:sz w:val="32"/>
          <w:szCs w:val="32"/>
          <w:lang w:eastAsia="zh-CN"/>
        </w:rPr>
        <w:t>。</w:t>
      </w:r>
    </w:p>
    <w:p w14:paraId="59EB88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利用番禺旅游资源开发低空旅游项目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如</w:t>
      </w:r>
      <w:r>
        <w:rPr>
          <w:rFonts w:hint="eastAsia" w:ascii="仿宋_GB2312" w:hAnsi="仿宋_GB2312" w:eastAsia="仿宋_GB2312" w:cs="仿宋_GB2312"/>
          <w:sz w:val="32"/>
          <w:szCs w:val="32"/>
        </w:rPr>
        <w:t>运用无人机拍摄制作旅游宣传片与VR体验内容，规划直升机观光线路，串联标志性景点，提供独特空中游览体验</w:t>
      </w:r>
      <w:r>
        <w:rPr>
          <w:rFonts w:hint="eastAsia" w:ascii="仿宋_GB2312" w:hAnsi="仿宋_GB2312" w:eastAsia="仿宋_GB2312" w:cs="仿宋_GB2312"/>
          <w:sz w:val="32"/>
          <w:szCs w:val="32"/>
          <w:lang w:eastAsia="zh-CN"/>
        </w:rPr>
        <w:t>。</w:t>
      </w:r>
    </w:p>
    <w:p w14:paraId="47EF5E5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引导企业在应急救援、城市安防等领域开展示范应用。利用无人机、直升机高空侦察与快速响应，监测灾害事故现场，</w:t>
      </w:r>
      <w:r>
        <w:rPr>
          <w:rFonts w:hint="eastAsia" w:ascii="仿宋_GB2312" w:hAnsi="仿宋_GB2312" w:eastAsia="仿宋_GB2312" w:cs="仿宋_GB2312"/>
          <w:sz w:val="32"/>
          <w:szCs w:val="32"/>
          <w:lang w:val="en-US" w:eastAsia="zh-CN"/>
        </w:rPr>
        <w:t>辅助制定救援方案；</w:t>
      </w:r>
      <w:r>
        <w:rPr>
          <w:rFonts w:hint="eastAsia" w:ascii="仿宋_GB2312" w:hAnsi="仿宋_GB2312" w:eastAsia="仿宋_GB2312" w:cs="仿宋_GB2312"/>
          <w:sz w:val="32"/>
          <w:szCs w:val="32"/>
        </w:rPr>
        <w:t>无人机搭载设备巡逻监控重点区域，及时发现预警违法犯罪</w:t>
      </w:r>
      <w:r>
        <w:rPr>
          <w:rFonts w:hint="eastAsia" w:ascii="仿宋_GB2312" w:hAnsi="仿宋_GB2312" w:eastAsia="仿宋_GB2312" w:cs="仿宋_GB2312"/>
          <w:sz w:val="32"/>
          <w:szCs w:val="32"/>
          <w:lang w:val="en-US" w:eastAsia="zh-CN"/>
        </w:rPr>
        <w:t>行为。</w:t>
      </w:r>
    </w:p>
    <w:p w14:paraId="502C40B1">
      <w:pPr>
        <w:pStyle w:val="11"/>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567" w:firstLineChars="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加强</w:t>
      </w:r>
      <w:r>
        <w:rPr>
          <w:rFonts w:hint="eastAsia" w:ascii="仿宋_GB2312" w:hAnsi="仿宋_GB2312" w:eastAsia="仿宋_GB2312" w:cs="仿宋_GB2312"/>
          <w:b/>
          <w:bCs/>
          <w:sz w:val="32"/>
          <w:szCs w:val="32"/>
        </w:rPr>
        <w:t>基础设施建设</w:t>
      </w:r>
    </w:p>
    <w:p w14:paraId="5E3478F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加大番禺区财政对低空经济与全空间智能无人系统基础设施建设投入，设专项建设资金并引导社会资本参与，形成多元投入格局。</w:t>
      </w:r>
    </w:p>
    <w:p w14:paraId="3371C9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科学规划建设标准化现代化起降场地，包括直升机停机坪、无人机起降场等。配备通信导航、气象观测、消防救援、电力供应等完善设施设备，满足飞行器起降与安全保障需求。</w:t>
      </w:r>
    </w:p>
    <w:p w14:paraId="25DAB0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加快建设低空飞行服务站，打造集飞行计划申报、气象情报服务、空中交通咨询、飞行监控与应急处置等多功能于一体的综合平台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采用</w:t>
      </w:r>
      <w:r>
        <w:rPr>
          <w:rFonts w:hint="eastAsia" w:ascii="仿宋_GB2312" w:hAnsi="仿宋_GB2312" w:eastAsia="仿宋_GB2312" w:cs="仿宋_GB2312"/>
          <w:sz w:val="32"/>
          <w:szCs w:val="32"/>
        </w:rPr>
        <w:t>先进技术与通信手段，与空管、气象、机场等单位信息互联共享，为低空飞行提供全面服务。</w:t>
      </w:r>
    </w:p>
    <w:p w14:paraId="786A688D">
      <w:pPr>
        <w:pStyle w:val="11"/>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567" w:firstLineChars="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推动技术创新</w:t>
      </w:r>
    </w:p>
    <w:p w14:paraId="249104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推动企业与高校、科研机构共建研发中心、实验室、工程技术研究中心等创新平台，开展前沿技术研究与关键技术攻关项目。政府设专项资金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支持平台建设运营。</w:t>
      </w:r>
    </w:p>
    <w:p w14:paraId="7C60F23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建立科技成果转化机制，加强高校、科研机构与企业在成果转化方面的沟通协作。政府搭建服务平台，提供信息发布、技术评估、交易对接等服务，促进成果从实验室走向市场。</w:t>
      </w:r>
    </w:p>
    <w:p w14:paraId="5888DCDA">
      <w:pPr>
        <w:pStyle w:val="11"/>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567" w:firstLineChars="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结合番禺</w:t>
      </w:r>
      <w:r>
        <w:rPr>
          <w:rFonts w:hint="eastAsia" w:ascii="仿宋_GB2312" w:hAnsi="仿宋_GB2312" w:eastAsia="仿宋_GB2312" w:cs="仿宋_GB2312"/>
          <w:b/>
          <w:bCs/>
          <w:sz w:val="32"/>
          <w:szCs w:val="32"/>
          <w:lang w:val="en-US" w:eastAsia="zh-CN"/>
        </w:rPr>
        <w:t>高校</w:t>
      </w:r>
      <w:r>
        <w:rPr>
          <w:rFonts w:hint="eastAsia" w:ascii="仿宋_GB2312" w:hAnsi="仿宋_GB2312" w:eastAsia="仿宋_GB2312" w:cs="仿宋_GB2312"/>
          <w:b/>
          <w:bCs/>
          <w:sz w:val="32"/>
          <w:szCs w:val="32"/>
        </w:rPr>
        <w:t>资源，加强新型人才学科建设</w:t>
      </w:r>
    </w:p>
    <w:p w14:paraId="538CB206">
      <w:pPr>
        <w:keepNext w:val="0"/>
        <w:keepLines w:val="0"/>
        <w:pageBreakBefore w:val="0"/>
        <w:widowControl w:val="0"/>
        <w:numPr>
          <w:ilvl w:val="0"/>
          <w:numId w:val="3"/>
        </w:numPr>
        <w:tabs>
          <w:tab w:val="left" w:pos="6451"/>
        </w:tabs>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优化学科体系与开发创新课程</w:t>
      </w:r>
    </w:p>
    <w:p w14:paraId="3269FBF7">
      <w:pPr>
        <w:keepNext w:val="0"/>
        <w:keepLines w:val="0"/>
        <w:pageBreakBefore w:val="0"/>
        <w:widowControl w:val="0"/>
        <w:numPr>
          <w:ilvl w:val="0"/>
          <w:numId w:val="0"/>
        </w:numPr>
        <w:tabs>
          <w:tab w:val="left" w:pos="6451"/>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整合番禺区高校资源，推动高校间学科交叉融合，构建全空间无人体系新型人才学科体系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设立如</w:t>
      </w:r>
      <w:bookmarkStart w:id="0" w:name="_GoBack"/>
      <w:bookmarkEnd w:id="0"/>
      <w:r>
        <w:rPr>
          <w:rFonts w:hint="eastAsia" w:ascii="仿宋_GB2312" w:hAnsi="仿宋_GB2312" w:eastAsia="仿宋_GB2312" w:cs="仿宋_GB2312"/>
          <w:sz w:val="32"/>
          <w:szCs w:val="32"/>
        </w:rPr>
        <w:t>“全空间无人系统工程”“智能无人飞行器设计与控制”等跨学科专业方向。</w:t>
      </w:r>
    </w:p>
    <w:p w14:paraId="397DD5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开发创新课程体系，注重理论与实践结合。课程设置涵盖无人系统基础理论课程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专业核心课程</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实践课程，培养</w:t>
      </w:r>
      <w:r>
        <w:rPr>
          <w:rFonts w:hint="eastAsia" w:ascii="仿宋_GB2312" w:hAnsi="仿宋_GB2312" w:eastAsia="仿宋_GB2312" w:cs="仿宋_GB2312"/>
          <w:sz w:val="32"/>
          <w:szCs w:val="32"/>
          <w:lang w:val="en-US" w:eastAsia="zh-CN"/>
        </w:rPr>
        <w:t>学生</w:t>
      </w:r>
      <w:r>
        <w:rPr>
          <w:rFonts w:hint="eastAsia" w:ascii="仿宋_GB2312" w:hAnsi="仿宋_GB2312" w:eastAsia="仿宋_GB2312" w:cs="仿宋_GB2312"/>
          <w:sz w:val="32"/>
          <w:szCs w:val="32"/>
        </w:rPr>
        <w:t>解决实际问题的能力。</w:t>
      </w:r>
    </w:p>
    <w:p w14:paraId="116B0D4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建设实践教学平台与深化产学研合作</w:t>
      </w:r>
    </w:p>
    <w:p w14:paraId="41388B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依托高校现有实验实训基地，联合企业共建全空间无人体系实践教学平台。平台配备无人机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飞行模拟训练系统、智能感知与控制实验平台</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，为学生提供全方位、多层次的实践教学条件。</w:t>
      </w:r>
    </w:p>
    <w:p w14:paraId="2BF8149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hAnsi="仿宋_GB2312" w:eastAsia="仿宋_GB2312" w:cs="仿宋_GB2312"/>
          <w:sz w:val="32"/>
          <w:szCs w:val="32"/>
        </w:rPr>
        <w:t>加强高校与企业在人才培养方面的合作。企业为高校提供实习实训基地、实践项目资源与兼职教师队伍，高校为企业定向培</w:t>
      </w:r>
      <w:r>
        <w:rPr>
          <w:rFonts w:hint="eastAsia" w:ascii="仿宋_GB2312" w:eastAsia="仿宋_GB2312"/>
          <w:sz w:val="32"/>
          <w:szCs w:val="32"/>
        </w:rPr>
        <w:t>养专业人才，实现人才培养与企业需求的无缝对接。</w:t>
      </w:r>
    </w:p>
    <w:p w14:paraId="5858EC9B">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rPr>
      </w:pP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870F5">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24869F">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A24869F">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26FCBB"/>
    <w:multiLevelType w:val="singleLevel"/>
    <w:tmpl w:val="3526FCBB"/>
    <w:lvl w:ilvl="0" w:tentative="0">
      <w:start w:val="1"/>
      <w:numFmt w:val="chineseCounting"/>
      <w:suff w:val="nothing"/>
      <w:lvlText w:val="（%1）"/>
      <w:lvlJc w:val="left"/>
      <w:rPr>
        <w:rFonts w:hint="eastAsia"/>
      </w:rPr>
    </w:lvl>
  </w:abstractNum>
  <w:abstractNum w:abstractNumId="1">
    <w:nsid w:val="491744DD"/>
    <w:multiLevelType w:val="multilevel"/>
    <w:tmpl w:val="491744DD"/>
    <w:lvl w:ilvl="0" w:tentative="0">
      <w:start w:val="1"/>
      <w:numFmt w:val="chineseCountingThousand"/>
      <w:lvlText w:val="%1、"/>
      <w:lvlJc w:val="left"/>
      <w:pPr>
        <w:tabs>
          <w:tab w:val="left" w:pos="720"/>
        </w:tabs>
        <w:ind w:left="720" w:hanging="360"/>
      </w:pPr>
      <w:rPr>
        <w:rFonts w:hint="eastAsia"/>
        <w:b w:val="0"/>
        <w:bCs w:val="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0DF3B39"/>
    <w:multiLevelType w:val="multilevel"/>
    <w:tmpl w:val="50DF3B39"/>
    <w:lvl w:ilvl="0" w:tentative="0">
      <w:start w:val="1"/>
      <w:numFmt w:val="chineseCountingThousand"/>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705C8"/>
    <w:rsid w:val="026645B1"/>
    <w:rsid w:val="08ED0288"/>
    <w:rsid w:val="09CF2327"/>
    <w:rsid w:val="0D142E1F"/>
    <w:rsid w:val="0DFA10FD"/>
    <w:rsid w:val="115A19CF"/>
    <w:rsid w:val="126705C8"/>
    <w:rsid w:val="12807743"/>
    <w:rsid w:val="13820354"/>
    <w:rsid w:val="24702EF8"/>
    <w:rsid w:val="2F5757D2"/>
    <w:rsid w:val="335A5EFA"/>
    <w:rsid w:val="3B052A2D"/>
    <w:rsid w:val="3C31589B"/>
    <w:rsid w:val="3C3E6389"/>
    <w:rsid w:val="3E3A6429"/>
    <w:rsid w:val="3EC11302"/>
    <w:rsid w:val="45B27966"/>
    <w:rsid w:val="5C2C458F"/>
    <w:rsid w:val="60F1702A"/>
    <w:rsid w:val="6A6D6CE8"/>
    <w:rsid w:val="746A5F38"/>
    <w:rsid w:val="75DC7CED"/>
    <w:rsid w:val="77936075"/>
    <w:rsid w:val="7F5430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qFormat="1" w:unhideWhenUsed="0" w:uiPriority="0"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99"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Calibri" w:hAnsi="Calibri" w:eastAsia="仿宋_GB2312"/>
      <w:sz w:val="32"/>
      <w:szCs w:val="20"/>
    </w:rPr>
  </w:style>
  <w:style w:type="paragraph" w:styleId="3">
    <w:name w:val="toc 5"/>
    <w:basedOn w:val="1"/>
    <w:next w:val="1"/>
    <w:qFormat/>
    <w:uiPriority w:val="0"/>
    <w:pPr>
      <w:ind w:left="1680"/>
    </w:pPr>
  </w:style>
  <w:style w:type="paragraph" w:styleId="4">
    <w:name w:val="Plain Text"/>
    <w:basedOn w:val="1"/>
    <w:qFormat/>
    <w:uiPriority w:val="0"/>
    <w:rPr>
      <w:rFonts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itle"/>
    <w:basedOn w:val="1"/>
    <w:qFormat/>
    <w:uiPriority w:val="10"/>
    <w:pPr>
      <w:spacing w:before="240" w:after="60"/>
      <w:jc w:val="center"/>
      <w:outlineLvl w:val="0"/>
    </w:pPr>
    <w:rPr>
      <w:rFonts w:asciiTheme="majorHAnsi" w:hAnsiTheme="majorHAnsi" w:eastAsiaTheme="majorEastAsia" w:cstheme="majorBidi"/>
      <w:b/>
      <w:bCs/>
      <w:sz w:val="32"/>
      <w:szCs w:val="32"/>
    </w:rPr>
  </w:style>
  <w:style w:type="paragraph" w:styleId="8">
    <w:name w:val="Body Text First Indent"/>
    <w:basedOn w:val="2"/>
    <w:qFormat/>
    <w:uiPriority w:val="0"/>
    <w:pPr>
      <w:ind w:firstLine="420" w:firstLineChars="100"/>
    </w:pPr>
    <w:rPr>
      <w:rFonts w:ascii="Calibri" w:hAnsi="Calibri" w:cs="Times New Roman"/>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区政协</Company>
  <Pages>5</Pages>
  <Words>193</Words>
  <Characters>219</Characters>
  <Lines>0</Lines>
  <Paragraphs>0</Paragraphs>
  <TotalTime>0</TotalTime>
  <ScaleCrop>false</ScaleCrop>
  <LinksUpToDate>false</LinksUpToDate>
  <CharactersWithSpaces>236</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2023-12-12T01:52:00Z</dcterms:created>
  <dc:creator>Administrator</dc:creator>
  <cp:lastModifiedBy>user</cp:lastModifiedBy>
  <cp:lastPrinted>2025-04-07T02:27:00Z</cp:lastPrinted>
  <dcterms:modified xsi:type="dcterms:W3CDTF">2026-01-06T01:58:43Z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CD228644219E42F9A8C6D56F5C561ABF_13</vt:lpwstr>
  </property>
</Properties>
</file>