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A00871">
      <w:pPr>
        <w:spacing w:line="860" w:lineRule="exact"/>
        <w:rPr>
          <w:rFonts w:ascii="Times New Roman" w:hAnsi="Times New Roman" w:cs="Times New Roman"/>
          <w:color w:val="000000"/>
          <w:sz w:val="24"/>
        </w:rPr>
      </w:pPr>
      <w:bookmarkStart w:id="0" w:name="_Hlk110948188"/>
      <w:r>
        <w:rPr>
          <w:rFonts w:ascii="Times New Roman" w:hAnsi="Times New Roman"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952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14:paraId="0A472F2A">
                            <w:pPr>
                              <w:spacing w:line="170" w:lineRule="exact"/>
                              <w:jc w:val="distribute"/>
                              <w:rPr>
                                <w:rFonts w:ascii="Times New Roman" w:hAnsi="Times New Roman" w:cs="Times New Roman"/>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ascii="Times New Roman" w:hAnsi="Times New Roman" w:eastAsia="楷体_GB2312" w:cs="Times New Roman"/>
                                <w:sz w:val="16"/>
                                <w:szCs w:val="16"/>
                              </w:rPr>
                              <w:t>(020)84632686 84632416 84633015</w:t>
                            </w:r>
                          </w:p>
                          <w:p w14:paraId="4F52FC43">
                            <w:pPr>
                              <w:spacing w:line="170" w:lineRule="exact"/>
                              <w:jc w:val="distribute"/>
                              <w:rPr>
                                <w:rFonts w:ascii="Times New Roman" w:hAnsi="Times New Roman" w:cs="Times New Roman"/>
                                <w:sz w:val="16"/>
                                <w:szCs w:val="16"/>
                              </w:rPr>
                            </w:pPr>
                            <w:r>
                              <w:rPr>
                                <w:rFonts w:ascii="Times New Roman" w:hAnsi="Times New Roman" w:eastAsia="华文中宋" w:cs="Times New Roman"/>
                                <w:sz w:val="16"/>
                                <w:szCs w:val="16"/>
                              </w:rPr>
                              <w:t>传真：</w:t>
                            </w:r>
                            <w:r>
                              <w:rPr>
                                <w:rFonts w:ascii="Times New Roman" w:hAnsi="Times New Roman" w:eastAsia="楷体_GB2312" w:cs="Times New Roman"/>
                                <w:sz w:val="16"/>
                                <w:szCs w:val="16"/>
                              </w:rPr>
                              <w:t>(020)84613097转分机 或 84632351</w:t>
                            </w:r>
                          </w:p>
                          <w:p w14:paraId="773FD566">
                            <w:pPr>
                              <w:pStyle w:val="3"/>
                              <w:spacing w:line="170" w:lineRule="exact"/>
                              <w:ind w:left="0" w:leftChars="0"/>
                              <w:rPr>
                                <w:sz w:val="16"/>
                                <w:szCs w:val="16"/>
                              </w:rPr>
                            </w:pPr>
                            <w:r>
                              <w:rPr>
                                <w:rFonts w:eastAsia="华文中宋"/>
                                <w:spacing w:val="5"/>
                                <w:sz w:val="16"/>
                                <w:szCs w:val="16"/>
                              </w:rPr>
                              <w:t>网址：</w:t>
                            </w:r>
                            <w:r>
                              <w:rPr>
                                <w:rFonts w:eastAsia="楷体_GB2312"/>
                                <w:sz w:val="16"/>
                                <w:szCs w:val="16"/>
                              </w:rPr>
                              <w:t>http://www.gzyeqin.com</w:t>
                            </w:r>
                          </w:p>
                          <w:p w14:paraId="2C03A270">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S01pS1gAAAAgBAAAPAAAAAAAAAAEAIAAA&#10;ACIAAABkcnMvZG93bnJldi54bWxQSwECFAAUAAAACACHTuJASUmWkw4CAAAFBAAADgAAAAAAAAAB&#10;ACAAAAAlAQAAZHJzL2Uyb0RvYy54bWxQSwUGAAAAAAYABgBZAQAApQUAAAAA&#10;">
                <v:fill on="f" focussize="0,0"/>
                <v:stroke on="f"/>
                <v:imagedata o:title=""/>
                <o:lock v:ext="edit" aspectratio="f"/>
                <v:textbox inset="0mm,0mm,0mm,0mm">
                  <w:txbxContent>
                    <w:p w14:paraId="0A472F2A">
                      <w:pPr>
                        <w:spacing w:line="170" w:lineRule="exact"/>
                        <w:jc w:val="distribute"/>
                        <w:rPr>
                          <w:rFonts w:ascii="Times New Roman" w:hAnsi="Times New Roman" w:cs="Times New Roman"/>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ascii="Times New Roman" w:hAnsi="Times New Roman" w:eastAsia="楷体_GB2312" w:cs="Times New Roman"/>
                          <w:sz w:val="16"/>
                          <w:szCs w:val="16"/>
                        </w:rPr>
                        <w:t>(020)84632686 84632416 84633015</w:t>
                      </w:r>
                    </w:p>
                    <w:p w14:paraId="4F52FC43">
                      <w:pPr>
                        <w:spacing w:line="170" w:lineRule="exact"/>
                        <w:jc w:val="distribute"/>
                        <w:rPr>
                          <w:rFonts w:ascii="Times New Roman" w:hAnsi="Times New Roman" w:cs="Times New Roman"/>
                          <w:sz w:val="16"/>
                          <w:szCs w:val="16"/>
                        </w:rPr>
                      </w:pPr>
                      <w:r>
                        <w:rPr>
                          <w:rFonts w:ascii="Times New Roman" w:hAnsi="Times New Roman" w:eastAsia="华文中宋" w:cs="Times New Roman"/>
                          <w:sz w:val="16"/>
                          <w:szCs w:val="16"/>
                        </w:rPr>
                        <w:t>传真：</w:t>
                      </w:r>
                      <w:r>
                        <w:rPr>
                          <w:rFonts w:ascii="Times New Roman" w:hAnsi="Times New Roman" w:eastAsia="楷体_GB2312" w:cs="Times New Roman"/>
                          <w:sz w:val="16"/>
                          <w:szCs w:val="16"/>
                        </w:rPr>
                        <w:t>(020)84613097转分机 或 84632351</w:t>
                      </w:r>
                    </w:p>
                    <w:p w14:paraId="773FD566">
                      <w:pPr>
                        <w:pStyle w:val="3"/>
                        <w:spacing w:line="170" w:lineRule="exact"/>
                        <w:ind w:left="0" w:leftChars="0"/>
                        <w:rPr>
                          <w:sz w:val="16"/>
                          <w:szCs w:val="16"/>
                        </w:rPr>
                      </w:pPr>
                      <w:r>
                        <w:rPr>
                          <w:rFonts w:eastAsia="华文中宋"/>
                          <w:spacing w:val="5"/>
                          <w:sz w:val="16"/>
                          <w:szCs w:val="16"/>
                        </w:rPr>
                        <w:t>网址：</w:t>
                      </w:r>
                      <w:r>
                        <w:rPr>
                          <w:rFonts w:eastAsia="楷体_GB2312"/>
                          <w:sz w:val="16"/>
                          <w:szCs w:val="16"/>
                        </w:rPr>
                        <w:t>http://www.gzyeqin.com</w:t>
                      </w:r>
                    </w:p>
                    <w:p w14:paraId="2C03A270">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9o+W/XAAAA&#10;CAEAAA8AAAAAAAAAAQAgAAAAIgAAAGRycy9kb3ducmV2LnhtbFBLAQIUABQAAAAIAIdO4kD4edgC&#10;5QEAAKsDAAAOAAAAAAAAAAEAIAAAACYBAABkcnMvZTJvRG9jLnhtbFBLBQYAAAAABgAGAFkBAAB9&#10;BQAAAAA=&#10;">
                <v:fill on="f" focussize="0,0"/>
                <v:stroke weight="1pt" color="#000000" joinstyle="round"/>
                <v:imagedata o:title=""/>
                <o:lock v:ext="edit" aspectratio="f"/>
              </v:line>
            </w:pict>
          </mc:Fallback>
        </mc:AlternateContent>
      </w:r>
      <w:r>
        <w:rPr>
          <w:rFonts w:ascii="Times New Roman" w:hAnsi="Times New Roman" w:cs="Times New Roman"/>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6350" b="1524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14:paraId="222C8FF1">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DVKVTWAAAACAEAAA8AAAAAAAAAAQAgAAAA&#10;IgAAAGRycy9kb3ducmV2LnhtbFBLAQIUABQAAAAIAIdO4kA+Whm9DQIAAAUEAAAOAAAAAAAAAAEA&#10;IAAAACUBAABkcnMvZTJvRG9jLnhtbFBLBQYAAAAABgAGAFkBAACkBQAAAAA=&#10;">
                <v:fill on="f" focussize="0,0"/>
                <v:stroke on="f"/>
                <v:imagedata o:title=""/>
                <o:lock v:ext="edit" aspectratio="f"/>
                <v:textbox inset="0mm,0mm,0mm,0mm">
                  <w:txbxContent>
                    <w:p w14:paraId="222C8FF1">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12700" b="1143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14:paraId="1D98DCCC">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14:paraId="6605BA35">
                            <w:pPr>
                              <w:spacing w:line="220" w:lineRule="exact"/>
                              <w:jc w:val="distribute"/>
                              <w:rPr>
                                <w:rFonts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9Tr762AAAAAkBAAAPAAAAAAAAAAEAIAAA&#10;ACIAAABkcnMvZG93bnJldi54bWxQSwECFAAUAAAACACHTuJApe5q+AwCAAAFBAAADgAAAAAAAAAB&#10;ACAAAAAnAQAAZHJzL2Uyb0RvYy54bWxQSwUGAAAAAAYABgBZAQAApQUAAAAA&#10;">
                <v:fill on="f" focussize="0,0"/>
                <v:stroke on="f"/>
                <v:imagedata o:title=""/>
                <o:lock v:ext="edit" aspectratio="f"/>
                <v:textbox inset="0mm,0mm,0mm,0mm">
                  <w:txbxContent>
                    <w:p w14:paraId="1D98DCCC">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14:paraId="6605BA35">
                      <w:pPr>
                        <w:spacing w:line="220" w:lineRule="exact"/>
                        <w:jc w:val="distribute"/>
                        <w:rPr>
                          <w:rFonts w:ascii="宋体" w:hAnsi="宋体"/>
                          <w:spacing w:val="-8"/>
                          <w:sz w:val="16"/>
                          <w:szCs w:val="16"/>
                        </w:rPr>
                      </w:pPr>
                    </w:p>
                  </w:txbxContent>
                </v:textbox>
              </v:shape>
            </w:pict>
          </mc:Fallback>
        </mc:AlternateContent>
      </w:r>
    </w:p>
    <w:p w14:paraId="0B994ED6">
      <w:pPr>
        <w:spacing w:line="3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ascii="Times New Roman" w:hAnsi="Times New Roman" w:eastAsia="仿宋_GB2312" w:cs="Times New Roman"/>
          <w:color w:val="000000"/>
          <w:sz w:val="28"/>
          <w:szCs w:val="28"/>
        </w:rPr>
        <w:t>业会专审[202</w:t>
      </w:r>
      <w:r>
        <w:rPr>
          <w:rFonts w:hint="eastAsia" w:ascii="Times New Roman" w:hAnsi="Times New Roman" w:eastAsia="仿宋_GB2312" w:cs="Times New Roman"/>
          <w:color w:val="000000"/>
          <w:sz w:val="28"/>
          <w:szCs w:val="28"/>
        </w:rPr>
        <w:t>5</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rPr>
        <w:t>336</w:t>
      </w:r>
      <w:r>
        <w:rPr>
          <w:rFonts w:ascii="Times New Roman" w:hAnsi="Times New Roman" w:eastAsia="仿宋_GB2312" w:cs="Times New Roman"/>
          <w:color w:val="000000"/>
          <w:sz w:val="28"/>
          <w:szCs w:val="28"/>
        </w:rPr>
        <w:t>号</w:t>
      </w:r>
    </w:p>
    <w:bookmarkEnd w:id="0"/>
    <w:bookmarkEnd w:id="1"/>
    <w:p w14:paraId="3873D293">
      <w:pPr>
        <w:spacing w:line="500" w:lineRule="exact"/>
        <w:ind w:left="6300" w:leftChars="3000" w:right="15" w:rightChars="7" w:firstLine="117" w:firstLineChars="42"/>
        <w:jc w:val="right"/>
        <w:rPr>
          <w:rFonts w:ascii="Times New Roman" w:hAnsi="Times New Roman" w:eastAsia="仿宋_GB2312" w:cs="Times New Roman"/>
          <w:color w:val="000000"/>
          <w:sz w:val="28"/>
          <w:szCs w:val="28"/>
        </w:rPr>
      </w:pPr>
    </w:p>
    <w:p w14:paraId="0E2B5DBF">
      <w:pPr>
        <w:spacing w:line="500" w:lineRule="exact"/>
        <w:jc w:val="center"/>
        <w:rPr>
          <w:rFonts w:ascii="Times New Roman" w:hAnsi="Times New Roman" w:eastAsia="宋体" w:cs="Times New Roman"/>
          <w:b/>
          <w:sz w:val="28"/>
          <w:szCs w:val="30"/>
        </w:rPr>
      </w:pPr>
      <w:r>
        <w:rPr>
          <w:rFonts w:ascii="Times New Roman" w:hAnsi="Times New Roman" w:eastAsia="宋体" w:cs="Times New Roman"/>
          <w:b/>
          <w:sz w:val="28"/>
          <w:szCs w:val="30"/>
        </w:rPr>
        <w:t>关于对</w:t>
      </w:r>
      <w:r>
        <w:rPr>
          <w:rFonts w:hint="eastAsia" w:ascii="Times New Roman" w:hAnsi="Times New Roman" w:eastAsia="宋体" w:cs="Times New Roman"/>
          <w:b/>
          <w:sz w:val="28"/>
          <w:szCs w:val="30"/>
        </w:rPr>
        <w:t>广州市番禺区化龙镇社工服务站</w:t>
      </w:r>
    </w:p>
    <w:p w14:paraId="13FBECB1">
      <w:pPr>
        <w:spacing w:line="500" w:lineRule="exact"/>
        <w:jc w:val="center"/>
        <w:rPr>
          <w:rFonts w:ascii="Times New Roman" w:hAnsi="Times New Roman" w:eastAsia="宋体" w:cs="Times New Roman"/>
          <w:b/>
          <w:sz w:val="28"/>
          <w:szCs w:val="30"/>
        </w:rPr>
      </w:pPr>
      <w:r>
        <w:rPr>
          <w:rFonts w:hint="eastAsia" w:ascii="Times New Roman" w:hAnsi="Times New Roman" w:eastAsia="宋体" w:cs="Times New Roman"/>
          <w:b/>
          <w:sz w:val="28"/>
          <w:szCs w:val="30"/>
        </w:rPr>
        <w:t>2025年2月9日至2025年8月8日</w:t>
      </w:r>
      <w:r>
        <w:rPr>
          <w:rFonts w:ascii="Times New Roman" w:hAnsi="Times New Roman" w:eastAsia="宋体" w:cs="Times New Roman"/>
          <w:b/>
          <w:sz w:val="28"/>
          <w:szCs w:val="30"/>
        </w:rPr>
        <w:t>财务管理情况评估报告</w:t>
      </w:r>
    </w:p>
    <w:p w14:paraId="76C5CC24">
      <w:pPr>
        <w:spacing w:line="360" w:lineRule="auto"/>
        <w:jc w:val="center"/>
        <w:rPr>
          <w:rFonts w:ascii="Times New Roman" w:hAnsi="Times New Roman" w:eastAsia="仿宋_GB2312" w:cs="Times New Roman"/>
          <w:sz w:val="28"/>
          <w:szCs w:val="28"/>
        </w:rPr>
      </w:pPr>
    </w:p>
    <w:p w14:paraId="4C0A166D">
      <w:pPr>
        <w:spacing w:line="600" w:lineRule="exact"/>
        <w:ind w:right="-8"/>
        <w:rPr>
          <w:rFonts w:ascii="Times New Roman" w:hAnsi="Times New Roman" w:eastAsia="楷体" w:cs="Times New Roman"/>
          <w:b/>
          <w:spacing w:val="-10"/>
          <w:sz w:val="28"/>
          <w:szCs w:val="28"/>
        </w:rPr>
      </w:pPr>
      <w:r>
        <w:rPr>
          <w:rFonts w:ascii="Times New Roman" w:hAnsi="Times New Roman" w:eastAsia="楷体" w:cs="Times New Roman"/>
          <w:b/>
          <w:spacing w:val="-10"/>
          <w:sz w:val="28"/>
          <w:szCs w:val="28"/>
        </w:rPr>
        <w:t>广州市番禺区社区建设指导中心：</w:t>
      </w:r>
    </w:p>
    <w:p w14:paraId="597B0EAF">
      <w:pPr>
        <w:spacing w:line="60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我们接受委托，对</w:t>
      </w:r>
      <w:r>
        <w:rPr>
          <w:rFonts w:hint="eastAsia" w:ascii="Times New Roman" w:hAnsi="Times New Roman" w:eastAsia="仿宋_GB2312" w:cs="Times New Roman"/>
          <w:sz w:val="28"/>
          <w:szCs w:val="28"/>
        </w:rPr>
        <w:t>广州市番禺区化龙镇社工服务站</w:t>
      </w:r>
      <w:r>
        <w:rPr>
          <w:rFonts w:ascii="Times New Roman" w:hAnsi="Times New Roman" w:eastAsia="仿宋_GB2312" w:cs="Times New Roman"/>
          <w:sz w:val="28"/>
          <w:szCs w:val="28"/>
        </w:rPr>
        <w:t>（以下简称</w:t>
      </w:r>
      <w:r>
        <w:rPr>
          <w:rFonts w:hint="eastAsia" w:ascii="Times New Roman" w:hAnsi="Times New Roman" w:eastAsia="仿宋_GB2312" w:cs="Times New Roman"/>
          <w:sz w:val="28"/>
          <w:szCs w:val="28"/>
        </w:rPr>
        <w:t>化龙社工站</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2025年2月9日至2025年8月8日</w:t>
      </w:r>
      <w:r>
        <w:rPr>
          <w:rFonts w:ascii="Times New Roman" w:hAnsi="Times New Roman" w:eastAsia="仿宋_GB2312" w:cs="Times New Roman"/>
          <w:sz w:val="28"/>
          <w:szCs w:val="28"/>
        </w:rPr>
        <w:t>财务管理情况进行财务评估。</w:t>
      </w:r>
      <w:r>
        <w:rPr>
          <w:rFonts w:ascii="Times New Roman" w:hAnsi="Times New Roman" w:eastAsia="仿宋" w:cs="Times New Roman"/>
          <w:sz w:val="28"/>
          <w:szCs w:val="28"/>
        </w:rPr>
        <w:t>提供真实、合法、完整的会计资料和评估相关资料</w:t>
      </w:r>
      <w:r>
        <w:rPr>
          <w:rFonts w:ascii="Times New Roman" w:hAnsi="Times New Roman" w:eastAsia="仿宋_GB2312" w:cs="Times New Roman"/>
          <w:sz w:val="28"/>
          <w:szCs w:val="28"/>
        </w:rPr>
        <w:t>是</w:t>
      </w:r>
      <w:r>
        <w:rPr>
          <w:rFonts w:hint="eastAsia" w:ascii="Times New Roman" w:hAnsi="Times New Roman" w:eastAsia="仿宋_GB2312" w:cs="Times New Roman"/>
          <w:color w:val="000000" w:themeColor="text1"/>
          <w:sz w:val="28"/>
          <w:szCs w:val="28"/>
          <w14:textFill>
            <w14:solidFill>
              <w14:schemeClr w14:val="tx1"/>
            </w14:solidFill>
          </w14:textFill>
        </w:rPr>
        <w:t>化龙社工站</w:t>
      </w:r>
      <w:r>
        <w:rPr>
          <w:rFonts w:ascii="Times New Roman" w:hAnsi="Times New Roman" w:eastAsia="仿宋_GB2312" w:cs="Times New Roman"/>
          <w:sz w:val="28"/>
          <w:szCs w:val="28"/>
        </w:rPr>
        <w:t>及其承接机构的责任，</w:t>
      </w:r>
      <w:r>
        <w:rPr>
          <w:rFonts w:ascii="Times New Roman" w:hAnsi="Times New Roman" w:eastAsia="仿宋" w:cs="Times New Roman"/>
          <w:sz w:val="28"/>
          <w:szCs w:val="28"/>
        </w:rPr>
        <w:t>我们的责任是依据《中国注册会计师执业准则》、《中华人民共和国会计法》、《会计基础工作规范》、《民间非营利组织会计制度》、</w:t>
      </w:r>
      <w:r>
        <w:rPr>
          <w:rFonts w:hint="eastAsia" w:ascii="Times New Roman" w:hAnsi="Times New Roman" w:eastAsia="仿宋" w:cs="Times New Roman"/>
          <w:color w:val="000000" w:themeColor="text1"/>
          <w:sz w:val="28"/>
          <w:szCs w:val="28"/>
          <w14:textFill>
            <w14:solidFill>
              <w14:schemeClr w14:val="tx1"/>
            </w14:solidFill>
          </w14:textFill>
        </w:rPr>
        <w:t>《广州市人民政府办公厅关于印发广州市社工服务站管理办法的通知》（穗府办〔2023〕7号）</w:t>
      </w:r>
      <w:r>
        <w:rPr>
          <w:rFonts w:ascii="Times New Roman" w:hAnsi="Times New Roman" w:eastAsia="仿宋" w:cs="Times New Roman"/>
          <w:sz w:val="28"/>
          <w:szCs w:val="28"/>
        </w:rPr>
        <w:t>及</w:t>
      </w:r>
      <w:r>
        <w:rPr>
          <w:rFonts w:hint="eastAsia" w:ascii="Times New Roman" w:hAnsi="Times New Roman" w:eastAsia="仿宋_GB2312" w:cs="Times New Roman"/>
          <w:color w:val="000000" w:themeColor="text1"/>
          <w:sz w:val="28"/>
          <w:szCs w:val="28"/>
          <w14:textFill>
            <w14:solidFill>
              <w14:schemeClr w14:val="tx1"/>
            </w14:solidFill>
          </w14:textFill>
        </w:rPr>
        <w:t>广州市番禺区化龙镇人民政府</w:t>
      </w:r>
      <w:r>
        <w:rPr>
          <w:rFonts w:ascii="Times New Roman" w:hAnsi="Times New Roman" w:eastAsia="仿宋" w:cs="Times New Roman"/>
          <w:sz w:val="28"/>
          <w:szCs w:val="28"/>
        </w:rPr>
        <w:t>与社工服务站承接机构签订的购买服务协议中相关约定，对</w:t>
      </w:r>
      <w:r>
        <w:rPr>
          <w:rFonts w:hint="eastAsia" w:ascii="Times New Roman" w:hAnsi="Times New Roman" w:eastAsia="仿宋_GB2312" w:cs="Times New Roman"/>
          <w:color w:val="000000" w:themeColor="text1"/>
          <w:sz w:val="28"/>
          <w:szCs w:val="28"/>
          <w14:textFill>
            <w14:solidFill>
              <w14:schemeClr w14:val="tx1"/>
            </w14:solidFill>
          </w14:textFill>
        </w:rPr>
        <w:t>化龙社工站</w:t>
      </w:r>
      <w:r>
        <w:rPr>
          <w:rFonts w:ascii="Times New Roman" w:hAnsi="Times New Roman" w:eastAsia="仿宋" w:cs="Times New Roman"/>
          <w:sz w:val="28"/>
          <w:szCs w:val="28"/>
        </w:rPr>
        <w:t>的财务管理情况进行审核，并出具财务评估报告</w:t>
      </w:r>
      <w:r>
        <w:rPr>
          <w:rFonts w:ascii="Times New Roman" w:hAnsi="Times New Roman" w:eastAsia="仿宋_GB2312" w:cs="Times New Roman"/>
          <w:sz w:val="28"/>
          <w:szCs w:val="28"/>
        </w:rPr>
        <w:t>。</w:t>
      </w:r>
    </w:p>
    <w:p w14:paraId="68FB8B40">
      <w:pPr>
        <w:spacing w:line="60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 w:cs="Times New Roman"/>
          <w:sz w:val="28"/>
          <w:szCs w:val="28"/>
        </w:rPr>
        <w:t>按照中国注册会计师职业道德守则，我们独立于</w:t>
      </w:r>
      <w:r>
        <w:rPr>
          <w:rFonts w:hint="eastAsia" w:ascii="Times New Roman" w:hAnsi="Times New Roman" w:eastAsia="仿宋_GB2312" w:cs="Times New Roman"/>
          <w:color w:val="000000" w:themeColor="text1"/>
          <w:sz w:val="28"/>
          <w:szCs w:val="28"/>
          <w14:textFill>
            <w14:solidFill>
              <w14:schemeClr w14:val="tx1"/>
            </w14:solidFill>
          </w14:textFill>
        </w:rPr>
        <w:t>化龙社工站</w:t>
      </w:r>
      <w:r>
        <w:rPr>
          <w:rFonts w:ascii="Times New Roman" w:hAnsi="Times New Roman" w:eastAsia="仿宋" w:cs="Times New Roman"/>
          <w:sz w:val="28"/>
          <w:szCs w:val="28"/>
        </w:rPr>
        <w:t>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w:t>
      </w:r>
      <w:r>
        <w:rPr>
          <w:rFonts w:ascii="Times New Roman" w:hAnsi="Times New Roman" w:eastAsia="仿宋_GB2312" w:cs="Times New Roman"/>
          <w:sz w:val="28"/>
          <w:szCs w:val="28"/>
        </w:rPr>
        <w:t>。现将评估结果报告如下：</w:t>
      </w:r>
    </w:p>
    <w:p w14:paraId="3FB977D9">
      <w:pPr>
        <w:spacing w:line="60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一、</w:t>
      </w:r>
      <w:r>
        <w:rPr>
          <w:rFonts w:hint="eastAsia" w:ascii="Times New Roman" w:hAnsi="Times New Roman" w:eastAsia="仿宋_GB2312" w:cs="Times New Roman"/>
          <w:b/>
          <w:sz w:val="28"/>
          <w:szCs w:val="28"/>
        </w:rPr>
        <w:t>化龙社工站</w:t>
      </w:r>
      <w:r>
        <w:rPr>
          <w:rFonts w:ascii="Times New Roman" w:hAnsi="Times New Roman" w:eastAsia="仿宋_GB2312" w:cs="Times New Roman"/>
          <w:b/>
          <w:sz w:val="28"/>
          <w:szCs w:val="28"/>
        </w:rPr>
        <w:t>基本情况</w:t>
      </w:r>
    </w:p>
    <w:p w14:paraId="6AFB7B2B">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承接机构名称：广州市番禺区普爱社会工作服务社。</w:t>
      </w:r>
    </w:p>
    <w:p w14:paraId="5F7C9C43">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承接机构法定代表人：吴娟。</w:t>
      </w:r>
    </w:p>
    <w:p w14:paraId="026C5414">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招标采购周期：2024年8月9日至2027年8月8日。</w:t>
      </w:r>
    </w:p>
    <w:p w14:paraId="26F9DC46">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本次服务协议期限：2024年8月9日至2025年8月8日。</w:t>
      </w:r>
    </w:p>
    <w:p w14:paraId="42BA8215">
      <w:pPr>
        <w:spacing w:line="620" w:lineRule="exact"/>
        <w:ind w:firstLine="544" w:firstLineChars="200"/>
        <w:rPr>
          <w:rFonts w:ascii="Times New Roman" w:hAnsi="Times New Roman" w:eastAsia="仿宋_GB2312" w:cs="Times New Roman"/>
          <w:spacing w:val="-4"/>
          <w:sz w:val="28"/>
          <w:szCs w:val="28"/>
        </w:rPr>
      </w:pPr>
      <w:r>
        <w:rPr>
          <w:rFonts w:ascii="Times New Roman" w:hAnsi="Times New Roman" w:eastAsia="仿宋" w:cs="Times New Roman"/>
          <w:spacing w:val="-4"/>
          <w:sz w:val="28"/>
          <w:szCs w:val="28"/>
        </w:rPr>
        <w:t>政府购买服务经费：本服务协议期限2024年8月9日至2025年8月8日的服务经费总计2,</w:t>
      </w:r>
      <w:r>
        <w:rPr>
          <w:rFonts w:hint="eastAsia" w:ascii="Times New Roman" w:hAnsi="Times New Roman" w:eastAsia="仿宋" w:cs="Times New Roman"/>
          <w:spacing w:val="-4"/>
          <w:sz w:val="28"/>
          <w:szCs w:val="28"/>
        </w:rPr>
        <w:t>183</w:t>
      </w:r>
      <w:r>
        <w:rPr>
          <w:rFonts w:ascii="Times New Roman" w:hAnsi="Times New Roman" w:eastAsia="仿宋" w:cs="Times New Roman"/>
          <w:spacing w:val="-4"/>
          <w:sz w:val="28"/>
          <w:szCs w:val="28"/>
        </w:rPr>
        <w:t>,000.00元，</w:t>
      </w:r>
      <w:r>
        <w:rPr>
          <w:rFonts w:ascii="Times New Roman" w:hAnsi="Times New Roman" w:eastAsia="仿宋_GB2312"/>
          <w:color w:val="000000" w:themeColor="text1"/>
          <w:sz w:val="28"/>
          <w:szCs w:val="28"/>
          <w14:textFill>
            <w14:solidFill>
              <w14:schemeClr w14:val="tx1"/>
            </w14:solidFill>
          </w14:textFill>
        </w:rPr>
        <w:t>其中</w:t>
      </w:r>
      <w:r>
        <w:rPr>
          <w:rFonts w:hint="eastAsia" w:ascii="Times New Roman" w:hAnsi="Times New Roman" w:eastAsia="仿宋_GB2312"/>
          <w:color w:val="000000" w:themeColor="text1"/>
          <w:sz w:val="28"/>
          <w:szCs w:val="28"/>
          <w14:textFill>
            <w14:solidFill>
              <w14:schemeClr w14:val="tx1"/>
            </w14:solidFill>
          </w14:textFill>
        </w:rPr>
        <w:t>协议签订生效之日起60个工作日内拨付第一期经费</w:t>
      </w:r>
      <w:r>
        <w:rPr>
          <w:rFonts w:ascii="Times New Roman" w:hAnsi="Times New Roman" w:eastAsia="仿宋_GB2312" w:cs="Times New Roman"/>
          <w:color w:val="000000" w:themeColor="text1"/>
          <w:sz w:val="28"/>
          <w:szCs w:val="28"/>
          <w14:textFill>
            <w14:solidFill>
              <w14:schemeClr w14:val="tx1"/>
            </w14:solidFill>
          </w14:textFill>
        </w:rPr>
        <w:t>1,320,000.00元</w:t>
      </w:r>
      <w:r>
        <w:rPr>
          <w:rFonts w:hint="eastAsia"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olor w:val="000000" w:themeColor="text1"/>
          <w:sz w:val="28"/>
          <w:szCs w:val="28"/>
          <w14:textFill>
            <w14:solidFill>
              <w14:schemeClr w14:val="tx1"/>
            </w14:solidFill>
          </w14:textFill>
        </w:rPr>
        <w:t>年度中期评估为合格以上的，自申请之日起60个工作日内拨付第二期经费</w:t>
      </w:r>
      <w:r>
        <w:rPr>
          <w:rFonts w:hint="eastAsia" w:ascii="Times New Roman" w:hAnsi="Times New Roman" w:eastAsia="仿宋_GB2312" w:cs="Times New Roman"/>
          <w:color w:val="000000" w:themeColor="text1"/>
          <w:sz w:val="28"/>
          <w:szCs w:val="28"/>
          <w14:textFill>
            <w14:solidFill>
              <w14:schemeClr w14:val="tx1"/>
            </w14:solidFill>
          </w14:textFill>
        </w:rPr>
        <w:t>750</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000</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00</w:t>
      </w:r>
      <w:r>
        <w:rPr>
          <w:rFonts w:ascii="Times New Roman" w:hAnsi="Times New Roman" w:eastAsia="仿宋_GB2312" w:cs="Times New Roman"/>
          <w:color w:val="000000" w:themeColor="text1"/>
          <w:sz w:val="28"/>
          <w:szCs w:val="28"/>
          <w14:textFill>
            <w14:solidFill>
              <w14:schemeClr w14:val="tx1"/>
            </w14:solidFill>
          </w14:textFill>
        </w:rPr>
        <w:t>元</w:t>
      </w:r>
      <w:r>
        <w:rPr>
          <w:rFonts w:hint="eastAsia" w:ascii="Times New Roman" w:hAnsi="Times New Roman" w:eastAsia="仿宋_GB2312" w:cs="Times New Roman"/>
          <w:color w:val="000000" w:themeColor="text1"/>
          <w:sz w:val="28"/>
          <w:szCs w:val="28"/>
          <w14:textFill>
            <w14:solidFill>
              <w14:schemeClr w14:val="tx1"/>
            </w14:solidFill>
          </w14:textFill>
        </w:rPr>
        <w:t>；</w:t>
      </w:r>
      <w:r>
        <w:rPr>
          <w:rFonts w:ascii="Times New Roman" w:hAnsi="Times New Roman" w:eastAsia="仿宋_GB2312" w:cs="Times New Roman"/>
          <w:color w:val="000000" w:themeColor="text1"/>
          <w:sz w:val="28"/>
          <w:szCs w:val="28"/>
          <w14:textFill>
            <w14:solidFill>
              <w14:schemeClr w14:val="tx1"/>
            </w14:solidFill>
          </w14:textFill>
        </w:rPr>
        <w:t>年度末期评估为合格</w:t>
      </w:r>
      <w:r>
        <w:rPr>
          <w:rFonts w:hint="eastAsia" w:ascii="Times New Roman" w:hAnsi="Times New Roman" w:eastAsia="仿宋_GB2312" w:cs="Times New Roman"/>
          <w:color w:val="000000" w:themeColor="text1"/>
          <w:sz w:val="28"/>
          <w:szCs w:val="28"/>
          <w14:textFill>
            <w14:solidFill>
              <w14:schemeClr w14:val="tx1"/>
            </w14:solidFill>
          </w14:textFill>
        </w:rPr>
        <w:t>及</w:t>
      </w:r>
      <w:r>
        <w:rPr>
          <w:rFonts w:ascii="Times New Roman" w:hAnsi="Times New Roman" w:eastAsia="仿宋_GB2312" w:cs="Times New Roman"/>
          <w:color w:val="000000" w:themeColor="text1"/>
          <w:sz w:val="28"/>
          <w:szCs w:val="28"/>
          <w14:textFill>
            <w14:solidFill>
              <w14:schemeClr w14:val="tx1"/>
            </w14:solidFill>
          </w14:textFill>
        </w:rPr>
        <w:t>以上的</w:t>
      </w:r>
      <w:r>
        <w:rPr>
          <w:rFonts w:hint="eastAsia"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olor w:val="000000" w:themeColor="text1"/>
          <w:sz w:val="28"/>
          <w:szCs w:val="28"/>
          <w14:textFill>
            <w14:solidFill>
              <w14:schemeClr w14:val="tx1"/>
            </w14:solidFill>
          </w14:textFill>
        </w:rPr>
        <w:t>自申请之日起60个工作日内拨付第三期经费</w:t>
      </w:r>
      <w:r>
        <w:rPr>
          <w:rFonts w:hint="eastAsia" w:ascii="Times New Roman" w:hAnsi="Times New Roman" w:eastAsia="仿宋_GB2312" w:cs="Times New Roman"/>
          <w:color w:val="000000" w:themeColor="text1"/>
          <w:sz w:val="28"/>
          <w:szCs w:val="28"/>
          <w14:textFill>
            <w14:solidFill>
              <w14:schemeClr w14:val="tx1"/>
            </w14:solidFill>
          </w14:textFill>
        </w:rPr>
        <w:t>113</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000</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00</w:t>
      </w:r>
      <w:r>
        <w:rPr>
          <w:rFonts w:ascii="Times New Roman" w:hAnsi="Times New Roman" w:eastAsia="仿宋_GB2312" w:cs="Times New Roman"/>
          <w:color w:val="000000" w:themeColor="text1"/>
          <w:sz w:val="28"/>
          <w:szCs w:val="28"/>
          <w14:textFill>
            <w14:solidFill>
              <w14:schemeClr w14:val="tx1"/>
            </w14:solidFill>
          </w14:textFill>
        </w:rPr>
        <w:t>元</w:t>
      </w:r>
      <w:r>
        <w:rPr>
          <w:rFonts w:hint="eastAsia" w:ascii="Times New Roman" w:hAnsi="Times New Roman" w:eastAsia="仿宋_GB2312" w:cs="Times New Roman"/>
          <w:color w:val="000000" w:themeColor="text1"/>
          <w:sz w:val="28"/>
          <w:szCs w:val="28"/>
          <w14:textFill>
            <w14:solidFill>
              <w14:schemeClr w14:val="tx1"/>
            </w14:solidFill>
          </w14:textFill>
        </w:rPr>
        <w:t>。</w:t>
      </w:r>
    </w:p>
    <w:p w14:paraId="47A2D99D">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二、</w:t>
      </w:r>
      <w:r>
        <w:rPr>
          <w:rFonts w:hint="eastAsia" w:ascii="Times New Roman" w:hAnsi="Times New Roman" w:eastAsia="仿宋_GB2312" w:cs="Times New Roman"/>
          <w:b/>
          <w:sz w:val="28"/>
          <w:szCs w:val="28"/>
        </w:rPr>
        <w:t>化龙社工站</w:t>
      </w:r>
      <w:r>
        <w:rPr>
          <w:rFonts w:ascii="Times New Roman" w:hAnsi="Times New Roman" w:eastAsia="仿宋_GB2312" w:cs="Times New Roman"/>
          <w:b/>
          <w:sz w:val="28"/>
          <w:szCs w:val="28"/>
        </w:rPr>
        <w:t>财务管理制度执行情况</w:t>
      </w:r>
    </w:p>
    <w:p w14:paraId="2EC600F6">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㈠非营利组织会计制度的执行情况</w:t>
      </w:r>
    </w:p>
    <w:p w14:paraId="18C38CC7">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w:t>
      </w:r>
      <w:r>
        <w:rPr>
          <w:rFonts w:hint="eastAsia" w:ascii="Times New Roman" w:hAnsi="Times New Roman" w:eastAsia="仿宋_GB2312" w:cs="Times New Roman"/>
          <w:color w:val="000000" w:themeColor="text1"/>
          <w:sz w:val="28"/>
          <w:szCs w:val="28"/>
          <w14:textFill>
            <w14:solidFill>
              <w14:schemeClr w14:val="tx1"/>
            </w14:solidFill>
          </w14:textFill>
        </w:rPr>
        <w:t>化龙社工站</w:t>
      </w:r>
      <w:r>
        <w:rPr>
          <w:rFonts w:ascii="Times New Roman" w:hAnsi="Times New Roman" w:eastAsia="仿宋" w:cs="Times New Roman"/>
          <w:sz w:val="28"/>
          <w:szCs w:val="28"/>
        </w:rPr>
        <w:t>有执行《民间非营利组织会计制度》，能按照《民间非营利组织会计制度》进行会计核算，原始凭证的审核、记账凭证的编制和财务报告的编制等符合制度规定，能根据有关规定和要求填报经费收支情况表的数据。</w:t>
      </w:r>
    </w:p>
    <w:p w14:paraId="2A3EE25F">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㈡财务监管、风控制度的执行情况</w:t>
      </w:r>
    </w:p>
    <w:p w14:paraId="3EC1D31A">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１、承接机构广州市番禺区普爱社会工作服务社根据自身业务特点建立了财务</w:t>
      </w:r>
      <w:r>
        <w:rPr>
          <w:rFonts w:hint="eastAsia" w:ascii="Times New Roman" w:hAnsi="Times New Roman" w:eastAsia="仿宋" w:cs="Times New Roman"/>
          <w:sz w:val="28"/>
          <w:szCs w:val="28"/>
        </w:rPr>
        <w:t>管理</w:t>
      </w:r>
      <w:r>
        <w:rPr>
          <w:rFonts w:ascii="Times New Roman" w:hAnsi="Times New Roman" w:eastAsia="仿宋" w:cs="Times New Roman"/>
          <w:sz w:val="28"/>
          <w:szCs w:val="28"/>
        </w:rPr>
        <w:t>制度</w:t>
      </w:r>
      <w:r>
        <w:rPr>
          <w:rFonts w:hint="eastAsia" w:ascii="Times New Roman" w:hAnsi="Times New Roman" w:eastAsia="仿宋" w:cs="Times New Roman"/>
          <w:sz w:val="28"/>
          <w:szCs w:val="28"/>
        </w:rPr>
        <w:t>，对机构报销及支出、备用金、发票开具、固定资产、财务内控、现金与物资等方面的管理进行了规范。</w:t>
      </w:r>
      <w:r>
        <w:rPr>
          <w:rFonts w:ascii="Times New Roman" w:hAnsi="Times New Roman" w:eastAsia="仿宋" w:cs="Times New Roman"/>
          <w:sz w:val="28"/>
          <w:szCs w:val="28"/>
        </w:rPr>
        <w:t>化龙社工站在实际工作中能按上述制度要求</w:t>
      </w:r>
      <w:r>
        <w:rPr>
          <w:rFonts w:hint="eastAsia" w:ascii="Times New Roman" w:hAnsi="Times New Roman" w:eastAsia="仿宋" w:cs="Times New Roman"/>
          <w:sz w:val="28"/>
          <w:szCs w:val="28"/>
        </w:rPr>
        <w:t>执行。社工站已</w:t>
      </w:r>
      <w:r>
        <w:rPr>
          <w:rFonts w:ascii="Times New Roman" w:hAnsi="Times New Roman" w:eastAsia="仿宋" w:cs="Times New Roman"/>
          <w:sz w:val="28"/>
          <w:szCs w:val="28"/>
        </w:rPr>
        <w:t>编制“化龙街道社工服务站预算表”；在经费报销和预支申请等方面均能执行承接机构制度规定的程序、权限。</w:t>
      </w:r>
    </w:p>
    <w:p w14:paraId="647C3B35">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２、承接机构广州市番禺区普爱社会工作服务社化龙社工站严格执行</w:t>
      </w:r>
      <w:r>
        <w:rPr>
          <w:rFonts w:hint="eastAsia" w:ascii="Times New Roman" w:hAnsi="Times New Roman" w:eastAsia="仿宋" w:cs="Times New Roman"/>
          <w:sz w:val="28"/>
          <w:szCs w:val="28"/>
        </w:rPr>
        <w:t>固定资产管理的相关</w:t>
      </w:r>
      <w:r>
        <w:rPr>
          <w:rFonts w:ascii="Times New Roman" w:hAnsi="Times New Roman" w:eastAsia="仿宋" w:cs="Times New Roman"/>
          <w:sz w:val="28"/>
          <w:szCs w:val="28"/>
        </w:rPr>
        <w:t>制度，并定期对固定资产进行盘点，详见本报告后附2025年</w:t>
      </w:r>
      <w:r>
        <w:rPr>
          <w:rFonts w:hint="eastAsia" w:ascii="Times New Roman" w:hAnsi="Times New Roman" w:eastAsia="仿宋" w:cs="Times New Roman"/>
          <w:sz w:val="28"/>
          <w:szCs w:val="28"/>
        </w:rPr>
        <w:t>7</w:t>
      </w:r>
      <w:r>
        <w:rPr>
          <w:rFonts w:ascii="Times New Roman" w:hAnsi="Times New Roman" w:eastAsia="仿宋" w:cs="Times New Roman"/>
          <w:sz w:val="28"/>
          <w:szCs w:val="28"/>
        </w:rPr>
        <w:t>月</w:t>
      </w:r>
      <w:r>
        <w:rPr>
          <w:rFonts w:hint="eastAsia" w:ascii="Times New Roman" w:hAnsi="Times New Roman" w:eastAsia="仿宋" w:cs="Times New Roman"/>
          <w:sz w:val="28"/>
          <w:szCs w:val="28"/>
        </w:rPr>
        <w:t>31</w:t>
      </w:r>
      <w:r>
        <w:rPr>
          <w:rFonts w:ascii="Times New Roman" w:hAnsi="Times New Roman" w:eastAsia="仿宋" w:cs="Times New Roman"/>
          <w:sz w:val="28"/>
          <w:szCs w:val="28"/>
        </w:rPr>
        <w:t>日固定资产明细表（详见附件）。</w:t>
      </w:r>
    </w:p>
    <w:p w14:paraId="72A481BD">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３、</w:t>
      </w:r>
      <w:bookmarkStart w:id="2" w:name="_Hlk110953931"/>
      <w:r>
        <w:rPr>
          <w:rFonts w:ascii="Times New Roman" w:hAnsi="Times New Roman" w:eastAsia="仿宋" w:cs="Times New Roman"/>
          <w:sz w:val="28"/>
          <w:szCs w:val="28"/>
        </w:rPr>
        <w:t>承接机构广州市番禺区普爱社会工作服务社已按要求编制服务期内化龙社工站的财务自评报告；</w:t>
      </w:r>
      <w:bookmarkEnd w:id="2"/>
      <w:r>
        <w:rPr>
          <w:rFonts w:ascii="Times New Roman" w:hAnsi="Times New Roman" w:eastAsia="仿宋" w:cs="Times New Roman"/>
          <w:sz w:val="28"/>
          <w:szCs w:val="28"/>
        </w:rPr>
        <w:t>服务社202</w:t>
      </w:r>
      <w:r>
        <w:rPr>
          <w:rFonts w:hint="eastAsia" w:ascii="Times New Roman" w:hAnsi="Times New Roman" w:eastAsia="仿宋" w:cs="Times New Roman"/>
          <w:sz w:val="28"/>
          <w:szCs w:val="28"/>
        </w:rPr>
        <w:t>4</w:t>
      </w:r>
      <w:r>
        <w:rPr>
          <w:rFonts w:ascii="Times New Roman" w:hAnsi="Times New Roman" w:eastAsia="仿宋" w:cs="Times New Roman"/>
          <w:sz w:val="28"/>
          <w:szCs w:val="28"/>
        </w:rPr>
        <w:t>年度财务报表已经广</w:t>
      </w:r>
      <w:bookmarkStart w:id="3" w:name="OLE_LINK1"/>
      <w:r>
        <w:rPr>
          <w:rFonts w:hint="eastAsia" w:ascii="Times New Roman" w:hAnsi="Times New Roman" w:eastAsia="仿宋" w:cs="Times New Roman"/>
          <w:sz w:val="28"/>
          <w:szCs w:val="28"/>
        </w:rPr>
        <w:t>东</w:t>
      </w:r>
      <w:bookmarkEnd w:id="3"/>
      <w:r>
        <w:rPr>
          <w:rFonts w:hint="eastAsia" w:ascii="Times New Roman" w:hAnsi="Times New Roman" w:eastAsia="仿宋" w:cs="Times New Roman"/>
          <w:sz w:val="28"/>
          <w:szCs w:val="28"/>
        </w:rPr>
        <w:t>万嘉</w:t>
      </w:r>
      <w:r>
        <w:rPr>
          <w:rFonts w:ascii="Times New Roman" w:hAnsi="Times New Roman" w:eastAsia="仿宋" w:cs="Times New Roman"/>
          <w:sz w:val="28"/>
          <w:szCs w:val="28"/>
        </w:rPr>
        <w:t>会计师事务所审计，并取得</w:t>
      </w:r>
      <w:r>
        <w:rPr>
          <w:rFonts w:hint="eastAsia" w:ascii="Times New Roman" w:hAnsi="Times New Roman" w:eastAsia="仿宋" w:cs="Times New Roman"/>
          <w:sz w:val="28"/>
          <w:szCs w:val="28"/>
        </w:rPr>
        <w:t>万嘉财</w:t>
      </w:r>
      <w:r>
        <w:rPr>
          <w:rFonts w:ascii="Times New Roman" w:hAnsi="Times New Roman" w:eastAsia="仿宋" w:cs="Times New Roman"/>
          <w:sz w:val="28"/>
          <w:szCs w:val="28"/>
        </w:rPr>
        <w:t>审字（202</w:t>
      </w:r>
      <w:r>
        <w:rPr>
          <w:rFonts w:hint="eastAsia" w:ascii="Times New Roman" w:hAnsi="Times New Roman" w:eastAsia="仿宋" w:cs="Times New Roman"/>
          <w:sz w:val="28"/>
          <w:szCs w:val="28"/>
        </w:rPr>
        <w:t>5</w:t>
      </w:r>
      <w:r>
        <w:rPr>
          <w:rFonts w:ascii="Times New Roman" w:hAnsi="Times New Roman" w:eastAsia="仿宋" w:cs="Times New Roman"/>
          <w:sz w:val="28"/>
          <w:szCs w:val="28"/>
        </w:rPr>
        <w:t>）第</w:t>
      </w:r>
      <w:r>
        <w:rPr>
          <w:rFonts w:hint="eastAsia" w:ascii="Times New Roman" w:hAnsi="Times New Roman" w:eastAsia="仿宋" w:cs="Times New Roman"/>
          <w:sz w:val="28"/>
          <w:szCs w:val="28"/>
        </w:rPr>
        <w:t>88</w:t>
      </w:r>
      <w:r>
        <w:rPr>
          <w:rFonts w:ascii="Times New Roman" w:hAnsi="Times New Roman" w:eastAsia="仿宋" w:cs="Times New Roman"/>
          <w:sz w:val="28"/>
          <w:szCs w:val="28"/>
        </w:rPr>
        <w:t>号无保留意见审计报告；202</w:t>
      </w:r>
      <w:r>
        <w:rPr>
          <w:rFonts w:hint="eastAsia" w:ascii="Times New Roman" w:hAnsi="Times New Roman" w:eastAsia="仿宋" w:cs="Times New Roman"/>
          <w:sz w:val="28"/>
          <w:szCs w:val="28"/>
        </w:rPr>
        <w:t>4</w:t>
      </w:r>
      <w:r>
        <w:rPr>
          <w:rFonts w:ascii="Times New Roman" w:hAnsi="Times New Roman" w:eastAsia="仿宋" w:cs="Times New Roman"/>
          <w:sz w:val="28"/>
          <w:szCs w:val="28"/>
        </w:rPr>
        <w:t>年度企业所得税纳税情况已经广</w:t>
      </w:r>
      <w:r>
        <w:rPr>
          <w:rFonts w:hint="eastAsia" w:ascii="Times New Roman" w:hAnsi="Times New Roman" w:eastAsia="仿宋" w:cs="Times New Roman"/>
          <w:sz w:val="28"/>
          <w:szCs w:val="28"/>
        </w:rPr>
        <w:t>东肇达</w:t>
      </w:r>
      <w:r>
        <w:rPr>
          <w:rFonts w:ascii="Times New Roman" w:hAnsi="Times New Roman" w:eastAsia="仿宋" w:cs="Times New Roman"/>
          <w:sz w:val="28"/>
          <w:szCs w:val="28"/>
        </w:rPr>
        <w:t>税务师事务所有限公司复核，并取得</w:t>
      </w:r>
      <w:r>
        <w:rPr>
          <w:rFonts w:hint="eastAsia" w:ascii="Times New Roman" w:hAnsi="Times New Roman" w:eastAsia="仿宋" w:cs="Times New Roman"/>
          <w:sz w:val="28"/>
          <w:szCs w:val="28"/>
        </w:rPr>
        <w:t>肇广税鉴</w:t>
      </w:r>
      <w:r>
        <w:rPr>
          <w:rFonts w:ascii="Times New Roman" w:hAnsi="Times New Roman" w:eastAsia="仿宋" w:cs="Times New Roman"/>
          <w:sz w:val="28"/>
          <w:szCs w:val="28"/>
        </w:rPr>
        <w:t>字（202</w:t>
      </w:r>
      <w:r>
        <w:rPr>
          <w:rFonts w:hint="eastAsia" w:ascii="Times New Roman" w:hAnsi="Times New Roman" w:eastAsia="仿宋" w:cs="Times New Roman"/>
          <w:sz w:val="28"/>
          <w:szCs w:val="28"/>
        </w:rPr>
        <w:t>5</w:t>
      </w:r>
      <w:r>
        <w:rPr>
          <w:rFonts w:ascii="Times New Roman" w:hAnsi="Times New Roman" w:eastAsia="仿宋" w:cs="Times New Roman"/>
          <w:sz w:val="28"/>
          <w:szCs w:val="28"/>
        </w:rPr>
        <w:t>）</w:t>
      </w:r>
      <w:r>
        <w:rPr>
          <w:rFonts w:hint="eastAsia" w:ascii="Times New Roman" w:hAnsi="Times New Roman" w:eastAsia="仿宋" w:cs="Times New Roman"/>
          <w:sz w:val="28"/>
          <w:szCs w:val="28"/>
        </w:rPr>
        <w:t>F-022</w:t>
      </w:r>
      <w:r>
        <w:rPr>
          <w:rFonts w:ascii="Times New Roman" w:hAnsi="Times New Roman" w:eastAsia="仿宋" w:cs="Times New Roman"/>
          <w:sz w:val="28"/>
          <w:szCs w:val="28"/>
        </w:rPr>
        <w:t>号汇算清缴纳税调整报告。</w:t>
      </w:r>
    </w:p>
    <w:p w14:paraId="170BB4B1">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三、</w:t>
      </w:r>
      <w:r>
        <w:rPr>
          <w:rFonts w:hint="eastAsia" w:ascii="Times New Roman" w:hAnsi="Times New Roman" w:eastAsia="仿宋_GB2312" w:cs="Times New Roman"/>
          <w:b/>
          <w:sz w:val="28"/>
          <w:szCs w:val="28"/>
        </w:rPr>
        <w:t>化龙社工站</w:t>
      </w:r>
      <w:r>
        <w:rPr>
          <w:rFonts w:ascii="Times New Roman" w:hAnsi="Times New Roman" w:eastAsia="仿宋_GB2312" w:cs="Times New Roman"/>
          <w:b/>
          <w:sz w:val="28"/>
          <w:szCs w:val="28"/>
        </w:rPr>
        <w:t>人员配备情况</w:t>
      </w:r>
    </w:p>
    <w:p w14:paraId="6B801C7F">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承接机构广州市番禺区普爱社会工作服务社严格贯彻不相容职务分离原则，为化龙社工站配置财务人员2名，分别担任副总干事（负责财务管理）及出纳岗位，负责包括化龙社工站在内的中心财务工作，其中主管财务工作的副总干事陈敏玲已取得中级会计专业技术资格证。</w:t>
      </w:r>
    </w:p>
    <w:p w14:paraId="79BA1E2D">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经查阅，陈敏玲及出纳张颖均已完成2024年度会计专业技术人员继续教育学习任务，且相应工资、五险一金等薪金支出未计入社工人员经费支出，符合要求。</w:t>
      </w:r>
    </w:p>
    <w:p w14:paraId="1DAC9DD6">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四、</w:t>
      </w:r>
      <w:r>
        <w:rPr>
          <w:rFonts w:hint="eastAsia" w:ascii="Times New Roman" w:hAnsi="Times New Roman" w:eastAsia="仿宋_GB2312" w:cs="Times New Roman"/>
          <w:b/>
          <w:sz w:val="28"/>
          <w:szCs w:val="28"/>
        </w:rPr>
        <w:t>化龙社工站</w:t>
      </w:r>
      <w:r>
        <w:rPr>
          <w:rFonts w:ascii="Times New Roman" w:hAnsi="Times New Roman" w:eastAsia="仿宋_GB2312" w:cs="Times New Roman"/>
          <w:b/>
          <w:sz w:val="28"/>
          <w:szCs w:val="28"/>
        </w:rPr>
        <w:t>经费支出情况</w:t>
      </w:r>
    </w:p>
    <w:p w14:paraId="4D92EA61">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承接机构广州市番禺区普爱社会工作服务社根据《广州市社工服务站管理办法》（穗府办〔2023〕7号）等相关规定，结合实际情况</w:t>
      </w:r>
      <w:r>
        <w:rPr>
          <w:rFonts w:hint="eastAsia" w:ascii="Times New Roman" w:hAnsi="Times New Roman" w:eastAsia="仿宋" w:cs="Times New Roman"/>
          <w:sz w:val="28"/>
          <w:szCs w:val="28"/>
        </w:rPr>
        <w:t>在其财务管理制度中规范了</w:t>
      </w:r>
      <w:r>
        <w:rPr>
          <w:rFonts w:ascii="Times New Roman" w:hAnsi="Times New Roman" w:eastAsia="仿宋" w:cs="Times New Roman"/>
          <w:sz w:val="28"/>
          <w:szCs w:val="28"/>
        </w:rPr>
        <w:t>报销及支出管理制度，明确了财务经费支出的审核程序及支出权限。</w:t>
      </w:r>
      <w:r>
        <w:rPr>
          <w:rFonts w:hint="eastAsia" w:ascii="Times New Roman" w:hAnsi="Times New Roman" w:eastAsia="仿宋" w:cs="Times New Roman"/>
          <w:sz w:val="28"/>
          <w:szCs w:val="28"/>
        </w:rPr>
        <w:t>财务</w:t>
      </w:r>
      <w:r>
        <w:rPr>
          <w:rFonts w:ascii="Times New Roman" w:hAnsi="Times New Roman" w:eastAsia="仿宋" w:cs="Times New Roman"/>
          <w:sz w:val="28"/>
          <w:szCs w:val="28"/>
        </w:rPr>
        <w:t>制度规定：活动服务经费在500元以内（含500元）由中心主任签批</w:t>
      </w:r>
      <w:r>
        <w:rPr>
          <w:rFonts w:hint="eastAsia" w:ascii="Times New Roman" w:hAnsi="Times New Roman" w:eastAsia="仿宋" w:cs="Times New Roman"/>
          <w:sz w:val="28"/>
          <w:szCs w:val="28"/>
        </w:rPr>
        <w:t>，500元以上1000 元（含）以下由副总干事及财务总监共同签批</w:t>
      </w:r>
      <w:r>
        <w:rPr>
          <w:rFonts w:ascii="Times New Roman" w:hAnsi="Times New Roman" w:eastAsia="仿宋" w:cs="Times New Roman"/>
          <w:sz w:val="28"/>
          <w:szCs w:val="28"/>
        </w:rPr>
        <w:t>；行政办公费用</w:t>
      </w:r>
      <w:r>
        <w:rPr>
          <w:rFonts w:hint="eastAsia" w:ascii="Times New Roman" w:hAnsi="Times New Roman" w:eastAsia="仿宋" w:cs="Times New Roman"/>
          <w:sz w:val="28"/>
          <w:szCs w:val="28"/>
        </w:rPr>
        <w:t>在</w:t>
      </w:r>
      <w:r>
        <w:rPr>
          <w:rFonts w:ascii="Times New Roman" w:hAnsi="Times New Roman" w:eastAsia="仿宋" w:cs="Times New Roman"/>
          <w:sz w:val="28"/>
          <w:szCs w:val="28"/>
        </w:rPr>
        <w:t>1000元以内（含1000元）由</w:t>
      </w:r>
      <w:r>
        <w:rPr>
          <w:rFonts w:hint="eastAsia" w:ascii="Times New Roman" w:hAnsi="Times New Roman" w:eastAsia="仿宋" w:cs="Times New Roman"/>
          <w:sz w:val="28"/>
          <w:szCs w:val="28"/>
        </w:rPr>
        <w:t>行政/</w:t>
      </w:r>
      <w:r>
        <w:rPr>
          <w:rFonts w:ascii="Times New Roman" w:hAnsi="Times New Roman" w:eastAsia="仿宋" w:cs="Times New Roman"/>
          <w:sz w:val="28"/>
          <w:szCs w:val="28"/>
        </w:rPr>
        <w:t>财务总监共同签批；</w:t>
      </w:r>
      <w:r>
        <w:rPr>
          <w:rFonts w:hint="eastAsia" w:ascii="Times New Roman" w:hAnsi="Times New Roman" w:eastAsia="仿宋" w:cs="Times New Roman"/>
          <w:sz w:val="28"/>
          <w:szCs w:val="28"/>
        </w:rPr>
        <w:t>其他各项支出在</w:t>
      </w:r>
      <w:r>
        <w:rPr>
          <w:rFonts w:ascii="Times New Roman" w:hAnsi="Times New Roman" w:eastAsia="仿宋" w:cs="Times New Roman"/>
          <w:sz w:val="28"/>
          <w:szCs w:val="28"/>
        </w:rPr>
        <w:t>1000元以内（含1000元）由副总干事及财务总监共同签批；</w:t>
      </w:r>
      <w:r>
        <w:rPr>
          <w:rFonts w:hint="eastAsia" w:ascii="Times New Roman" w:hAnsi="Times New Roman" w:eastAsia="仿宋" w:cs="Times New Roman"/>
          <w:sz w:val="28"/>
          <w:szCs w:val="28"/>
        </w:rPr>
        <w:t>各项支出在</w:t>
      </w:r>
      <w:r>
        <w:rPr>
          <w:rFonts w:ascii="Times New Roman" w:hAnsi="Times New Roman" w:eastAsia="仿宋" w:cs="Times New Roman"/>
          <w:sz w:val="28"/>
          <w:szCs w:val="28"/>
        </w:rPr>
        <w:t>1000元以上30000元以下（含30000元）由总干事签批，30000元以上需由理事长签批。经费支出由经办人、</w:t>
      </w:r>
      <w:r>
        <w:rPr>
          <w:rFonts w:hint="eastAsia" w:ascii="Times New Roman" w:hAnsi="Times New Roman" w:eastAsia="仿宋" w:cs="Times New Roman"/>
          <w:sz w:val="28"/>
          <w:szCs w:val="28"/>
        </w:rPr>
        <w:t>复核人</w:t>
      </w:r>
      <w:r>
        <w:rPr>
          <w:rFonts w:ascii="Times New Roman" w:hAnsi="Times New Roman" w:eastAsia="仿宋" w:cs="Times New Roman"/>
          <w:sz w:val="28"/>
          <w:szCs w:val="28"/>
        </w:rPr>
        <w:t>、审核人签名。本评估期内化龙社工站经费支出具体情况如下：</w:t>
      </w:r>
    </w:p>
    <w:p w14:paraId="60FB930C">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㈠财务支出的合规性</w:t>
      </w:r>
    </w:p>
    <w:p w14:paraId="428F0E63">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化龙社工站经费使用的范围、比例基本能按《广州市社工服务站管理办法》有关规定执行。化龙社工站每年有制定“化龙街道社工服务站预算表”，明确规划了协议期内的收入和支出预算计划，经费支出预算表基本能符合《民间非营利组织会计制度》和广州市番禺区化龙镇人民政府与社工服务站承接机构签订的购买服务协议中人员费用、服务质量保障费用和运营管理费用规定的使用范围，活动经费预算表有机构理事会负责人签名确认。</w:t>
      </w:r>
    </w:p>
    <w:p w14:paraId="58A376D0">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㈡财务支出的合理性</w:t>
      </w:r>
    </w:p>
    <w:p w14:paraId="7F2AA031">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经审核，化龙社工站财务支出的事由、票据、标准基本合理。化龙社工站有经费预算程序，财务支出根据经费预算计划执行、基本能按预算标准支出，并有财务支出票据。</w:t>
      </w:r>
    </w:p>
    <w:p w14:paraId="3EE37D8E">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㈢财务支出的审批情况</w:t>
      </w:r>
    </w:p>
    <w:p w14:paraId="38071228">
      <w:pPr>
        <w:spacing w:line="620" w:lineRule="exact"/>
        <w:ind w:firstLine="552" w:firstLineChars="200"/>
        <w:rPr>
          <w:rFonts w:ascii="Times New Roman" w:hAnsi="Times New Roman" w:eastAsia="仿宋" w:cs="Times New Roman"/>
          <w:spacing w:val="-2"/>
          <w:sz w:val="28"/>
          <w:szCs w:val="28"/>
        </w:rPr>
      </w:pPr>
      <w:r>
        <w:rPr>
          <w:rFonts w:ascii="Times New Roman" w:hAnsi="Times New Roman" w:eastAsia="仿宋" w:cs="Times New Roman"/>
          <w:spacing w:val="-2"/>
          <w:sz w:val="28"/>
          <w:szCs w:val="28"/>
        </w:rPr>
        <w:t>经审核，化龙社工站能按承接机构广州市番禺区普爱社会工作服务社财务制度规定的审批权限进行审批。经费支出均有经办人、证明人、审核人签名。</w:t>
      </w:r>
    </w:p>
    <w:p w14:paraId="675C16F1">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㈣财务支出的监控情况</w:t>
      </w:r>
    </w:p>
    <w:p w14:paraId="3C5117B2">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经审核，承接机构广州市番禺区普爱社会工作服务社已建立财务支出管理的监控机制，并在化龙社工站得到较规范执行。</w:t>
      </w:r>
    </w:p>
    <w:p w14:paraId="2FC273C5">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１、承接机构广州市番禺区普爱社会工作服务社能按规定开设银行基本账户，按规定对该化龙社工站开设银行一般账户（专户），日常财务支出采用专户支付和基本户代付后专户转回结合的方式。</w:t>
      </w:r>
    </w:p>
    <w:p w14:paraId="7D8F9490">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２、为确保政府购买服务经费用于指定用途，承接机构广州市番禺区普爱社会工作服务社有定期向购买方提交化龙社工站服务经费使用情况报告，对经费预算及使用情况作比对分析。</w:t>
      </w:r>
    </w:p>
    <w:p w14:paraId="08781D06">
      <w:pPr>
        <w:spacing w:line="61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㈤财务支出票据的完整性、规范性</w:t>
      </w:r>
    </w:p>
    <w:p w14:paraId="39DBCCF4">
      <w:pPr>
        <w:spacing w:line="61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化龙社工站财务支出票据、凭证填制较完整，账目设置、票据管理较规范。</w:t>
      </w:r>
    </w:p>
    <w:p w14:paraId="3CA23D31">
      <w:pPr>
        <w:spacing w:line="61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五、</w:t>
      </w:r>
      <w:r>
        <w:rPr>
          <w:rFonts w:hint="eastAsia" w:ascii="Times New Roman" w:hAnsi="Times New Roman" w:eastAsia="仿宋_GB2312" w:cs="Times New Roman"/>
          <w:b/>
          <w:sz w:val="28"/>
          <w:szCs w:val="28"/>
        </w:rPr>
        <w:t>化龙社工站</w:t>
      </w:r>
      <w:r>
        <w:rPr>
          <w:rFonts w:ascii="Times New Roman" w:hAnsi="Times New Roman" w:eastAsia="仿宋_GB2312" w:cs="Times New Roman"/>
          <w:b/>
          <w:sz w:val="28"/>
          <w:szCs w:val="28"/>
        </w:rPr>
        <w:t>会计核算情况</w:t>
      </w:r>
    </w:p>
    <w:p w14:paraId="6CA3DE19">
      <w:pPr>
        <w:spacing w:line="610" w:lineRule="exact"/>
        <w:ind w:right="-6" w:rightChars="-3" w:firstLine="560" w:firstLineChars="200"/>
        <w:rPr>
          <w:rFonts w:ascii="Times New Roman" w:hAnsi="Times New Roman" w:eastAsia="仿宋" w:cs="Times New Roman"/>
          <w:color w:val="000000" w:themeColor="text1"/>
          <w:sz w:val="28"/>
          <w:szCs w:val="28"/>
          <w14:textFill>
            <w14:solidFill>
              <w14:schemeClr w14:val="tx1"/>
            </w14:solidFill>
          </w14:textFill>
        </w:rPr>
      </w:pPr>
      <w:bookmarkStart w:id="4" w:name="_Hlk110777849"/>
      <w:r>
        <w:rPr>
          <w:rFonts w:ascii="Times New Roman" w:hAnsi="Times New Roman" w:eastAsia="仿宋" w:cs="Times New Roman"/>
          <w:color w:val="000000" w:themeColor="text1"/>
          <w:sz w:val="28"/>
          <w:szCs w:val="28"/>
          <w14:textFill>
            <w14:solidFill>
              <w14:schemeClr w14:val="tx1"/>
            </w14:solidFill>
          </w14:textFill>
        </w:rPr>
        <w:t>㈠是否设置会计科目，编制会计报表</w:t>
      </w:r>
    </w:p>
    <w:p w14:paraId="2964613B">
      <w:pPr>
        <w:spacing w:line="61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经审核，承接机构</w:t>
      </w:r>
      <w:r>
        <w:rPr>
          <w:rFonts w:hint="eastAsia" w:ascii="Times New Roman" w:hAnsi="Times New Roman" w:eastAsia="仿宋" w:cs="Times New Roman"/>
          <w:color w:val="000000" w:themeColor="text1"/>
          <w:sz w:val="28"/>
          <w:szCs w:val="28"/>
          <w14:textFill>
            <w14:solidFill>
              <w14:schemeClr w14:val="tx1"/>
            </w14:solidFill>
          </w14:textFill>
        </w:rPr>
        <w:t>广州市番禺区普爱社会工作服务社</w:t>
      </w:r>
      <w:r>
        <w:rPr>
          <w:rFonts w:ascii="Times New Roman" w:hAnsi="Times New Roman" w:eastAsia="仿宋" w:cs="Times New Roman"/>
          <w:color w:val="000000" w:themeColor="text1"/>
          <w:sz w:val="28"/>
          <w:szCs w:val="28"/>
          <w14:textFill>
            <w14:solidFill>
              <w14:schemeClr w14:val="tx1"/>
            </w14:solidFill>
          </w14:textFill>
        </w:rPr>
        <w:t>对</w:t>
      </w:r>
      <w:r>
        <w:rPr>
          <w:rFonts w:hint="eastAsia" w:ascii="Times New Roman" w:hAnsi="Times New Roman" w:eastAsia="仿宋_GB2312" w:cs="Times New Roman"/>
          <w:color w:val="000000" w:themeColor="text1"/>
          <w:sz w:val="28"/>
          <w:szCs w:val="28"/>
          <w14:textFill>
            <w14:solidFill>
              <w14:schemeClr w14:val="tx1"/>
            </w14:solidFill>
          </w14:textFill>
        </w:rPr>
        <w:t>化龙社工站</w:t>
      </w:r>
      <w:r>
        <w:rPr>
          <w:rFonts w:ascii="Times New Roman" w:hAnsi="Times New Roman" w:eastAsia="仿宋" w:cs="Times New Roman"/>
          <w:color w:val="000000" w:themeColor="text1"/>
          <w:sz w:val="28"/>
          <w:szCs w:val="28"/>
          <w14:textFill>
            <w14:solidFill>
              <w14:schemeClr w14:val="tx1"/>
            </w14:solidFill>
          </w14:textFill>
        </w:rPr>
        <w:t>会计科目设置合理，所有服务业务均编制了记账凭证、登记了明细分类账簿和总账，核算做到账证、账账、账表相符，编制了会计报表，并依据相关会计制度独立核算。</w:t>
      </w:r>
    </w:p>
    <w:p w14:paraId="5E119037">
      <w:pPr>
        <w:spacing w:line="610" w:lineRule="exact"/>
        <w:ind w:right="-6" w:rightChars="-3"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㈡是否分项目核算</w:t>
      </w:r>
    </w:p>
    <w:p w14:paraId="325C4216">
      <w:pPr>
        <w:spacing w:line="61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经审核，承接机构</w:t>
      </w:r>
      <w:r>
        <w:rPr>
          <w:rFonts w:hint="eastAsia" w:ascii="Times New Roman" w:hAnsi="Times New Roman" w:eastAsia="仿宋" w:cs="Times New Roman"/>
          <w:color w:val="000000" w:themeColor="text1"/>
          <w:sz w:val="28"/>
          <w:szCs w:val="28"/>
          <w14:textFill>
            <w14:solidFill>
              <w14:schemeClr w14:val="tx1"/>
            </w14:solidFill>
          </w14:textFill>
        </w:rPr>
        <w:t>广州市番禺区普爱社会工作服务社</w:t>
      </w:r>
      <w:r>
        <w:rPr>
          <w:rFonts w:ascii="Times New Roman" w:hAnsi="Times New Roman" w:eastAsia="仿宋" w:cs="Times New Roman"/>
          <w:color w:val="000000" w:themeColor="text1"/>
          <w:sz w:val="28"/>
          <w:szCs w:val="28"/>
          <w14:textFill>
            <w14:solidFill>
              <w14:schemeClr w14:val="tx1"/>
            </w14:solidFill>
          </w14:textFill>
        </w:rPr>
        <w:t>对承接的</w:t>
      </w:r>
      <w:r>
        <w:rPr>
          <w:rFonts w:hint="eastAsia" w:ascii="Times New Roman" w:hAnsi="Times New Roman" w:eastAsia="仿宋_GB2312" w:cs="Times New Roman"/>
          <w:color w:val="000000" w:themeColor="text1"/>
          <w:sz w:val="28"/>
          <w:szCs w:val="28"/>
          <w14:textFill>
            <w14:solidFill>
              <w14:schemeClr w14:val="tx1"/>
            </w14:solidFill>
          </w14:textFill>
        </w:rPr>
        <w:t>化龙社工站</w:t>
      </w:r>
      <w:r>
        <w:rPr>
          <w:rFonts w:ascii="Times New Roman" w:hAnsi="Times New Roman" w:eastAsia="仿宋" w:cs="Times New Roman"/>
          <w:color w:val="000000" w:themeColor="text1"/>
          <w:sz w:val="28"/>
          <w:szCs w:val="28"/>
          <w14:textFill>
            <w14:solidFill>
              <w14:schemeClr w14:val="tx1"/>
            </w14:solidFill>
          </w14:textFill>
        </w:rPr>
        <w:t>政府购买服务资金的服务经费支出，能按要求做到分项目核算。</w:t>
      </w:r>
    </w:p>
    <w:p w14:paraId="0F40187D">
      <w:pPr>
        <w:spacing w:line="610" w:lineRule="exact"/>
        <w:ind w:right="-6" w:rightChars="-3"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㈢是否领域服务经费分开归集</w:t>
      </w:r>
    </w:p>
    <w:p w14:paraId="0F242017">
      <w:pPr>
        <w:spacing w:line="61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经审核，承接机构</w:t>
      </w:r>
      <w:r>
        <w:rPr>
          <w:rFonts w:hint="eastAsia" w:ascii="Times New Roman" w:hAnsi="Times New Roman" w:eastAsia="仿宋" w:cs="Times New Roman"/>
          <w:color w:val="000000" w:themeColor="text1"/>
          <w:sz w:val="28"/>
          <w:szCs w:val="28"/>
          <w14:textFill>
            <w14:solidFill>
              <w14:schemeClr w14:val="tx1"/>
            </w14:solidFill>
          </w14:textFill>
        </w:rPr>
        <w:t>广州市番禺区普爱社会工作服务社</w:t>
      </w:r>
      <w:r>
        <w:rPr>
          <w:rFonts w:ascii="Times New Roman" w:hAnsi="Times New Roman" w:eastAsia="仿宋" w:cs="Times New Roman"/>
          <w:color w:val="000000" w:themeColor="text1"/>
          <w:sz w:val="28"/>
          <w:szCs w:val="28"/>
          <w14:textFill>
            <w14:solidFill>
              <w14:schemeClr w14:val="tx1"/>
            </w14:solidFill>
          </w14:textFill>
        </w:rPr>
        <w:t>对承接的</w:t>
      </w:r>
      <w:r>
        <w:rPr>
          <w:rFonts w:hint="eastAsia" w:ascii="Times New Roman" w:hAnsi="Times New Roman" w:eastAsia="仿宋_GB2312" w:cs="Times New Roman"/>
          <w:color w:val="000000" w:themeColor="text1"/>
          <w:sz w:val="28"/>
          <w:szCs w:val="28"/>
          <w14:textFill>
            <w14:solidFill>
              <w14:schemeClr w14:val="tx1"/>
            </w14:solidFill>
          </w14:textFill>
        </w:rPr>
        <w:t>化龙社工站</w:t>
      </w:r>
      <w:r>
        <w:rPr>
          <w:rFonts w:ascii="Times New Roman" w:hAnsi="Times New Roman" w:eastAsia="仿宋" w:cs="Times New Roman"/>
          <w:color w:val="000000" w:themeColor="text1"/>
          <w:sz w:val="28"/>
          <w:szCs w:val="28"/>
          <w14:textFill>
            <w14:solidFill>
              <w14:schemeClr w14:val="tx1"/>
            </w14:solidFill>
          </w14:textFill>
        </w:rPr>
        <w:t>政府购买服务资金的服务经费支出，能按要求做到领域服务经费分开归集。</w:t>
      </w:r>
    </w:p>
    <w:p w14:paraId="1128F976">
      <w:pPr>
        <w:spacing w:line="61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六、</w:t>
      </w:r>
      <w:bookmarkEnd w:id="4"/>
      <w:r>
        <w:rPr>
          <w:rFonts w:ascii="Times New Roman" w:hAnsi="Times New Roman" w:eastAsia="仿宋_GB2312" w:cs="Times New Roman"/>
          <w:b/>
          <w:sz w:val="28"/>
          <w:szCs w:val="28"/>
        </w:rPr>
        <w:t>本评估期服务经费拨入、支出、结余情况</w:t>
      </w:r>
    </w:p>
    <w:p w14:paraId="714FE58A">
      <w:pPr>
        <w:spacing w:line="610" w:lineRule="exact"/>
        <w:ind w:right="-2" w:firstLine="560" w:firstLineChars="200"/>
        <w:outlineLvl w:val="0"/>
        <w:rPr>
          <w:rFonts w:ascii="Times New Roman" w:hAnsi="Times New Roman" w:eastAsia="仿宋" w:cs="Times New Roman"/>
          <w:spacing w:val="-4"/>
          <w:sz w:val="28"/>
          <w:szCs w:val="28"/>
        </w:rPr>
      </w:pPr>
      <w:r>
        <w:rPr>
          <w:rFonts w:hint="eastAsia" w:ascii="Times New Roman" w:hAnsi="Times New Roman" w:eastAsia="仿宋_GB2312" w:cs="Times New Roman"/>
          <w:sz w:val="28"/>
          <w:szCs w:val="28"/>
        </w:rPr>
        <w:t>2025年2月9日至2025年8月8日</w:t>
      </w:r>
      <w:r>
        <w:rPr>
          <w:rFonts w:ascii="Times New Roman" w:hAnsi="Times New Roman" w:eastAsia="仿宋" w:cs="Times New Roman"/>
          <w:color w:val="000000" w:themeColor="text1"/>
          <w:sz w:val="28"/>
          <w:szCs w:val="28"/>
          <w14:textFill>
            <w14:solidFill>
              <w14:schemeClr w14:val="tx1"/>
            </w14:solidFill>
          </w14:textFill>
        </w:rPr>
        <w:t>期间（以下简称本评估期），</w:t>
      </w:r>
      <w:r>
        <w:rPr>
          <w:rFonts w:hint="eastAsia" w:ascii="Times New Roman" w:hAnsi="Times New Roman" w:eastAsia="仿宋_GB2312" w:cs="Times New Roman"/>
          <w:color w:val="000000" w:themeColor="text1"/>
          <w:sz w:val="28"/>
          <w:szCs w:val="28"/>
          <w14:textFill>
            <w14:solidFill>
              <w14:schemeClr w14:val="tx1"/>
            </w14:solidFill>
          </w14:textFill>
        </w:rPr>
        <w:t>化龙社工站</w:t>
      </w:r>
      <w:r>
        <w:rPr>
          <w:rFonts w:ascii="Times New Roman" w:hAnsi="Times New Roman" w:eastAsia="仿宋_GB2312" w:cs="Times New Roman"/>
          <w:color w:val="000000" w:themeColor="text1"/>
          <w:spacing w:val="-4"/>
          <w:sz w:val="28"/>
          <w:szCs w:val="28"/>
          <w14:textFill>
            <w14:solidFill>
              <w14:schemeClr w14:val="tx1"/>
            </w14:solidFill>
          </w14:textFill>
        </w:rPr>
        <w:t>收到本评估期内政府购买服务经费</w:t>
      </w:r>
      <w:r>
        <w:rPr>
          <w:rFonts w:hint="eastAsia" w:ascii="Times New Roman" w:hAnsi="Times New Roman" w:eastAsia="仿宋_GB2312" w:cs="Times New Roman"/>
          <w:color w:val="000000" w:themeColor="text1"/>
          <w:spacing w:val="-4"/>
          <w:sz w:val="28"/>
          <w:szCs w:val="28"/>
          <w14:textFill>
            <w14:solidFill>
              <w14:schemeClr w14:val="tx1"/>
            </w14:solidFill>
          </w14:textFill>
        </w:rPr>
        <w:t>1,449,000.00</w:t>
      </w:r>
      <w:r>
        <w:rPr>
          <w:rFonts w:ascii="Times New Roman" w:hAnsi="Times New Roman" w:eastAsia="仿宋_GB2312" w:cs="Times New Roman"/>
          <w:color w:val="000000" w:themeColor="text1"/>
          <w:spacing w:val="-4"/>
          <w:sz w:val="28"/>
          <w:szCs w:val="28"/>
          <w14:textFill>
            <w14:solidFill>
              <w14:schemeClr w14:val="tx1"/>
            </w14:solidFill>
          </w14:textFill>
        </w:rPr>
        <w:t>元</w:t>
      </w:r>
      <w:r>
        <w:rPr>
          <w:rFonts w:hint="eastAsia" w:ascii="Times New Roman" w:hAnsi="Times New Roman" w:eastAsia="仿宋" w:cs="Times New Roman"/>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归属于本评估期的服务经费支出累计</w:t>
      </w:r>
      <w:r>
        <w:rPr>
          <w:rFonts w:hint="eastAsia" w:ascii="Times New Roman" w:hAnsi="Times New Roman" w:eastAsia="仿宋" w:cs="Times New Roman"/>
          <w:color w:val="000000" w:themeColor="text1"/>
          <w:sz w:val="28"/>
          <w:szCs w:val="28"/>
          <w14:textFill>
            <w14:solidFill>
              <w14:schemeClr w14:val="tx1"/>
            </w14:solidFill>
          </w14:textFill>
        </w:rPr>
        <w:t>1,094,588.01</w:t>
      </w:r>
      <w:r>
        <w:rPr>
          <w:rFonts w:ascii="Times New Roman" w:hAnsi="Times New Roman" w:eastAsia="仿宋" w:cs="Times New Roman"/>
          <w:color w:val="000000" w:themeColor="text1"/>
          <w:sz w:val="28"/>
          <w:szCs w:val="28"/>
          <w14:textFill>
            <w14:solidFill>
              <w14:schemeClr w14:val="tx1"/>
            </w14:solidFill>
          </w14:textFill>
        </w:rPr>
        <w:t>元，</w:t>
      </w:r>
      <w:r>
        <w:rPr>
          <w:rFonts w:ascii="Times New Roman" w:hAnsi="Times New Roman" w:eastAsia="仿宋" w:cs="Times New Roman"/>
          <w:spacing w:val="-4"/>
          <w:sz w:val="28"/>
          <w:szCs w:val="28"/>
        </w:rPr>
        <w:t>其中已支付</w:t>
      </w:r>
      <w:r>
        <w:rPr>
          <w:rFonts w:hint="eastAsia" w:ascii="Times New Roman" w:hAnsi="Times New Roman" w:eastAsia="仿宋" w:cs="Times New Roman"/>
          <w:spacing w:val="-4"/>
          <w:sz w:val="28"/>
          <w:szCs w:val="28"/>
        </w:rPr>
        <w:t xml:space="preserve"> 792,668.99</w:t>
      </w:r>
      <w:r>
        <w:rPr>
          <w:rFonts w:ascii="Times New Roman" w:hAnsi="Times New Roman" w:eastAsia="仿宋" w:cs="Times New Roman"/>
          <w:spacing w:val="-4"/>
          <w:sz w:val="28"/>
          <w:szCs w:val="28"/>
        </w:rPr>
        <w:t>元，余</w:t>
      </w:r>
      <w:r>
        <w:rPr>
          <w:rFonts w:hint="eastAsia" w:ascii="Times New Roman" w:hAnsi="Times New Roman" w:eastAsia="仿宋" w:cs="Times New Roman"/>
          <w:spacing w:val="-4"/>
          <w:sz w:val="28"/>
          <w:szCs w:val="28"/>
        </w:rPr>
        <w:t>301,919.02</w:t>
      </w:r>
      <w:r>
        <w:rPr>
          <w:rFonts w:ascii="Times New Roman" w:hAnsi="Times New Roman" w:eastAsia="仿宋" w:cs="Times New Roman"/>
          <w:spacing w:val="-4"/>
          <w:sz w:val="28"/>
          <w:szCs w:val="28"/>
        </w:rPr>
        <w:t>元尚未支付</w:t>
      </w:r>
      <w:r>
        <w:rPr>
          <w:rFonts w:hint="eastAsia" w:ascii="Times New Roman" w:hAnsi="Times New Roman" w:eastAsia="仿宋" w:cs="Times New Roman"/>
          <w:spacing w:val="-4"/>
          <w:sz w:val="28"/>
          <w:szCs w:val="28"/>
        </w:rPr>
        <w:t>。</w:t>
      </w:r>
      <w:r>
        <w:rPr>
          <w:rFonts w:ascii="Times New Roman" w:hAnsi="Times New Roman" w:eastAsia="仿宋" w:cs="Times New Roman"/>
          <w:spacing w:val="-4"/>
          <w:sz w:val="28"/>
          <w:szCs w:val="28"/>
        </w:rPr>
        <w:t>本评估期结余金额</w:t>
      </w:r>
      <w:r>
        <w:rPr>
          <w:rFonts w:hint="eastAsia" w:ascii="Times New Roman" w:hAnsi="Times New Roman" w:eastAsia="仿宋" w:cs="Times New Roman"/>
          <w:spacing w:val="-4"/>
          <w:sz w:val="28"/>
          <w:szCs w:val="28"/>
        </w:rPr>
        <w:t>354,411.99</w:t>
      </w:r>
      <w:r>
        <w:rPr>
          <w:rFonts w:ascii="Times New Roman" w:hAnsi="Times New Roman" w:eastAsia="仿宋" w:cs="Times New Roman"/>
          <w:spacing w:val="-4"/>
          <w:sz w:val="28"/>
          <w:szCs w:val="28"/>
        </w:rPr>
        <w:t>元（按归属于本评估期的服务经费支出计提数口径计算），</w:t>
      </w:r>
      <w:r>
        <w:rPr>
          <w:rFonts w:hint="eastAsia" w:ascii="Times New Roman" w:hAnsi="Times New Roman" w:eastAsia="仿宋_GB2312" w:cs="Times New Roman"/>
          <w:sz w:val="28"/>
          <w:szCs w:val="28"/>
        </w:rPr>
        <w:t>占实际拨入经费的24.46%。</w:t>
      </w:r>
      <w:r>
        <w:rPr>
          <w:rFonts w:ascii="Times New Roman" w:hAnsi="Times New Roman" w:eastAsia="仿宋" w:cs="Times New Roman"/>
          <w:spacing w:val="-4"/>
          <w:sz w:val="28"/>
          <w:szCs w:val="28"/>
        </w:rPr>
        <w:t>具体经费支出情况如下：</w:t>
      </w:r>
    </w:p>
    <w:p w14:paraId="2CDB5A30">
      <w:pPr>
        <w:spacing w:line="610" w:lineRule="exact"/>
        <w:ind w:right="139" w:rightChars="66"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㈠用于人员费用支出</w:t>
      </w:r>
      <w:r>
        <w:rPr>
          <w:rFonts w:hint="eastAsia" w:ascii="Times New Roman" w:hAnsi="Times New Roman" w:eastAsia="仿宋_GB2312" w:cs="Times New Roman"/>
          <w:sz w:val="28"/>
          <w:szCs w:val="28"/>
        </w:rPr>
        <w:t>892,954.73</w:t>
      </w:r>
      <w:r>
        <w:rPr>
          <w:rFonts w:ascii="Times New Roman" w:hAnsi="Times New Roman" w:eastAsia="仿宋_GB2312" w:cs="Times New Roman"/>
          <w:sz w:val="28"/>
          <w:szCs w:val="28"/>
        </w:rPr>
        <w:t>元，占本评估期实收服务总经费的</w:t>
      </w:r>
      <w:r>
        <w:rPr>
          <w:rFonts w:hint="eastAsia" w:ascii="Times New Roman" w:hAnsi="Times New Roman" w:eastAsia="仿宋_GB2312" w:cs="Times New Roman"/>
          <w:sz w:val="28"/>
          <w:szCs w:val="28"/>
        </w:rPr>
        <w:t>61.63%</w:t>
      </w:r>
      <w:r>
        <w:rPr>
          <w:rFonts w:ascii="Times New Roman" w:hAnsi="Times New Roman" w:eastAsia="仿宋_GB2312" w:cs="Times New Roman"/>
          <w:color w:val="000000" w:themeColor="text1"/>
          <w:sz w:val="28"/>
          <w:szCs w:val="28"/>
          <w14:textFill>
            <w14:solidFill>
              <w14:schemeClr w14:val="tx1"/>
            </w14:solidFill>
          </w14:textFill>
        </w:rPr>
        <w:t>（具体人员发放明细详见附件）</w:t>
      </w:r>
      <w:r>
        <w:rPr>
          <w:rFonts w:ascii="Times New Roman" w:hAnsi="Times New Roman" w:eastAsia="仿宋_GB2312" w:cs="Times New Roman"/>
          <w:sz w:val="28"/>
          <w:szCs w:val="28"/>
        </w:rPr>
        <w:t>。其中：</w:t>
      </w:r>
    </w:p>
    <w:p w14:paraId="2A8297AA">
      <w:pPr>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１、工资总额支出</w:t>
      </w:r>
      <w:r>
        <w:rPr>
          <w:rFonts w:hint="eastAsia" w:ascii="Times New Roman" w:hAnsi="Times New Roman" w:eastAsia="仿宋_GB2312" w:cs="Times New Roman"/>
          <w:sz w:val="28"/>
          <w:szCs w:val="28"/>
        </w:rPr>
        <w:t>736,919.44</w:t>
      </w:r>
      <w:r>
        <w:rPr>
          <w:rFonts w:ascii="Times New Roman" w:hAnsi="Times New Roman" w:eastAsia="仿宋_GB2312" w:cs="Times New Roman"/>
          <w:sz w:val="28"/>
          <w:szCs w:val="28"/>
        </w:rPr>
        <w:t>元</w:t>
      </w:r>
      <w:bookmarkStart w:id="5" w:name="_Hlk179989301"/>
      <w:r>
        <w:rPr>
          <w:rFonts w:hint="eastAsia" w:ascii="Times New Roman" w:hAnsi="Times New Roman" w:eastAsia="仿宋_GB2312" w:cs="Times New Roman"/>
          <w:sz w:val="28"/>
          <w:szCs w:val="28"/>
        </w:rPr>
        <w:t>（其中</w:t>
      </w:r>
      <w:r>
        <w:rPr>
          <w:rFonts w:hint="eastAsia" w:ascii="Times New Roman" w:hAnsi="Times New Roman" w:eastAsia="仿宋" w:cs="Times New Roman"/>
          <w:spacing w:val="-4"/>
          <w:sz w:val="28"/>
          <w:szCs w:val="28"/>
        </w:rPr>
        <w:t>301,919.02</w:t>
      </w:r>
      <w:r>
        <w:rPr>
          <w:rFonts w:hint="eastAsia" w:ascii="Times New Roman" w:hAnsi="Times New Roman" w:eastAsia="仿宋_GB2312" w:cs="Times New Roman"/>
          <w:sz w:val="28"/>
          <w:szCs w:val="28"/>
        </w:rPr>
        <w:t>元尚未支付）</w:t>
      </w:r>
      <w:bookmarkEnd w:id="5"/>
      <w:r>
        <w:rPr>
          <w:rFonts w:ascii="Times New Roman" w:hAnsi="Times New Roman" w:eastAsia="仿宋_GB2312" w:cs="Times New Roman"/>
          <w:sz w:val="28"/>
          <w:szCs w:val="28"/>
        </w:rPr>
        <w:t>；</w:t>
      </w:r>
    </w:p>
    <w:p w14:paraId="76CBC66D">
      <w:pPr>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２、五险金支出</w:t>
      </w:r>
      <w:r>
        <w:rPr>
          <w:rFonts w:hint="eastAsia" w:ascii="Times New Roman" w:hAnsi="Times New Roman" w:eastAsia="仿宋_GB2312" w:cs="Times New Roman"/>
          <w:sz w:val="28"/>
          <w:szCs w:val="28"/>
        </w:rPr>
        <w:t>127,820.29</w:t>
      </w:r>
      <w:r>
        <w:rPr>
          <w:rFonts w:ascii="Times New Roman" w:hAnsi="Times New Roman" w:eastAsia="仿宋_GB2312" w:cs="Times New Roman"/>
          <w:sz w:val="28"/>
          <w:szCs w:val="28"/>
        </w:rPr>
        <w:t>元；</w:t>
      </w:r>
    </w:p>
    <w:p w14:paraId="4D7A0156">
      <w:pPr>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３、公积金支出</w:t>
      </w:r>
      <w:r>
        <w:rPr>
          <w:rFonts w:hint="eastAsia" w:ascii="Times New Roman" w:hAnsi="Times New Roman" w:eastAsia="仿宋_GB2312" w:cs="Times New Roman"/>
          <w:sz w:val="28"/>
          <w:szCs w:val="28"/>
        </w:rPr>
        <w:t>28,215.00</w:t>
      </w:r>
      <w:r>
        <w:rPr>
          <w:rFonts w:ascii="Times New Roman" w:hAnsi="Times New Roman" w:eastAsia="仿宋_GB2312" w:cs="Times New Roman"/>
          <w:sz w:val="28"/>
          <w:szCs w:val="28"/>
        </w:rPr>
        <w:t>元。</w:t>
      </w:r>
    </w:p>
    <w:p w14:paraId="51147F6D">
      <w:pPr>
        <w:spacing w:line="61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㈡用于服务质量保障费用的支出合计</w:t>
      </w:r>
      <w:r>
        <w:rPr>
          <w:rFonts w:hint="eastAsia" w:ascii="Times New Roman" w:hAnsi="Times New Roman" w:eastAsia="仿宋_GB2312" w:cs="Times New Roman"/>
          <w:sz w:val="28"/>
          <w:szCs w:val="28"/>
        </w:rPr>
        <w:t>112,955.67</w:t>
      </w:r>
      <w:r>
        <w:rPr>
          <w:rFonts w:ascii="Times New Roman" w:hAnsi="Times New Roman" w:eastAsia="仿宋_GB2312" w:cs="Times New Roman"/>
          <w:sz w:val="28"/>
          <w:szCs w:val="28"/>
        </w:rPr>
        <w:t>元，占本评估期实收服务总经费的</w:t>
      </w:r>
      <w:r>
        <w:rPr>
          <w:rFonts w:hint="eastAsia" w:ascii="Times New Roman" w:hAnsi="Times New Roman" w:eastAsia="仿宋_GB2312" w:cs="Times New Roman"/>
          <w:sz w:val="28"/>
          <w:szCs w:val="28"/>
        </w:rPr>
        <w:t>7.80%</w:t>
      </w:r>
      <w:r>
        <w:rPr>
          <w:rFonts w:ascii="Times New Roman" w:hAnsi="Times New Roman" w:eastAsia="仿宋_GB2312" w:cs="Times New Roman"/>
          <w:sz w:val="28"/>
          <w:szCs w:val="28"/>
        </w:rPr>
        <w:t>，其中：</w:t>
      </w:r>
    </w:p>
    <w:p w14:paraId="7B0DD6FC">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、用于开展与专业服务和活动的支出</w:t>
      </w:r>
      <w:r>
        <w:rPr>
          <w:rFonts w:hint="eastAsia" w:ascii="Times New Roman" w:hAnsi="Times New Roman" w:eastAsia="仿宋_GB2312" w:cs="Times New Roman"/>
          <w:sz w:val="28"/>
          <w:szCs w:val="28"/>
        </w:rPr>
        <w:t>9,155.46</w:t>
      </w:r>
      <w:r>
        <w:rPr>
          <w:rFonts w:ascii="Times New Roman" w:hAnsi="Times New Roman" w:eastAsia="仿宋_GB2312" w:cs="Times New Roman"/>
          <w:sz w:val="28"/>
          <w:szCs w:val="28"/>
        </w:rPr>
        <w:t>元，占本评估期实收服务总经费的</w:t>
      </w:r>
      <w:r>
        <w:rPr>
          <w:rFonts w:hint="eastAsia" w:ascii="Times New Roman" w:hAnsi="Times New Roman" w:eastAsia="仿宋_GB2312" w:cs="Times New Roman"/>
          <w:sz w:val="28"/>
          <w:szCs w:val="28"/>
        </w:rPr>
        <w:t>0.63%</w:t>
      </w:r>
      <w:r>
        <w:rPr>
          <w:rFonts w:ascii="Times New Roman" w:hAnsi="Times New Roman" w:eastAsia="仿宋_GB2312" w:cs="Times New Roman"/>
          <w:sz w:val="28"/>
          <w:szCs w:val="28"/>
        </w:rPr>
        <w:t>。</w:t>
      </w:r>
    </w:p>
    <w:p w14:paraId="34190489">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宋体" w:hAnsi="宋体" w:eastAsia="宋体" w:cs="宋体"/>
          <w:sz w:val="28"/>
          <w:szCs w:val="28"/>
        </w:rPr>
        <w:t>⑴</w:t>
      </w:r>
      <w:r>
        <w:rPr>
          <w:rFonts w:hint="eastAsia" w:ascii="Times New Roman" w:hAnsi="Times New Roman" w:eastAsia="仿宋" w:cs="Times New Roman"/>
          <w:sz w:val="28"/>
          <w:szCs w:val="28"/>
        </w:rPr>
        <w:t>交通费及车辆使用费支出9,155.46元。</w:t>
      </w:r>
    </w:p>
    <w:p w14:paraId="55DDCC95">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olor w:val="000000" w:themeColor="text1"/>
          <w:sz w:val="28"/>
          <w:szCs w:val="28"/>
          <w14:textFill>
            <w14:solidFill>
              <w14:schemeClr w14:val="tx1"/>
            </w14:solidFill>
          </w14:textFill>
        </w:rPr>
        <w:t>２、</w:t>
      </w:r>
      <w:r>
        <w:rPr>
          <w:rFonts w:ascii="Times New Roman" w:hAnsi="Times New Roman" w:eastAsia="仿宋_GB2312" w:cs="Times New Roman"/>
          <w:sz w:val="28"/>
          <w:szCs w:val="28"/>
        </w:rPr>
        <w:t>用于日常办公费用支出</w:t>
      </w:r>
      <w:r>
        <w:rPr>
          <w:rFonts w:hint="eastAsia" w:ascii="Times New Roman" w:hAnsi="Times New Roman" w:eastAsia="仿宋_GB2312" w:cs="Times New Roman"/>
          <w:sz w:val="28"/>
          <w:szCs w:val="28"/>
        </w:rPr>
        <w:t>40,620.21</w:t>
      </w:r>
      <w:r>
        <w:rPr>
          <w:rFonts w:ascii="Times New Roman" w:hAnsi="Times New Roman" w:eastAsia="仿宋_GB2312" w:cs="Times New Roman"/>
          <w:sz w:val="28"/>
          <w:szCs w:val="28"/>
        </w:rPr>
        <w:t>元，占本评估期实收服务总经费的</w:t>
      </w:r>
      <w:r>
        <w:rPr>
          <w:rFonts w:hint="eastAsia" w:ascii="Times New Roman" w:hAnsi="Times New Roman" w:eastAsia="仿宋_GB2312" w:cs="Times New Roman"/>
          <w:sz w:val="28"/>
          <w:szCs w:val="28"/>
        </w:rPr>
        <w:t>2.81%</w:t>
      </w:r>
      <w:r>
        <w:rPr>
          <w:rFonts w:ascii="Times New Roman" w:hAnsi="Times New Roman" w:eastAsia="仿宋_GB2312" w:cs="Times New Roman"/>
          <w:sz w:val="28"/>
          <w:szCs w:val="28"/>
        </w:rPr>
        <w:t>。</w:t>
      </w:r>
    </w:p>
    <w:p w14:paraId="61715C33">
      <w:pPr>
        <w:spacing w:line="61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⑴</w:t>
      </w:r>
      <w:r>
        <w:rPr>
          <w:rFonts w:ascii="Times New Roman" w:hAnsi="Times New Roman" w:eastAsia="仿宋" w:cs="Times New Roman"/>
          <w:sz w:val="28"/>
          <w:szCs w:val="28"/>
        </w:rPr>
        <w:t>办公费耗材支出</w:t>
      </w:r>
      <w:r>
        <w:rPr>
          <w:rFonts w:hint="eastAsia" w:ascii="Times New Roman" w:hAnsi="Times New Roman" w:eastAsia="仿宋" w:cs="Times New Roman"/>
          <w:sz w:val="28"/>
          <w:szCs w:val="28"/>
        </w:rPr>
        <w:t>14,770.43</w:t>
      </w:r>
      <w:r>
        <w:rPr>
          <w:rFonts w:ascii="Times New Roman" w:hAnsi="Times New Roman" w:eastAsia="仿宋" w:cs="Times New Roman"/>
          <w:sz w:val="28"/>
          <w:szCs w:val="28"/>
        </w:rPr>
        <w:t>元；</w:t>
      </w:r>
    </w:p>
    <w:p w14:paraId="59C44872">
      <w:pPr>
        <w:spacing w:line="61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fldChar w:fldCharType="begin"/>
      </w:r>
      <w:r>
        <w:rPr>
          <w:rFonts w:ascii="Times New Roman" w:hAnsi="Times New Roman" w:eastAsia="仿宋" w:cs="Times New Roman"/>
          <w:sz w:val="28"/>
          <w:szCs w:val="28"/>
        </w:rPr>
        <w:instrText xml:space="preserve"> </w:instrText>
      </w:r>
      <w:r>
        <w:rPr>
          <w:rFonts w:hint="eastAsia" w:ascii="Times New Roman" w:hAnsi="Times New Roman" w:eastAsia="仿宋" w:cs="Times New Roman"/>
          <w:sz w:val="28"/>
          <w:szCs w:val="28"/>
        </w:rPr>
        <w:instrText xml:space="preserve">= 2 \* GB2</w:instrText>
      </w:r>
      <w:r>
        <w:rPr>
          <w:rFonts w:ascii="Times New Roman" w:hAnsi="Times New Roman" w:eastAsia="仿宋" w:cs="Times New Roman"/>
          <w:sz w:val="28"/>
          <w:szCs w:val="28"/>
        </w:rPr>
        <w:instrText xml:space="preserve"> </w:instrText>
      </w:r>
      <w:r>
        <w:rPr>
          <w:rFonts w:ascii="Times New Roman" w:hAnsi="Times New Roman" w:eastAsia="仿宋" w:cs="Times New Roman"/>
          <w:sz w:val="28"/>
          <w:szCs w:val="28"/>
        </w:rPr>
        <w:fldChar w:fldCharType="separate"/>
      </w:r>
      <w:r>
        <w:rPr>
          <w:rFonts w:hint="eastAsia" w:ascii="Times New Roman" w:hAnsi="Times New Roman" w:eastAsia="仿宋" w:cs="Times New Roman"/>
          <w:sz w:val="28"/>
          <w:szCs w:val="28"/>
        </w:rPr>
        <w:t>⑵</w:t>
      </w:r>
      <w:r>
        <w:rPr>
          <w:rFonts w:ascii="Times New Roman" w:hAnsi="Times New Roman" w:eastAsia="仿宋" w:cs="Times New Roman"/>
          <w:sz w:val="28"/>
          <w:szCs w:val="28"/>
        </w:rPr>
        <w:fldChar w:fldCharType="end"/>
      </w:r>
      <w:r>
        <w:rPr>
          <w:rFonts w:hint="eastAsia" w:ascii="Times New Roman" w:hAnsi="Times New Roman" w:eastAsia="仿宋" w:cs="Times New Roman"/>
          <w:sz w:val="28"/>
          <w:szCs w:val="28"/>
        </w:rPr>
        <w:t>水电费支出20,640.00元；</w:t>
      </w:r>
    </w:p>
    <w:p w14:paraId="14E18C36">
      <w:pPr>
        <w:spacing w:line="61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fldChar w:fldCharType="begin"/>
      </w:r>
      <w:r>
        <w:rPr>
          <w:rFonts w:ascii="Times New Roman" w:hAnsi="Times New Roman" w:eastAsia="仿宋" w:cs="Times New Roman"/>
          <w:sz w:val="28"/>
          <w:szCs w:val="28"/>
        </w:rPr>
        <w:instrText xml:space="preserve"> </w:instrText>
      </w:r>
      <w:r>
        <w:rPr>
          <w:rFonts w:hint="eastAsia" w:ascii="Times New Roman" w:hAnsi="Times New Roman" w:eastAsia="仿宋" w:cs="Times New Roman"/>
          <w:sz w:val="28"/>
          <w:szCs w:val="28"/>
        </w:rPr>
        <w:instrText xml:space="preserve">= 3 \* GB2</w:instrText>
      </w:r>
      <w:r>
        <w:rPr>
          <w:rFonts w:ascii="Times New Roman" w:hAnsi="Times New Roman" w:eastAsia="仿宋" w:cs="Times New Roman"/>
          <w:sz w:val="28"/>
          <w:szCs w:val="28"/>
        </w:rPr>
        <w:instrText xml:space="preserve"> </w:instrText>
      </w:r>
      <w:r>
        <w:rPr>
          <w:rFonts w:ascii="Times New Roman" w:hAnsi="Times New Roman" w:eastAsia="仿宋" w:cs="Times New Roman"/>
          <w:sz w:val="28"/>
          <w:szCs w:val="28"/>
        </w:rPr>
        <w:fldChar w:fldCharType="separate"/>
      </w:r>
      <w:r>
        <w:rPr>
          <w:rFonts w:hint="eastAsia" w:ascii="Times New Roman" w:hAnsi="Times New Roman" w:eastAsia="仿宋" w:cs="Times New Roman"/>
          <w:sz w:val="28"/>
          <w:szCs w:val="28"/>
        </w:rPr>
        <w:t>⑶</w:t>
      </w:r>
      <w:r>
        <w:rPr>
          <w:rFonts w:ascii="Times New Roman" w:hAnsi="Times New Roman" w:eastAsia="仿宋" w:cs="Times New Roman"/>
          <w:sz w:val="28"/>
          <w:szCs w:val="28"/>
        </w:rPr>
        <w:fldChar w:fldCharType="end"/>
      </w:r>
      <w:r>
        <w:rPr>
          <w:rFonts w:hint="eastAsia" w:ascii="Times New Roman" w:hAnsi="Times New Roman" w:eastAsia="仿宋" w:cs="Times New Roman"/>
          <w:sz w:val="28"/>
          <w:szCs w:val="28"/>
        </w:rPr>
        <w:t>通讯费支出3,762.20元；</w:t>
      </w:r>
    </w:p>
    <w:p w14:paraId="66C517F1">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ascii="Times New Roman" w:hAnsi="Times New Roman" w:eastAsia="仿宋" w:cs="Times New Roman"/>
          <w:sz w:val="28"/>
          <w:szCs w:val="28"/>
        </w:rPr>
        <w:fldChar w:fldCharType="begin"/>
      </w:r>
      <w:r>
        <w:rPr>
          <w:rFonts w:ascii="Times New Roman" w:hAnsi="Times New Roman" w:eastAsia="仿宋" w:cs="Times New Roman"/>
          <w:sz w:val="28"/>
          <w:szCs w:val="28"/>
        </w:rPr>
        <w:instrText xml:space="preserve"> </w:instrText>
      </w:r>
      <w:r>
        <w:rPr>
          <w:rFonts w:hint="eastAsia" w:ascii="Times New Roman" w:hAnsi="Times New Roman" w:eastAsia="仿宋" w:cs="Times New Roman"/>
          <w:sz w:val="28"/>
          <w:szCs w:val="28"/>
        </w:rPr>
        <w:instrText xml:space="preserve">= 4 \* GB2</w:instrText>
      </w:r>
      <w:r>
        <w:rPr>
          <w:rFonts w:ascii="Times New Roman" w:hAnsi="Times New Roman" w:eastAsia="仿宋" w:cs="Times New Roman"/>
          <w:sz w:val="28"/>
          <w:szCs w:val="28"/>
        </w:rPr>
        <w:instrText xml:space="preserve"> </w:instrText>
      </w:r>
      <w:r>
        <w:rPr>
          <w:rFonts w:ascii="Times New Roman" w:hAnsi="Times New Roman" w:eastAsia="仿宋" w:cs="Times New Roman"/>
          <w:sz w:val="28"/>
          <w:szCs w:val="28"/>
        </w:rPr>
        <w:fldChar w:fldCharType="separate"/>
      </w:r>
      <w:r>
        <w:rPr>
          <w:rFonts w:hint="eastAsia" w:ascii="Times New Roman" w:hAnsi="Times New Roman" w:eastAsia="仿宋" w:cs="Times New Roman"/>
          <w:sz w:val="28"/>
          <w:szCs w:val="28"/>
        </w:rPr>
        <w:t>⑷</w:t>
      </w:r>
      <w:r>
        <w:rPr>
          <w:rFonts w:ascii="Times New Roman" w:hAnsi="Times New Roman" w:eastAsia="仿宋" w:cs="Times New Roman"/>
          <w:sz w:val="28"/>
          <w:szCs w:val="28"/>
        </w:rPr>
        <w:fldChar w:fldCharType="end"/>
      </w:r>
      <w:r>
        <w:rPr>
          <w:rFonts w:hint="eastAsia" w:ascii="Times New Roman" w:hAnsi="Times New Roman" w:eastAsia="仿宋" w:cs="Times New Roman"/>
          <w:sz w:val="28"/>
          <w:szCs w:val="28"/>
        </w:rPr>
        <w:t>财务费用支出1,447.58元。</w:t>
      </w:r>
    </w:p>
    <w:p w14:paraId="7CC478A5">
      <w:pPr>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３、</w:t>
      </w:r>
      <w:r>
        <w:rPr>
          <w:rFonts w:hint="eastAsia" w:ascii="Times New Roman" w:hAnsi="Times New Roman" w:eastAsia="仿宋_GB2312"/>
          <w:color w:val="000000" w:themeColor="text1"/>
          <w:sz w:val="28"/>
          <w:szCs w:val="28"/>
          <w14:textFill>
            <w14:solidFill>
              <w14:schemeClr w14:val="tx1"/>
            </w14:solidFill>
          </w14:textFill>
        </w:rPr>
        <w:t>用于机构年度相关税费支出63,180.00元，</w:t>
      </w:r>
      <w:r>
        <w:rPr>
          <w:rFonts w:ascii="Times New Roman" w:hAnsi="Times New Roman" w:eastAsia="仿宋_GB2312" w:cs="Times New Roman"/>
          <w:sz w:val="28"/>
          <w:szCs w:val="28"/>
        </w:rPr>
        <w:t>占本评估期实收服务总经费的</w:t>
      </w:r>
      <w:r>
        <w:rPr>
          <w:rFonts w:hint="eastAsia" w:ascii="Times New Roman" w:hAnsi="Times New Roman" w:eastAsia="仿宋_GB2312" w:cs="Times New Roman"/>
          <w:sz w:val="28"/>
          <w:szCs w:val="28"/>
        </w:rPr>
        <w:t>4.36%</w:t>
      </w:r>
      <w:r>
        <w:rPr>
          <w:rFonts w:hint="eastAsia" w:ascii="Times New Roman" w:hAnsi="Times New Roman" w:eastAsia="仿宋_GB2312"/>
          <w:color w:val="000000" w:themeColor="text1"/>
          <w:sz w:val="28"/>
          <w:szCs w:val="28"/>
          <w14:textFill>
            <w14:solidFill>
              <w14:schemeClr w14:val="tx1"/>
            </w14:solidFill>
          </w14:textFill>
        </w:rPr>
        <w:t>。</w:t>
      </w:r>
    </w:p>
    <w:p w14:paraId="430488C9">
      <w:pPr>
        <w:spacing w:line="61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㈢用于运营管理费用支出</w:t>
      </w:r>
      <w:r>
        <w:rPr>
          <w:rFonts w:hint="eastAsia" w:ascii="Times New Roman" w:hAnsi="Times New Roman" w:eastAsia="仿宋_GB2312" w:cs="Times New Roman"/>
          <w:sz w:val="28"/>
          <w:szCs w:val="28"/>
        </w:rPr>
        <w:t>88,677.61</w:t>
      </w:r>
      <w:r>
        <w:rPr>
          <w:rFonts w:ascii="Times New Roman" w:hAnsi="Times New Roman" w:eastAsia="仿宋_GB2312" w:cs="Times New Roman"/>
          <w:sz w:val="28"/>
          <w:szCs w:val="28"/>
        </w:rPr>
        <w:t>元，占本评估期实收服务总经费的</w:t>
      </w:r>
      <w:r>
        <w:rPr>
          <w:rFonts w:hint="eastAsia" w:ascii="Times New Roman" w:hAnsi="Times New Roman" w:eastAsia="仿宋_GB2312" w:cs="Times New Roman"/>
          <w:sz w:val="28"/>
          <w:szCs w:val="28"/>
        </w:rPr>
        <w:t>6.12%</w:t>
      </w:r>
      <w:r>
        <w:rPr>
          <w:rFonts w:ascii="Times New Roman" w:hAnsi="Times New Roman" w:eastAsia="仿宋_GB2312" w:cs="Times New Roman"/>
          <w:sz w:val="28"/>
          <w:szCs w:val="28"/>
        </w:rPr>
        <w:t>，其中：</w:t>
      </w:r>
    </w:p>
    <w:p w14:paraId="04C80610">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ascii="Times New Roman" w:hAnsi="Times New Roman" w:eastAsia="仿宋" w:cs="Times New Roman"/>
          <w:sz w:val="28"/>
          <w:szCs w:val="28"/>
        </w:rPr>
        <w:t>、分摊机构人员工资</w:t>
      </w:r>
      <w:r>
        <w:rPr>
          <w:rFonts w:hint="eastAsia" w:ascii="Times New Roman" w:hAnsi="Times New Roman" w:eastAsia="仿宋" w:cs="Times New Roman"/>
          <w:sz w:val="28"/>
          <w:szCs w:val="28"/>
        </w:rPr>
        <w:t>70,375.24</w:t>
      </w:r>
      <w:r>
        <w:rPr>
          <w:rFonts w:ascii="Times New Roman" w:hAnsi="Times New Roman" w:eastAsia="仿宋" w:cs="Times New Roman"/>
          <w:sz w:val="28"/>
          <w:szCs w:val="28"/>
        </w:rPr>
        <w:t xml:space="preserve">元； </w:t>
      </w:r>
    </w:p>
    <w:p w14:paraId="0AFB525A">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２</w:t>
      </w:r>
      <w:r>
        <w:rPr>
          <w:rFonts w:ascii="Times New Roman" w:hAnsi="Times New Roman" w:eastAsia="仿宋" w:cs="Times New Roman"/>
          <w:sz w:val="28"/>
          <w:szCs w:val="28"/>
        </w:rPr>
        <w:t>、分摊机构人员社保</w:t>
      </w:r>
      <w:r>
        <w:rPr>
          <w:rFonts w:hint="eastAsia" w:ascii="Times New Roman" w:hAnsi="Times New Roman" w:eastAsia="仿宋" w:cs="Times New Roman"/>
          <w:sz w:val="28"/>
          <w:szCs w:val="28"/>
        </w:rPr>
        <w:t>14.75</w:t>
      </w:r>
      <w:r>
        <w:rPr>
          <w:rFonts w:ascii="Times New Roman" w:hAnsi="Times New Roman" w:eastAsia="仿宋" w:cs="Times New Roman"/>
          <w:sz w:val="28"/>
          <w:szCs w:val="28"/>
        </w:rPr>
        <w:t>元</w:t>
      </w:r>
      <w:r>
        <w:rPr>
          <w:rFonts w:hint="eastAsia" w:ascii="Times New Roman" w:hAnsi="Times New Roman" w:eastAsia="仿宋" w:cs="Times New Roman"/>
          <w:sz w:val="28"/>
          <w:szCs w:val="28"/>
        </w:rPr>
        <w:t>；</w:t>
      </w:r>
    </w:p>
    <w:p w14:paraId="235067B0">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３、</w:t>
      </w:r>
      <w:r>
        <w:rPr>
          <w:rFonts w:ascii="Times New Roman" w:hAnsi="Times New Roman" w:eastAsia="仿宋" w:cs="Times New Roman"/>
          <w:sz w:val="28"/>
          <w:szCs w:val="28"/>
        </w:rPr>
        <w:t>机构</w:t>
      </w:r>
      <w:r>
        <w:rPr>
          <w:rFonts w:hint="eastAsia" w:ascii="Times New Roman" w:hAnsi="Times New Roman" w:eastAsia="仿宋" w:cs="Times New Roman"/>
          <w:sz w:val="28"/>
          <w:szCs w:val="28"/>
        </w:rPr>
        <w:t>费用分摊9,403.92</w:t>
      </w:r>
      <w:r>
        <w:rPr>
          <w:rFonts w:ascii="Times New Roman" w:hAnsi="Times New Roman" w:eastAsia="仿宋" w:cs="Times New Roman"/>
          <w:sz w:val="28"/>
          <w:szCs w:val="28"/>
        </w:rPr>
        <w:t>元</w:t>
      </w:r>
      <w:r>
        <w:rPr>
          <w:rFonts w:hint="eastAsia" w:ascii="Times New Roman" w:hAnsi="Times New Roman" w:eastAsia="仿宋" w:cs="Times New Roman"/>
          <w:sz w:val="28"/>
          <w:szCs w:val="28"/>
        </w:rPr>
        <w:t>；</w:t>
      </w:r>
    </w:p>
    <w:p w14:paraId="3AACBC64">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４、工会经费支出7,588.70元；</w:t>
      </w:r>
    </w:p>
    <w:p w14:paraId="24A3F7A9">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５、交通费支出1,295.00元。</w:t>
      </w:r>
    </w:p>
    <w:p w14:paraId="2EF38DC7">
      <w:pPr>
        <w:spacing w:line="590" w:lineRule="exact"/>
        <w:ind w:right="-2"/>
        <w:outlineLvl w:val="0"/>
        <w:rPr>
          <w:rFonts w:ascii="Times New Roman" w:hAnsi="Times New Roman" w:eastAsia="仿宋_GB2312" w:cs="Times New Roman"/>
          <w:sz w:val="28"/>
          <w:szCs w:val="28"/>
        </w:rPr>
      </w:pPr>
      <w:r>
        <w:rPr>
          <w:rFonts w:ascii="Times New Roman" w:hAnsi="Times New Roman" w:eastAsia="仿宋_GB2312" w:cs="Times New Roman"/>
          <w:b/>
          <w:color w:val="000000" w:themeColor="text1"/>
          <w:sz w:val="28"/>
          <w:szCs w:val="28"/>
          <w14:textFill>
            <w14:solidFill>
              <w14:schemeClr w14:val="tx1"/>
            </w14:solidFill>
          </w14:textFill>
        </w:rPr>
        <w:t>七、本次服务协议期（</w:t>
      </w:r>
      <w:r>
        <w:rPr>
          <w:rFonts w:hint="eastAsia" w:ascii="Times New Roman" w:hAnsi="Times New Roman" w:eastAsia="仿宋_GB2312" w:cs="Times New Roman"/>
          <w:b/>
          <w:color w:val="000000" w:themeColor="text1"/>
          <w:sz w:val="28"/>
          <w:szCs w:val="28"/>
          <w14:textFill>
            <w14:solidFill>
              <w14:schemeClr w14:val="tx1"/>
            </w14:solidFill>
          </w14:textFill>
        </w:rPr>
        <w:t>2024年8月9日至2025年8月8日</w:t>
      </w:r>
      <w:r>
        <w:rPr>
          <w:rFonts w:ascii="Times New Roman" w:hAnsi="Times New Roman" w:eastAsia="仿宋_GB2312" w:cs="Times New Roman"/>
          <w:b/>
          <w:sz w:val="28"/>
          <w:szCs w:val="28"/>
        </w:rPr>
        <w:t>）经费总拨入、支出、结余情况</w:t>
      </w:r>
    </w:p>
    <w:p w14:paraId="0726398E">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sz w:val="28"/>
          <w:szCs w:val="28"/>
        </w:rPr>
        <w:t>根据“</w:t>
      </w:r>
      <w:r>
        <w:rPr>
          <w:rFonts w:hint="eastAsia" w:ascii="Times New Roman" w:hAnsi="Times New Roman" w:eastAsia="仿宋_GB2312" w:cs="Times New Roman"/>
          <w:sz w:val="28"/>
          <w:szCs w:val="28"/>
        </w:rPr>
        <w:t>业会专审[2025]036号</w:t>
      </w:r>
      <w:r>
        <w:rPr>
          <w:rFonts w:ascii="Times New Roman" w:hAnsi="Times New Roman" w:eastAsia="仿宋_GB2312" w:cs="Times New Roman"/>
          <w:sz w:val="28"/>
          <w:szCs w:val="28"/>
        </w:rPr>
        <w:t>”财务管理情况评估报告并结合本评估报告</w:t>
      </w:r>
      <w:r>
        <w:rPr>
          <w:rFonts w:hint="eastAsia" w:ascii="Times New Roman" w:hAnsi="Times New Roman" w:eastAsia="仿宋_GB2312" w:cs="Times New Roman"/>
          <w:sz w:val="28"/>
          <w:szCs w:val="28"/>
        </w:rPr>
        <w:t>2025年2月9日至2025年8月8日</w:t>
      </w:r>
      <w:r>
        <w:rPr>
          <w:rFonts w:ascii="Times New Roman" w:hAnsi="Times New Roman" w:eastAsia="仿宋_GB2312" w:cs="Times New Roman"/>
          <w:sz w:val="28"/>
          <w:szCs w:val="28"/>
        </w:rPr>
        <w:t>财务管理评估情况，截至</w:t>
      </w:r>
      <w:r>
        <w:rPr>
          <w:rFonts w:hint="eastAsia" w:ascii="Times New Roman" w:hAnsi="Times New Roman" w:eastAsia="仿宋_GB2312" w:cs="Times New Roman"/>
          <w:sz w:val="28"/>
          <w:szCs w:val="28"/>
        </w:rPr>
        <w:t>报告</w:t>
      </w:r>
      <w:r>
        <w:rPr>
          <w:rFonts w:ascii="Times New Roman" w:hAnsi="Times New Roman" w:eastAsia="仿宋_GB2312" w:cs="Times New Roman"/>
          <w:sz w:val="28"/>
          <w:szCs w:val="28"/>
        </w:rPr>
        <w:t>日，</w:t>
      </w:r>
      <w:r>
        <w:rPr>
          <w:rFonts w:hint="eastAsia" w:ascii="Times New Roman" w:hAnsi="Times New Roman" w:eastAsia="仿宋_GB2312" w:cs="Times New Roman"/>
          <w:color w:val="000000" w:themeColor="text1"/>
          <w:sz w:val="28"/>
          <w:szCs w:val="28"/>
          <w14:textFill>
            <w14:solidFill>
              <w14:schemeClr w14:val="tx1"/>
            </w14:solidFill>
          </w14:textFill>
        </w:rPr>
        <w:t>化龙社工站</w:t>
      </w:r>
      <w:r>
        <w:rPr>
          <w:rFonts w:ascii="Times New Roman" w:hAnsi="Times New Roman" w:eastAsia="仿宋_GB2312" w:cs="Times New Roman"/>
          <w:sz w:val="28"/>
          <w:szCs w:val="28"/>
        </w:rPr>
        <w:t>累计已收到本次服务协议期政府采购服务经费</w:t>
      </w:r>
      <w:r>
        <w:rPr>
          <w:rFonts w:hint="eastAsia" w:ascii="Times New Roman" w:hAnsi="Times New Roman" w:eastAsia="仿宋_GB2312" w:cs="Times New Roman"/>
          <w:sz w:val="28"/>
          <w:szCs w:val="28"/>
        </w:rPr>
        <w:t>1,449,000.00</w:t>
      </w:r>
      <w:r>
        <w:rPr>
          <w:rFonts w:ascii="Times New Roman" w:hAnsi="Times New Roman" w:eastAsia="仿宋_GB2312" w:cs="Times New Roman"/>
          <w:sz w:val="28"/>
          <w:szCs w:val="28"/>
        </w:rPr>
        <w:t>元，累计支出服务经费</w:t>
      </w:r>
      <w:r>
        <w:rPr>
          <w:rFonts w:hint="eastAsia" w:ascii="Times New Roman" w:hAnsi="Times New Roman" w:eastAsia="仿宋_GB2312" w:cs="Times New Roman"/>
          <w:sz w:val="28"/>
          <w:szCs w:val="28"/>
        </w:rPr>
        <w:t>2,110,488.77</w:t>
      </w:r>
      <w:r>
        <w:rPr>
          <w:rFonts w:ascii="Times New Roman" w:hAnsi="Times New Roman" w:eastAsia="仿宋_GB2312" w:cs="Times New Roman"/>
          <w:sz w:val="28"/>
          <w:szCs w:val="28"/>
        </w:rPr>
        <w:t>元，</w:t>
      </w:r>
      <w:r>
        <w:rPr>
          <w:rFonts w:ascii="Times New Roman" w:hAnsi="Times New Roman" w:eastAsia="仿宋" w:cs="Times New Roman"/>
          <w:spacing w:val="-4"/>
          <w:sz w:val="28"/>
          <w:szCs w:val="28"/>
        </w:rPr>
        <w:t>其中已支付</w:t>
      </w:r>
      <w:r>
        <w:rPr>
          <w:rFonts w:hint="eastAsia" w:ascii="Times New Roman" w:hAnsi="Times New Roman" w:eastAsia="仿宋" w:cs="Times New Roman"/>
          <w:spacing w:val="-4"/>
          <w:sz w:val="28"/>
          <w:szCs w:val="28"/>
        </w:rPr>
        <w:t>1,808,569.75</w:t>
      </w:r>
      <w:r>
        <w:rPr>
          <w:rFonts w:ascii="Times New Roman" w:hAnsi="Times New Roman" w:eastAsia="仿宋" w:cs="Times New Roman"/>
          <w:spacing w:val="-4"/>
          <w:sz w:val="28"/>
          <w:szCs w:val="28"/>
        </w:rPr>
        <w:t>元，余</w:t>
      </w:r>
      <w:r>
        <w:rPr>
          <w:rFonts w:hint="eastAsia" w:ascii="Times New Roman" w:hAnsi="Times New Roman" w:eastAsia="仿宋" w:cs="Times New Roman"/>
          <w:spacing w:val="-4"/>
          <w:sz w:val="28"/>
          <w:szCs w:val="28"/>
        </w:rPr>
        <w:t>301,919.02</w:t>
      </w:r>
      <w:r>
        <w:rPr>
          <w:rFonts w:ascii="Times New Roman" w:hAnsi="Times New Roman" w:eastAsia="仿宋" w:cs="Times New Roman"/>
          <w:spacing w:val="-4"/>
          <w:sz w:val="28"/>
          <w:szCs w:val="28"/>
        </w:rPr>
        <w:t>元尚未支付</w:t>
      </w:r>
      <w:r>
        <w:rPr>
          <w:rFonts w:hint="eastAsia" w:ascii="Times New Roman" w:hAnsi="Times New Roman" w:eastAsia="仿宋" w:cs="Times New Roman"/>
          <w:spacing w:val="-4"/>
          <w:sz w:val="28"/>
          <w:szCs w:val="28"/>
        </w:rPr>
        <w:t>。</w:t>
      </w:r>
      <w:r>
        <w:rPr>
          <w:rFonts w:ascii="Times New Roman" w:hAnsi="Times New Roman" w:eastAsia="仿宋_GB2312" w:cs="Times New Roman"/>
          <w:sz w:val="28"/>
          <w:szCs w:val="28"/>
        </w:rPr>
        <w:t>结余金额为</w:t>
      </w:r>
      <w:r>
        <w:rPr>
          <w:rFonts w:hint="eastAsia" w:ascii="Times New Roman" w:hAnsi="Times New Roman" w:eastAsia="仿宋_GB2312" w:cs="Times New Roman"/>
          <w:sz w:val="28"/>
          <w:szCs w:val="28"/>
        </w:rPr>
        <w:t>-661,488.77</w:t>
      </w:r>
      <w:r>
        <w:rPr>
          <w:rFonts w:ascii="Times New Roman" w:hAnsi="Times New Roman" w:eastAsia="仿宋_GB2312" w:cs="Times New Roman"/>
          <w:sz w:val="28"/>
          <w:szCs w:val="28"/>
        </w:rPr>
        <w:t>元（</w:t>
      </w:r>
      <w:r>
        <w:rPr>
          <w:rFonts w:ascii="Times New Roman" w:hAnsi="Times New Roman" w:eastAsia="仿宋" w:cs="Times New Roman"/>
          <w:spacing w:val="-4"/>
          <w:sz w:val="28"/>
          <w:szCs w:val="28"/>
        </w:rPr>
        <w:t>按归属于本</w:t>
      </w:r>
      <w:r>
        <w:rPr>
          <w:rFonts w:hint="eastAsia" w:ascii="Times New Roman" w:hAnsi="Times New Roman" w:eastAsia="仿宋" w:cs="Times New Roman"/>
          <w:spacing w:val="-4"/>
          <w:sz w:val="28"/>
          <w:szCs w:val="28"/>
        </w:rPr>
        <w:t>协议</w:t>
      </w:r>
      <w:r>
        <w:rPr>
          <w:rFonts w:ascii="Times New Roman" w:hAnsi="Times New Roman" w:eastAsia="仿宋" w:cs="Times New Roman"/>
          <w:spacing w:val="-4"/>
          <w:sz w:val="28"/>
          <w:szCs w:val="28"/>
        </w:rPr>
        <w:t>期的服务经费支出计提数口径计算</w:t>
      </w:r>
      <w:r>
        <w:rPr>
          <w:rFonts w:hint="eastAsia" w:ascii="Times New Roman" w:hAnsi="Times New Roman" w:eastAsia="仿宋" w:cs="Times New Roman"/>
          <w:spacing w:val="-4"/>
          <w:sz w:val="28"/>
          <w:szCs w:val="28"/>
        </w:rPr>
        <w:t>，</w:t>
      </w:r>
      <w:r>
        <w:rPr>
          <w:rFonts w:ascii="Times New Roman" w:hAnsi="Times New Roman" w:eastAsia="仿宋_GB2312" w:cs="Times New Roman"/>
          <w:sz w:val="28"/>
          <w:szCs w:val="28"/>
        </w:rPr>
        <w:t>不含未拨入的</w:t>
      </w:r>
      <w:r>
        <w:rPr>
          <w:rFonts w:hint="eastAsia" w:ascii="Times New Roman" w:hAnsi="Times New Roman" w:eastAsia="仿宋_GB2312" w:cs="Times New Roman"/>
          <w:sz w:val="28"/>
          <w:szCs w:val="28"/>
        </w:rPr>
        <w:t>734,000.00</w:t>
      </w:r>
      <w:r>
        <w:rPr>
          <w:rFonts w:ascii="Times New Roman" w:hAnsi="Times New Roman" w:eastAsia="仿宋_GB2312" w:cs="Times New Roman"/>
          <w:sz w:val="28"/>
          <w:szCs w:val="28"/>
        </w:rPr>
        <w:t>元）（详见附件</w:t>
      </w:r>
      <w:r>
        <w:rPr>
          <w:rFonts w:hint="eastAsia" w:ascii="Times New Roman" w:hAnsi="Times New Roman" w:eastAsia="仿宋_GB2312" w:cs="Times New Roman"/>
          <w:sz w:val="28"/>
          <w:szCs w:val="28"/>
        </w:rPr>
        <w:t>1</w:t>
      </w:r>
      <w:r>
        <w:rPr>
          <w:rFonts w:ascii="Times New Roman" w:hAnsi="Times New Roman" w:eastAsia="仿宋_GB2312" w:cs="Times New Roman"/>
          <w:color w:val="000000" w:themeColor="text1"/>
          <w:sz w:val="28"/>
          <w:szCs w:val="28"/>
          <w14:textFill>
            <w14:solidFill>
              <w14:schemeClr w14:val="tx1"/>
            </w14:solidFill>
          </w14:textFill>
        </w:rPr>
        <w:t>）。</w:t>
      </w:r>
    </w:p>
    <w:p w14:paraId="43C95955">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经评估，用于人员费用支出占服务总经费的</w:t>
      </w:r>
      <w:r>
        <w:rPr>
          <w:rFonts w:hint="eastAsia" w:ascii="Times New Roman" w:hAnsi="Times New Roman" w:eastAsia="仿宋_GB2312" w:cs="Times New Roman"/>
          <w:color w:val="000000" w:themeColor="text1"/>
          <w:sz w:val="28"/>
          <w:szCs w:val="28"/>
          <w14:textFill>
            <w14:solidFill>
              <w14:schemeClr w14:val="tx1"/>
            </w14:solidFill>
          </w14:textFill>
        </w:rPr>
        <w:t>80.00%（其中：实际已支付的人员费用支出占服务总经费的66.17%，已计提未支付的人员费用占服务总经费的13.83%）</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服务质量保障费用及承接机构管理费用占服务总经费的</w:t>
      </w:r>
      <w:r>
        <w:rPr>
          <w:rFonts w:hint="eastAsia" w:ascii="Times New Roman" w:hAnsi="Times New Roman" w:eastAsia="仿宋_GB2312" w:cs="Times New Roman"/>
          <w:color w:val="000000" w:themeColor="text1"/>
          <w:sz w:val="28"/>
          <w:szCs w:val="28"/>
          <w:highlight w:val="none"/>
          <w14:textFill>
            <w14:solidFill>
              <w14:schemeClr w14:val="tx1"/>
            </w14:solidFill>
          </w14:textFill>
        </w:rPr>
        <w:t>16.6</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8</w:t>
      </w:r>
      <w:r>
        <w:rPr>
          <w:rFonts w:hint="eastAsia" w:ascii="Times New Roman" w:hAnsi="Times New Roman" w:eastAsia="仿宋_GB2312" w:cs="Times New Roman"/>
          <w:color w:val="000000" w:themeColor="text1"/>
          <w:sz w:val="28"/>
          <w:szCs w:val="28"/>
          <w:highlight w:val="none"/>
          <w14:textFill>
            <w14:solidFill>
              <w14:schemeClr w14:val="tx1"/>
            </w14:solidFill>
          </w14:textFill>
        </w:rPr>
        <w:t>%，其中承接机构管理费用占服务总经费的9.2</w:t>
      </w:r>
      <w:r>
        <w:rPr>
          <w:rFonts w:hint="eastAsia" w:ascii="Times New Roman" w:hAnsi="Times New Roman" w:eastAsia="仿宋_GB2312" w:cs="Times New Roman"/>
          <w:color w:val="000000" w:themeColor="text1"/>
          <w:sz w:val="28"/>
          <w:szCs w:val="28"/>
          <w:highlight w:val="none"/>
          <w:lang w:val="en-US" w:eastAsia="zh-CN"/>
          <w14:textFill>
            <w14:solidFill>
              <w14:schemeClr w14:val="tx1"/>
            </w14:solidFill>
          </w14:textFill>
        </w:rPr>
        <w:t>1</w:t>
      </w:r>
      <w:r>
        <w:rPr>
          <w:rFonts w:hint="eastAsia" w:ascii="Times New Roman" w:hAnsi="Times New Roman" w:eastAsia="仿宋_GB2312" w:cs="Times New Roman"/>
          <w:color w:val="000000" w:themeColor="text1"/>
          <w:sz w:val="28"/>
          <w:szCs w:val="28"/>
          <w:highlight w:val="none"/>
          <w14:textFill>
            <w14:solidFill>
              <w14:schemeClr w14:val="tx1"/>
            </w14:solidFill>
          </w14:textFill>
        </w:rPr>
        <w:t>%</w:t>
      </w:r>
      <w:r>
        <w:rPr>
          <w:rFonts w:ascii="Times New Roman" w:hAnsi="Times New Roman" w:eastAsia="仿宋_GB2312" w:cs="Times New Roman"/>
          <w:color w:val="000000" w:themeColor="text1"/>
          <w:sz w:val="28"/>
          <w:szCs w:val="28"/>
          <w:highlight w:val="none"/>
          <w14:textFill>
            <w14:solidFill>
              <w14:schemeClr w14:val="tx1"/>
            </w14:solidFill>
          </w14:textFill>
        </w:rPr>
        <w:t>。具体</w:t>
      </w:r>
      <w:r>
        <w:rPr>
          <w:rFonts w:ascii="Times New Roman" w:hAnsi="Times New Roman" w:eastAsia="仿宋_GB2312" w:cs="Times New Roman"/>
          <w:color w:val="000000" w:themeColor="text1"/>
          <w:sz w:val="28"/>
          <w:szCs w:val="28"/>
          <w14:textFill>
            <w14:solidFill>
              <w14:schemeClr w14:val="tx1"/>
            </w14:solidFill>
          </w14:textFill>
        </w:rPr>
        <w:t>经费支出情况如下：</w:t>
      </w:r>
    </w:p>
    <w:p w14:paraId="3C4236DC">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color w:val="000000" w:themeColor="text1"/>
          <w:sz w:val="28"/>
          <w:szCs w:val="28"/>
          <w14:textFill>
            <w14:solidFill>
              <w14:schemeClr w14:val="tx1"/>
            </w14:solidFill>
          </w14:textFill>
        </w:rPr>
        <w:t>㈠用于</w:t>
      </w:r>
      <w:r>
        <w:rPr>
          <w:rFonts w:hint="eastAsia" w:ascii="Times New Roman" w:hAnsi="Times New Roman" w:eastAsia="仿宋_GB2312" w:cs="Times New Roman"/>
          <w:color w:val="000000" w:themeColor="text1"/>
          <w:sz w:val="28"/>
          <w:szCs w:val="28"/>
          <w14:textFill>
            <w14:solidFill>
              <w14:schemeClr w14:val="tx1"/>
            </w14:solidFill>
          </w14:textFill>
        </w:rPr>
        <w:t>化龙社工站</w:t>
      </w:r>
      <w:r>
        <w:rPr>
          <w:rFonts w:ascii="Times New Roman" w:hAnsi="Times New Roman" w:eastAsia="仿宋_GB2312" w:cs="Times New Roman"/>
          <w:color w:val="000000" w:themeColor="text1"/>
          <w:sz w:val="28"/>
          <w:szCs w:val="28"/>
          <w14:textFill>
            <w14:solidFill>
              <w14:schemeClr w14:val="tx1"/>
            </w14:solidFill>
          </w14:textFill>
        </w:rPr>
        <w:t>人员费用支出</w:t>
      </w:r>
      <w:r>
        <w:rPr>
          <w:rFonts w:hint="eastAsia" w:ascii="Times New Roman" w:hAnsi="Times New Roman" w:eastAsia="仿宋_GB2312" w:cs="Times New Roman"/>
          <w:color w:val="000000" w:themeColor="text1"/>
          <w:sz w:val="28"/>
          <w:szCs w:val="28"/>
          <w14:textFill>
            <w14:solidFill>
              <w14:schemeClr w14:val="tx1"/>
            </w14:solidFill>
          </w14:textFill>
        </w:rPr>
        <w:t>1,746,400.00</w:t>
      </w:r>
      <w:r>
        <w:rPr>
          <w:rFonts w:ascii="Times New Roman" w:hAnsi="Times New Roman" w:eastAsia="仿宋_GB2312" w:cs="Times New Roman"/>
          <w:color w:val="000000" w:themeColor="text1"/>
          <w:sz w:val="28"/>
          <w:szCs w:val="28"/>
          <w14:textFill>
            <w14:solidFill>
              <w14:schemeClr w14:val="tx1"/>
            </w14:solidFill>
          </w14:textFill>
        </w:rPr>
        <w:t>元，占服务总经费的</w:t>
      </w:r>
      <w:r>
        <w:rPr>
          <w:rFonts w:hint="eastAsia" w:ascii="Times New Roman" w:hAnsi="Times New Roman" w:eastAsia="仿宋_GB2312" w:cs="Times New Roman"/>
          <w:color w:val="000000" w:themeColor="text1"/>
          <w:sz w:val="28"/>
          <w:szCs w:val="28"/>
          <w14:textFill>
            <w14:solidFill>
              <w14:schemeClr w14:val="tx1"/>
            </w14:solidFill>
          </w14:textFill>
        </w:rPr>
        <w:t>80.00%</w:t>
      </w:r>
      <w:r>
        <w:rPr>
          <w:rFonts w:ascii="Times New Roman" w:hAnsi="Times New Roman" w:eastAsia="仿宋_GB2312" w:cs="Times New Roman"/>
          <w:color w:val="000000" w:themeColor="text1"/>
          <w:sz w:val="28"/>
          <w:szCs w:val="28"/>
          <w14:textFill>
            <w14:solidFill>
              <w14:schemeClr w14:val="tx1"/>
            </w14:solidFill>
          </w14:textFill>
        </w:rPr>
        <w:t>，预算执行率</w:t>
      </w:r>
      <w:r>
        <w:rPr>
          <w:rFonts w:hint="eastAsia" w:ascii="Times New Roman" w:hAnsi="Times New Roman" w:eastAsia="仿宋_GB2312" w:cs="Times New Roman"/>
          <w:color w:val="000000" w:themeColor="text1"/>
          <w:sz w:val="28"/>
          <w:szCs w:val="28"/>
          <w14:textFill>
            <w14:solidFill>
              <w14:schemeClr w14:val="tx1"/>
            </w14:solidFill>
          </w14:textFill>
        </w:rPr>
        <w:t>100.00%（</w:t>
      </w:r>
      <w:r>
        <w:rPr>
          <w:rFonts w:ascii="Times New Roman" w:hAnsi="Times New Roman" w:eastAsia="仿宋_GB2312" w:cs="Times New Roman"/>
          <w:color w:val="000000" w:themeColor="text1"/>
          <w:sz w:val="28"/>
          <w:szCs w:val="28"/>
          <w14:textFill>
            <w14:solidFill>
              <w14:schemeClr w14:val="tx1"/>
            </w14:solidFill>
          </w14:textFill>
        </w:rPr>
        <w:t>具体人员发放明细详</w:t>
      </w:r>
      <w:r>
        <w:rPr>
          <w:rFonts w:ascii="Times New Roman" w:hAnsi="Times New Roman" w:eastAsia="仿宋_GB2312" w:cs="Times New Roman"/>
          <w:sz w:val="28"/>
          <w:szCs w:val="28"/>
        </w:rPr>
        <w:t>见附件）。其中：</w:t>
      </w:r>
    </w:p>
    <w:p w14:paraId="198E68A3">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１、工资总额支出1,418,739.77元（其中</w:t>
      </w:r>
      <w:r>
        <w:rPr>
          <w:rFonts w:hint="eastAsia" w:ascii="Times New Roman" w:hAnsi="Times New Roman" w:eastAsia="仿宋" w:cs="Times New Roman"/>
          <w:spacing w:val="-4"/>
          <w:sz w:val="28"/>
          <w:szCs w:val="28"/>
        </w:rPr>
        <w:t>301,919.02</w:t>
      </w:r>
      <w:r>
        <w:rPr>
          <w:rFonts w:hint="eastAsia" w:ascii="Times New Roman" w:hAnsi="Times New Roman" w:eastAsia="仿宋_GB2312" w:cs="Times New Roman"/>
          <w:sz w:val="28"/>
          <w:szCs w:val="28"/>
        </w:rPr>
        <w:t>元尚未支付）；</w:t>
      </w:r>
    </w:p>
    <w:p w14:paraId="15217752">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２、五险金支出267,620.23元；</w:t>
      </w:r>
    </w:p>
    <w:p w14:paraId="4E3D4108">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３、公积金支出60,040.00元。</w:t>
      </w:r>
    </w:p>
    <w:p w14:paraId="2E75F341">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w:t>
      </w:r>
      <w:r>
        <w:rPr>
          <w:rFonts w:hint="eastAsia" w:ascii="Times New Roman" w:hAnsi="Times New Roman" w:eastAsia="仿宋_GB2312" w:cs="Times New Roman"/>
          <w:sz w:val="28"/>
          <w:szCs w:val="28"/>
        </w:rPr>
        <w:t>化龙社工站</w:t>
      </w:r>
      <w:r>
        <w:rPr>
          <w:rFonts w:ascii="Times New Roman" w:hAnsi="Times New Roman" w:eastAsia="仿宋_GB2312" w:cs="Times New Roman"/>
          <w:sz w:val="28"/>
          <w:szCs w:val="28"/>
        </w:rPr>
        <w:t>服务质量保障费用的支出合计</w:t>
      </w:r>
      <w:r>
        <w:rPr>
          <w:rFonts w:hint="eastAsia" w:ascii="Times New Roman" w:hAnsi="Times New Roman" w:eastAsia="仿宋_GB2312" w:cs="Times New Roman"/>
          <w:sz w:val="28"/>
          <w:szCs w:val="28"/>
        </w:rPr>
        <w:t>163,165.43</w:t>
      </w:r>
      <w:r>
        <w:rPr>
          <w:rFonts w:ascii="Times New Roman" w:hAnsi="Times New Roman" w:eastAsia="仿宋_GB2312" w:cs="Times New Roman"/>
          <w:sz w:val="28"/>
          <w:szCs w:val="28"/>
        </w:rPr>
        <w:t>元，占服务总经费的</w:t>
      </w:r>
      <w:r>
        <w:rPr>
          <w:rFonts w:hint="eastAsia" w:ascii="Times New Roman" w:hAnsi="Times New Roman" w:eastAsia="仿宋_GB2312" w:cs="Times New Roman"/>
          <w:sz w:val="28"/>
          <w:szCs w:val="28"/>
        </w:rPr>
        <w:t>7.47%</w:t>
      </w:r>
      <w:r>
        <w:rPr>
          <w:rFonts w:ascii="Times New Roman" w:hAnsi="Times New Roman" w:eastAsia="仿宋_GB2312" w:cs="Times New Roman"/>
          <w:sz w:val="28"/>
          <w:szCs w:val="28"/>
        </w:rPr>
        <w:t>，预算执行率</w:t>
      </w:r>
      <w:r>
        <w:rPr>
          <w:rFonts w:hint="eastAsia" w:ascii="Times New Roman" w:hAnsi="Times New Roman" w:eastAsia="仿宋_GB2312" w:cs="Times New Roman"/>
          <w:sz w:val="28"/>
          <w:szCs w:val="28"/>
        </w:rPr>
        <w:t>74.74%</w:t>
      </w:r>
      <w:r>
        <w:rPr>
          <w:rFonts w:ascii="Times New Roman" w:hAnsi="Times New Roman" w:eastAsia="仿宋_GB2312" w:cs="Times New Roman"/>
          <w:sz w:val="28"/>
          <w:szCs w:val="28"/>
        </w:rPr>
        <w:t>，其中：</w:t>
      </w:r>
    </w:p>
    <w:p w14:paraId="45E8D061">
      <w:pPr>
        <w:spacing w:line="590" w:lineRule="exact"/>
        <w:ind w:firstLine="536" w:firstLineChars="200"/>
        <w:rPr>
          <w:rFonts w:ascii="Times New Roman" w:hAnsi="Times New Roman" w:eastAsia="仿宋_GB2312" w:cs="Times New Roman"/>
          <w:spacing w:val="-6"/>
          <w:sz w:val="28"/>
          <w:szCs w:val="28"/>
        </w:rPr>
      </w:pPr>
      <w:r>
        <w:rPr>
          <w:rFonts w:hint="eastAsia" w:ascii="Times New Roman" w:hAnsi="Times New Roman" w:eastAsia="仿宋_GB2312" w:cs="Times New Roman"/>
          <w:spacing w:val="-6"/>
          <w:sz w:val="28"/>
          <w:szCs w:val="28"/>
        </w:rPr>
        <w:t>１、用于开展与专业服务和活动的支出22,103.94 ，</w:t>
      </w:r>
      <w:r>
        <w:rPr>
          <w:rFonts w:ascii="Times New Roman" w:hAnsi="Times New Roman" w:eastAsia="仿宋_GB2312" w:cs="Times New Roman"/>
          <w:spacing w:val="-6"/>
          <w:sz w:val="28"/>
          <w:szCs w:val="28"/>
        </w:rPr>
        <w:t>占服务总经费的</w:t>
      </w:r>
      <w:r>
        <w:rPr>
          <w:rFonts w:hint="eastAsia" w:ascii="Times New Roman" w:hAnsi="Times New Roman" w:eastAsia="仿宋_GB2312" w:cs="Times New Roman"/>
          <w:spacing w:val="-6"/>
          <w:sz w:val="28"/>
          <w:szCs w:val="28"/>
        </w:rPr>
        <w:t>1.01%。</w:t>
      </w:r>
    </w:p>
    <w:p w14:paraId="22C578BA">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⑴服务和活动物料支出928.53元；</w:t>
      </w:r>
    </w:p>
    <w:p w14:paraId="0DD44491">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⑵宣传费支出840.00元；</w:t>
      </w:r>
    </w:p>
    <w:p w14:paraId="3558D70C">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⑶交通费及车辆使用费支出20,335.41元。</w:t>
      </w:r>
    </w:p>
    <w:p w14:paraId="517C648F">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２、用于日常办公费用支出54,121.49元，</w:t>
      </w:r>
      <w:r>
        <w:rPr>
          <w:rFonts w:ascii="Times New Roman" w:hAnsi="Times New Roman" w:eastAsia="仿宋_GB2312" w:cs="Times New Roman"/>
          <w:sz w:val="28"/>
          <w:szCs w:val="28"/>
        </w:rPr>
        <w:t>占服务总经费的</w:t>
      </w:r>
      <w:r>
        <w:rPr>
          <w:rFonts w:hint="eastAsia" w:ascii="Times New Roman" w:hAnsi="Times New Roman" w:eastAsia="仿宋_GB2312" w:cs="Times New Roman"/>
          <w:sz w:val="28"/>
          <w:szCs w:val="28"/>
        </w:rPr>
        <w:t>2.48%。</w:t>
      </w:r>
    </w:p>
    <w:p w14:paraId="75058C9E">
      <w:pPr>
        <w:spacing w:line="58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⑴</w:t>
      </w:r>
      <w:r>
        <w:rPr>
          <w:rFonts w:ascii="Times New Roman" w:hAnsi="Times New Roman" w:eastAsia="仿宋" w:cs="Times New Roman"/>
          <w:sz w:val="28"/>
          <w:szCs w:val="28"/>
        </w:rPr>
        <w:t>办公费耗材支出</w:t>
      </w:r>
      <w:r>
        <w:rPr>
          <w:rFonts w:hint="eastAsia" w:ascii="Times New Roman" w:hAnsi="Times New Roman" w:eastAsia="仿宋" w:cs="Times New Roman"/>
          <w:sz w:val="28"/>
          <w:szCs w:val="28"/>
        </w:rPr>
        <w:t>22,908.80</w:t>
      </w:r>
      <w:r>
        <w:rPr>
          <w:rFonts w:ascii="Times New Roman" w:hAnsi="Times New Roman" w:eastAsia="仿宋" w:cs="Times New Roman"/>
          <w:sz w:val="28"/>
          <w:szCs w:val="28"/>
        </w:rPr>
        <w:t>元；</w:t>
      </w:r>
    </w:p>
    <w:p w14:paraId="705E59EA">
      <w:pPr>
        <w:spacing w:line="58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fldChar w:fldCharType="begin"/>
      </w:r>
      <w:r>
        <w:rPr>
          <w:rFonts w:ascii="Times New Roman" w:hAnsi="Times New Roman" w:eastAsia="仿宋" w:cs="Times New Roman"/>
          <w:sz w:val="28"/>
          <w:szCs w:val="28"/>
        </w:rPr>
        <w:instrText xml:space="preserve"> </w:instrText>
      </w:r>
      <w:r>
        <w:rPr>
          <w:rFonts w:hint="eastAsia" w:ascii="Times New Roman" w:hAnsi="Times New Roman" w:eastAsia="仿宋" w:cs="Times New Roman"/>
          <w:sz w:val="28"/>
          <w:szCs w:val="28"/>
        </w:rPr>
        <w:instrText xml:space="preserve">= 2 \* GB2</w:instrText>
      </w:r>
      <w:r>
        <w:rPr>
          <w:rFonts w:ascii="Times New Roman" w:hAnsi="Times New Roman" w:eastAsia="仿宋" w:cs="Times New Roman"/>
          <w:sz w:val="28"/>
          <w:szCs w:val="28"/>
        </w:rPr>
        <w:instrText xml:space="preserve"> </w:instrText>
      </w:r>
      <w:r>
        <w:rPr>
          <w:rFonts w:ascii="Times New Roman" w:hAnsi="Times New Roman" w:eastAsia="仿宋" w:cs="Times New Roman"/>
          <w:sz w:val="28"/>
          <w:szCs w:val="28"/>
        </w:rPr>
        <w:fldChar w:fldCharType="separate"/>
      </w:r>
      <w:r>
        <w:rPr>
          <w:rFonts w:hint="eastAsia" w:ascii="Times New Roman" w:hAnsi="Times New Roman" w:eastAsia="仿宋" w:cs="Times New Roman"/>
          <w:sz w:val="28"/>
          <w:szCs w:val="28"/>
        </w:rPr>
        <w:t>⑵</w:t>
      </w:r>
      <w:r>
        <w:rPr>
          <w:rFonts w:ascii="Times New Roman" w:hAnsi="Times New Roman" w:eastAsia="仿宋" w:cs="Times New Roman"/>
          <w:sz w:val="28"/>
          <w:szCs w:val="28"/>
        </w:rPr>
        <w:fldChar w:fldCharType="end"/>
      </w:r>
      <w:r>
        <w:rPr>
          <w:rFonts w:hint="eastAsia" w:ascii="Times New Roman" w:hAnsi="Times New Roman" w:eastAsia="仿宋" w:cs="Times New Roman"/>
          <w:sz w:val="28"/>
          <w:szCs w:val="28"/>
        </w:rPr>
        <w:t>水电费支出20,640.00元；</w:t>
      </w:r>
    </w:p>
    <w:p w14:paraId="7D3840EC">
      <w:pPr>
        <w:spacing w:line="58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fldChar w:fldCharType="begin"/>
      </w:r>
      <w:r>
        <w:rPr>
          <w:rFonts w:ascii="Times New Roman" w:hAnsi="Times New Roman" w:eastAsia="仿宋" w:cs="Times New Roman"/>
          <w:sz w:val="28"/>
          <w:szCs w:val="28"/>
        </w:rPr>
        <w:instrText xml:space="preserve"> </w:instrText>
      </w:r>
      <w:r>
        <w:rPr>
          <w:rFonts w:hint="eastAsia" w:ascii="Times New Roman" w:hAnsi="Times New Roman" w:eastAsia="仿宋" w:cs="Times New Roman"/>
          <w:sz w:val="28"/>
          <w:szCs w:val="28"/>
        </w:rPr>
        <w:instrText xml:space="preserve">= 3 \* GB2</w:instrText>
      </w:r>
      <w:r>
        <w:rPr>
          <w:rFonts w:ascii="Times New Roman" w:hAnsi="Times New Roman" w:eastAsia="仿宋" w:cs="Times New Roman"/>
          <w:sz w:val="28"/>
          <w:szCs w:val="28"/>
        </w:rPr>
        <w:instrText xml:space="preserve"> </w:instrText>
      </w:r>
      <w:r>
        <w:rPr>
          <w:rFonts w:ascii="Times New Roman" w:hAnsi="Times New Roman" w:eastAsia="仿宋" w:cs="Times New Roman"/>
          <w:sz w:val="28"/>
          <w:szCs w:val="28"/>
        </w:rPr>
        <w:fldChar w:fldCharType="separate"/>
      </w:r>
      <w:r>
        <w:rPr>
          <w:rFonts w:hint="eastAsia" w:ascii="Times New Roman" w:hAnsi="Times New Roman" w:eastAsia="仿宋" w:cs="Times New Roman"/>
          <w:sz w:val="28"/>
          <w:szCs w:val="28"/>
        </w:rPr>
        <w:t>⑶</w:t>
      </w:r>
      <w:r>
        <w:rPr>
          <w:rFonts w:ascii="Times New Roman" w:hAnsi="Times New Roman" w:eastAsia="仿宋" w:cs="Times New Roman"/>
          <w:sz w:val="28"/>
          <w:szCs w:val="28"/>
        </w:rPr>
        <w:fldChar w:fldCharType="end"/>
      </w:r>
      <w:r>
        <w:rPr>
          <w:rFonts w:hint="eastAsia" w:ascii="Times New Roman" w:hAnsi="Times New Roman" w:eastAsia="仿宋" w:cs="Times New Roman"/>
          <w:sz w:val="28"/>
          <w:szCs w:val="28"/>
        </w:rPr>
        <w:t>通讯费支出8,233.72元；</w:t>
      </w:r>
    </w:p>
    <w:p w14:paraId="6136D798">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ascii="Times New Roman" w:hAnsi="Times New Roman" w:eastAsia="仿宋" w:cs="Times New Roman"/>
          <w:sz w:val="28"/>
          <w:szCs w:val="28"/>
        </w:rPr>
        <w:fldChar w:fldCharType="begin"/>
      </w:r>
      <w:r>
        <w:rPr>
          <w:rFonts w:ascii="Times New Roman" w:hAnsi="Times New Roman" w:eastAsia="仿宋" w:cs="Times New Roman"/>
          <w:sz w:val="28"/>
          <w:szCs w:val="28"/>
        </w:rPr>
        <w:instrText xml:space="preserve"> </w:instrText>
      </w:r>
      <w:r>
        <w:rPr>
          <w:rFonts w:hint="eastAsia" w:ascii="Times New Roman" w:hAnsi="Times New Roman" w:eastAsia="仿宋" w:cs="Times New Roman"/>
          <w:sz w:val="28"/>
          <w:szCs w:val="28"/>
        </w:rPr>
        <w:instrText xml:space="preserve">= 4 \* GB2</w:instrText>
      </w:r>
      <w:r>
        <w:rPr>
          <w:rFonts w:ascii="Times New Roman" w:hAnsi="Times New Roman" w:eastAsia="仿宋" w:cs="Times New Roman"/>
          <w:sz w:val="28"/>
          <w:szCs w:val="28"/>
        </w:rPr>
        <w:instrText xml:space="preserve"> </w:instrText>
      </w:r>
      <w:r>
        <w:rPr>
          <w:rFonts w:ascii="Times New Roman" w:hAnsi="Times New Roman" w:eastAsia="仿宋" w:cs="Times New Roman"/>
          <w:sz w:val="28"/>
          <w:szCs w:val="28"/>
        </w:rPr>
        <w:fldChar w:fldCharType="separate"/>
      </w:r>
      <w:r>
        <w:rPr>
          <w:rFonts w:hint="eastAsia" w:ascii="Times New Roman" w:hAnsi="Times New Roman" w:eastAsia="仿宋" w:cs="Times New Roman"/>
          <w:sz w:val="28"/>
          <w:szCs w:val="28"/>
        </w:rPr>
        <w:t>⑷</w:t>
      </w:r>
      <w:r>
        <w:rPr>
          <w:rFonts w:ascii="Times New Roman" w:hAnsi="Times New Roman" w:eastAsia="仿宋" w:cs="Times New Roman"/>
          <w:sz w:val="28"/>
          <w:szCs w:val="28"/>
        </w:rPr>
        <w:fldChar w:fldCharType="end"/>
      </w:r>
      <w:r>
        <w:rPr>
          <w:rFonts w:hint="eastAsia" w:ascii="Times New Roman" w:hAnsi="Times New Roman" w:eastAsia="仿宋" w:cs="Times New Roman"/>
          <w:sz w:val="28"/>
          <w:szCs w:val="28"/>
        </w:rPr>
        <w:t>财务费用支出2,338.97元。</w:t>
      </w:r>
    </w:p>
    <w:p w14:paraId="3160CE62">
      <w:pPr>
        <w:spacing w:line="64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３、用于机构年度相关税费支出86,940.00元，</w:t>
      </w:r>
      <w:r>
        <w:rPr>
          <w:rFonts w:ascii="Times New Roman" w:hAnsi="Times New Roman" w:eastAsia="仿宋_GB2312" w:cs="Times New Roman"/>
          <w:sz w:val="28"/>
          <w:szCs w:val="28"/>
        </w:rPr>
        <w:t>占服务总经费的</w:t>
      </w:r>
      <w:r>
        <w:rPr>
          <w:rFonts w:hint="eastAsia" w:ascii="Times New Roman" w:hAnsi="Times New Roman" w:eastAsia="仿宋_GB2312" w:cs="Times New Roman"/>
          <w:sz w:val="28"/>
          <w:szCs w:val="28"/>
        </w:rPr>
        <w:t>3.98%。</w:t>
      </w:r>
    </w:p>
    <w:p w14:paraId="6786F7CF">
      <w:pPr>
        <w:spacing w:line="64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w:t>
      </w:r>
      <w:r>
        <w:rPr>
          <w:rFonts w:hint="eastAsia" w:ascii="Times New Roman" w:hAnsi="Times New Roman" w:eastAsia="仿宋_GB2312" w:cs="Times New Roman"/>
          <w:color w:val="000000" w:themeColor="text1"/>
          <w:sz w:val="28"/>
          <w:szCs w:val="28"/>
          <w14:textFill>
            <w14:solidFill>
              <w14:schemeClr w14:val="tx1"/>
            </w14:solidFill>
          </w14:textFill>
        </w:rPr>
        <w:t>化龙社工站</w:t>
      </w:r>
      <w:r>
        <w:rPr>
          <w:rFonts w:ascii="Times New Roman" w:hAnsi="Times New Roman" w:eastAsia="仿宋_GB2312" w:cs="Times New Roman"/>
          <w:sz w:val="28"/>
          <w:szCs w:val="28"/>
        </w:rPr>
        <w:t>运营管理费用支出</w:t>
      </w:r>
      <w:r>
        <w:rPr>
          <w:rFonts w:hint="eastAsia" w:ascii="Times New Roman" w:hAnsi="Times New Roman" w:eastAsia="仿宋_GB2312" w:cs="Times New Roman"/>
          <w:sz w:val="28"/>
          <w:szCs w:val="28"/>
        </w:rPr>
        <w:t>200,923.34</w:t>
      </w:r>
      <w:r>
        <w:rPr>
          <w:rFonts w:ascii="Times New Roman" w:hAnsi="Times New Roman" w:eastAsia="仿宋_GB2312" w:cs="Times New Roman"/>
          <w:sz w:val="28"/>
          <w:szCs w:val="28"/>
        </w:rPr>
        <w:t>元，占服务总经费的</w:t>
      </w:r>
      <w:bookmarkStart w:id="7" w:name="_GoBack"/>
      <w:r>
        <w:rPr>
          <w:rFonts w:hint="eastAsia" w:ascii="Times New Roman" w:hAnsi="Times New Roman" w:eastAsia="仿宋_GB2312" w:cs="Times New Roman"/>
          <w:sz w:val="28"/>
          <w:szCs w:val="28"/>
          <w:highlight w:val="none"/>
        </w:rPr>
        <w:t>9.2</w:t>
      </w:r>
      <w:r>
        <w:rPr>
          <w:rFonts w:hint="eastAsia" w:ascii="Times New Roman" w:hAnsi="Times New Roman" w:eastAsia="仿宋_GB2312" w:cs="Times New Roman"/>
          <w:sz w:val="28"/>
          <w:szCs w:val="28"/>
          <w:highlight w:val="none"/>
          <w:lang w:val="en-US" w:eastAsia="zh-CN"/>
        </w:rPr>
        <w:t>1</w:t>
      </w:r>
      <w:r>
        <w:rPr>
          <w:rFonts w:hint="eastAsia" w:ascii="Times New Roman" w:hAnsi="Times New Roman" w:eastAsia="仿宋_GB2312" w:cs="Times New Roman"/>
          <w:sz w:val="28"/>
          <w:szCs w:val="28"/>
          <w:highlight w:val="none"/>
        </w:rPr>
        <w:t>%</w:t>
      </w:r>
      <w:r>
        <w:rPr>
          <w:rFonts w:ascii="Times New Roman" w:hAnsi="Times New Roman" w:eastAsia="仿宋_GB2312" w:cs="Times New Roman"/>
          <w:sz w:val="28"/>
          <w:szCs w:val="28"/>
          <w:highlight w:val="none"/>
        </w:rPr>
        <w:t>，</w:t>
      </w:r>
      <w:bookmarkEnd w:id="7"/>
      <w:r>
        <w:rPr>
          <w:rFonts w:ascii="Times New Roman" w:hAnsi="Times New Roman" w:eastAsia="仿宋_GB2312" w:cs="Times New Roman"/>
          <w:sz w:val="28"/>
          <w:szCs w:val="28"/>
        </w:rPr>
        <w:t>预算执行率</w:t>
      </w:r>
      <w:r>
        <w:rPr>
          <w:rFonts w:hint="eastAsia" w:ascii="Times New Roman" w:hAnsi="Times New Roman" w:eastAsia="仿宋_GB2312" w:cs="Times New Roman"/>
          <w:sz w:val="28"/>
          <w:szCs w:val="28"/>
          <w:highlight w:val="none"/>
        </w:rPr>
        <w:t>92.04%</w:t>
      </w:r>
      <w:r>
        <w:rPr>
          <w:rFonts w:ascii="Times New Roman" w:hAnsi="Times New Roman" w:eastAsia="仿宋_GB2312" w:cs="Times New Roman"/>
          <w:sz w:val="28"/>
          <w:szCs w:val="28"/>
        </w:rPr>
        <w:t>。其中：</w:t>
      </w:r>
    </w:p>
    <w:p w14:paraId="7459C8B7">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ascii="Times New Roman" w:hAnsi="Times New Roman" w:eastAsia="仿宋" w:cs="Times New Roman"/>
          <w:sz w:val="28"/>
          <w:szCs w:val="28"/>
        </w:rPr>
        <w:t>、</w:t>
      </w:r>
      <w:r>
        <w:rPr>
          <w:rFonts w:hint="eastAsia" w:ascii="Times New Roman" w:hAnsi="Times New Roman" w:eastAsia="仿宋" w:cs="Times New Roman"/>
          <w:sz w:val="28"/>
          <w:szCs w:val="28"/>
        </w:rPr>
        <w:t>中标费用支出20,895.71元；</w:t>
      </w:r>
    </w:p>
    <w:p w14:paraId="75479673">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２</w:t>
      </w:r>
      <w:r>
        <w:rPr>
          <w:rFonts w:ascii="Times New Roman" w:hAnsi="Times New Roman" w:eastAsia="仿宋" w:cs="Times New Roman"/>
          <w:sz w:val="28"/>
          <w:szCs w:val="28"/>
        </w:rPr>
        <w:t>、分摊机构人员工资</w:t>
      </w:r>
      <w:r>
        <w:rPr>
          <w:rFonts w:hint="eastAsia" w:ascii="Times New Roman" w:hAnsi="Times New Roman" w:eastAsia="仿宋" w:cs="Times New Roman"/>
          <w:sz w:val="28"/>
          <w:szCs w:val="28"/>
        </w:rPr>
        <w:t>149,281.98</w:t>
      </w:r>
      <w:r>
        <w:rPr>
          <w:rFonts w:ascii="Times New Roman" w:hAnsi="Times New Roman" w:eastAsia="仿宋" w:cs="Times New Roman"/>
          <w:sz w:val="28"/>
          <w:szCs w:val="28"/>
        </w:rPr>
        <w:t>元；</w:t>
      </w:r>
    </w:p>
    <w:p w14:paraId="74EECDE5">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３、</w:t>
      </w:r>
      <w:r>
        <w:rPr>
          <w:rFonts w:ascii="Times New Roman" w:hAnsi="Times New Roman" w:eastAsia="仿宋" w:cs="Times New Roman"/>
          <w:sz w:val="28"/>
          <w:szCs w:val="28"/>
        </w:rPr>
        <w:t>分摊机构人员社保</w:t>
      </w:r>
      <w:r>
        <w:rPr>
          <w:rFonts w:hint="eastAsia" w:ascii="Times New Roman" w:hAnsi="Times New Roman" w:eastAsia="仿宋" w:cs="Times New Roman"/>
          <w:sz w:val="28"/>
          <w:szCs w:val="28"/>
        </w:rPr>
        <w:t>36.20</w:t>
      </w:r>
      <w:r>
        <w:rPr>
          <w:rFonts w:ascii="Times New Roman" w:hAnsi="Times New Roman" w:eastAsia="仿宋" w:cs="Times New Roman"/>
          <w:sz w:val="28"/>
          <w:szCs w:val="28"/>
        </w:rPr>
        <w:t>元</w:t>
      </w:r>
      <w:r>
        <w:rPr>
          <w:rFonts w:hint="eastAsia" w:ascii="Times New Roman" w:hAnsi="Times New Roman" w:eastAsia="仿宋" w:cs="Times New Roman"/>
          <w:sz w:val="28"/>
          <w:szCs w:val="28"/>
        </w:rPr>
        <w:t>；</w:t>
      </w:r>
    </w:p>
    <w:p w14:paraId="740C83DA">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４、</w:t>
      </w:r>
      <w:r>
        <w:rPr>
          <w:rFonts w:ascii="Times New Roman" w:hAnsi="Times New Roman" w:eastAsia="仿宋" w:cs="Times New Roman"/>
          <w:sz w:val="28"/>
          <w:szCs w:val="28"/>
        </w:rPr>
        <w:t>机构</w:t>
      </w:r>
      <w:r>
        <w:rPr>
          <w:rFonts w:hint="eastAsia" w:ascii="Times New Roman" w:hAnsi="Times New Roman" w:eastAsia="仿宋" w:cs="Times New Roman"/>
          <w:sz w:val="28"/>
          <w:szCs w:val="28"/>
        </w:rPr>
        <w:t>费用分摊14,550.89</w:t>
      </w:r>
      <w:r>
        <w:rPr>
          <w:rFonts w:ascii="Times New Roman" w:hAnsi="Times New Roman" w:eastAsia="仿宋" w:cs="Times New Roman"/>
          <w:sz w:val="28"/>
          <w:szCs w:val="28"/>
        </w:rPr>
        <w:t>元</w:t>
      </w:r>
      <w:r>
        <w:rPr>
          <w:rFonts w:hint="eastAsia" w:ascii="Times New Roman" w:hAnsi="Times New Roman" w:eastAsia="仿宋" w:cs="Times New Roman"/>
          <w:sz w:val="28"/>
          <w:szCs w:val="28"/>
        </w:rPr>
        <w:t>；</w:t>
      </w:r>
    </w:p>
    <w:p w14:paraId="4600E19A">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５、残疾人保障金支出2,369.65元；</w:t>
      </w:r>
    </w:p>
    <w:p w14:paraId="317FC9E0">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６、工会经费支出10,188.91元；</w:t>
      </w:r>
    </w:p>
    <w:p w14:paraId="2F50B8EE">
      <w:pPr>
        <w:spacing w:line="590" w:lineRule="exact"/>
        <w:ind w:firstLine="560" w:firstLineChars="200"/>
        <w:rPr>
          <w:rFonts w:ascii="Times New Roman" w:hAnsi="Times New Roman" w:eastAsia="仿宋_GB2312" w:cs="Times New Roman"/>
          <w:spacing w:val="4"/>
          <w:sz w:val="28"/>
          <w:szCs w:val="28"/>
        </w:rPr>
      </w:pPr>
      <w:r>
        <w:rPr>
          <w:rFonts w:hint="eastAsia" w:ascii="Times New Roman" w:hAnsi="Times New Roman" w:eastAsia="仿宋" w:cs="Times New Roman"/>
          <w:sz w:val="28"/>
          <w:szCs w:val="28"/>
        </w:rPr>
        <w:t>７</w:t>
      </w:r>
      <w:r>
        <w:rPr>
          <w:rFonts w:ascii="Times New Roman" w:hAnsi="Times New Roman" w:eastAsia="仿宋" w:cs="Times New Roman"/>
          <w:sz w:val="28"/>
          <w:szCs w:val="28"/>
        </w:rPr>
        <w:t>、</w:t>
      </w:r>
      <w:r>
        <w:rPr>
          <w:rFonts w:hint="eastAsia" w:ascii="Times New Roman" w:hAnsi="Times New Roman" w:eastAsia="仿宋" w:cs="Times New Roman"/>
          <w:sz w:val="28"/>
          <w:szCs w:val="28"/>
        </w:rPr>
        <w:t>交通费支出3,600.00元。</w:t>
      </w:r>
    </w:p>
    <w:p w14:paraId="7B99895D">
      <w:pPr>
        <w:spacing w:line="64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八、前期经费收、支、结余变化情况</w:t>
      </w:r>
    </w:p>
    <w:p w14:paraId="65980E34">
      <w:pPr>
        <w:spacing w:line="640" w:lineRule="exact"/>
        <w:ind w:firstLine="560" w:firstLineChars="200"/>
        <w:rPr>
          <w:rFonts w:ascii="Times New Roman" w:hAnsi="Times New Roman" w:eastAsia="仿宋_GB2312" w:cs="Times New Roman"/>
          <w:spacing w:val="4"/>
          <w:sz w:val="28"/>
          <w:szCs w:val="28"/>
        </w:rPr>
      </w:pPr>
      <w:r>
        <w:rPr>
          <w:rFonts w:ascii="Times New Roman" w:hAnsi="Times New Roman" w:eastAsia="仿宋_GB2312" w:cs="Times New Roman"/>
          <w:color w:val="000000" w:themeColor="text1"/>
          <w:sz w:val="28"/>
          <w:szCs w:val="28"/>
          <w14:textFill>
            <w14:solidFill>
              <w14:schemeClr w14:val="tx1"/>
            </w14:solidFill>
          </w14:textFill>
        </w:rPr>
        <w:t>㈠</w:t>
      </w:r>
      <w:r>
        <w:rPr>
          <w:rFonts w:hint="eastAsia" w:ascii="Times New Roman" w:hAnsi="Times New Roman" w:eastAsia="仿宋_GB2312" w:cs="Times New Roman"/>
          <w:spacing w:val="4"/>
          <w:sz w:val="28"/>
          <w:szCs w:val="28"/>
        </w:rPr>
        <w:t>截至评估日，协议期2022年8月9日至2023年8月8日的结余资金发生变动，具体情况如下：</w:t>
      </w:r>
    </w:p>
    <w:p w14:paraId="06CF67C1">
      <w:pPr>
        <w:spacing w:line="62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经评估，本评估期内支付归属于该协议期的支出19,440.02元，为服务质量保障费用－机构年度相关税费支出，该项支出为开具该协议期服务经费发票324,000.00元申报缴纳的增值税及城建税、附加税。</w:t>
      </w:r>
    </w:p>
    <w:p w14:paraId="6B656529">
      <w:pPr>
        <w:spacing w:line="61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调整后，该协议期累计收到服务经费</w:t>
      </w:r>
      <w:r>
        <w:rPr>
          <w:rFonts w:ascii="Times New Roman" w:hAnsi="Times New Roman" w:eastAsia="仿宋_GB2312" w:cs="Times New Roman"/>
          <w:spacing w:val="4"/>
          <w:sz w:val="28"/>
          <w:szCs w:val="28"/>
        </w:rPr>
        <w:t>1,780,000.00</w:t>
      </w:r>
      <w:r>
        <w:rPr>
          <w:rFonts w:hint="eastAsia" w:ascii="Times New Roman" w:hAnsi="Times New Roman" w:eastAsia="仿宋_GB2312" w:cs="Times New Roman"/>
          <w:color w:val="000000" w:themeColor="text1"/>
          <w:sz w:val="28"/>
          <w:szCs w:val="28"/>
          <w14:textFill>
            <w14:solidFill>
              <w14:schemeClr w14:val="tx1"/>
            </w14:solidFill>
          </w14:textFill>
        </w:rPr>
        <w:t>元，累计支出2,316,259.42元，结余资金-536,259.42元（不含未拨入经费620,000.00元）。该协议期</w:t>
      </w:r>
      <w:r>
        <w:rPr>
          <w:rFonts w:hint="eastAsia" w:ascii="Times New Roman" w:hAnsi="Times New Roman" w:eastAsia="仿宋" w:cs="Times New Roman"/>
          <w:sz w:val="28"/>
          <w:szCs w:val="28"/>
        </w:rPr>
        <w:t>调整后</w:t>
      </w:r>
      <w:r>
        <w:rPr>
          <w:rFonts w:hint="eastAsia" w:ascii="Times New Roman" w:hAnsi="Times New Roman" w:eastAsia="仿宋_GB2312" w:cs="Times New Roman"/>
          <w:color w:val="000000" w:themeColor="text1"/>
          <w:sz w:val="28"/>
          <w:szCs w:val="28"/>
          <w14:textFill>
            <w14:solidFill>
              <w14:schemeClr w14:val="tx1"/>
            </w14:solidFill>
          </w14:textFill>
        </w:rPr>
        <w:t>人员费用支出占服务总经费的74.17%，</w:t>
      </w:r>
      <w:r>
        <w:rPr>
          <w:rFonts w:hint="eastAsia" w:ascii="Times New Roman" w:hAnsi="Times New Roman" w:eastAsia="仿宋_GB2312" w:cs="Times New Roman"/>
          <w:spacing w:val="4"/>
          <w:sz w:val="28"/>
          <w:szCs w:val="28"/>
        </w:rPr>
        <w:t>人员费用及服务质量保障费用支出占服务总经费的82.71%，运营管理费用支出占服务总经费的13.80%。</w:t>
      </w:r>
    </w:p>
    <w:p w14:paraId="56094AA5">
      <w:pPr>
        <w:spacing w:line="620" w:lineRule="exact"/>
        <w:ind w:firstLine="560" w:firstLineChars="200"/>
        <w:rPr>
          <w:rFonts w:ascii="Times New Roman" w:hAnsi="Times New Roman" w:eastAsia="仿宋" w:cs="Times New Roman"/>
          <w:sz w:val="28"/>
          <w:szCs w:val="28"/>
        </w:rPr>
      </w:pPr>
      <w:r>
        <w:rPr>
          <w:rFonts w:ascii="Times New Roman" w:hAnsi="Times New Roman" w:eastAsia="仿宋_GB2312" w:cs="Times New Roman"/>
          <w:sz w:val="28"/>
          <w:szCs w:val="28"/>
        </w:rPr>
        <w:t>㈡</w:t>
      </w:r>
      <w:r>
        <w:rPr>
          <w:rFonts w:hint="eastAsia" w:ascii="Times New Roman" w:hAnsi="Times New Roman" w:eastAsia="仿宋_GB2312" w:cs="Times New Roman"/>
          <w:spacing w:val="4"/>
          <w:sz w:val="28"/>
          <w:szCs w:val="28"/>
        </w:rPr>
        <w:t>截至评估日</w:t>
      </w:r>
      <w:r>
        <w:rPr>
          <w:rFonts w:ascii="Times New Roman" w:hAnsi="Times New Roman" w:eastAsia="仿宋" w:cs="Times New Roman"/>
          <w:sz w:val="28"/>
          <w:szCs w:val="28"/>
        </w:rPr>
        <w:t>，协议期2023年8月9日至2024年8月8日的结余资金发生变动，具体情况如下：</w:t>
      </w:r>
    </w:p>
    <w:p w14:paraId="626CE6DB">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经评估，本评估期</w:t>
      </w:r>
      <w:r>
        <w:rPr>
          <w:rFonts w:hint="eastAsia" w:ascii="Times New Roman" w:hAnsi="Times New Roman" w:eastAsia="仿宋" w:cs="Times New Roman"/>
          <w:sz w:val="28"/>
          <w:szCs w:val="28"/>
        </w:rPr>
        <w:t>收到该协议期服务经费756,000.00元，累计已收到协议期政府采购服务经费1,680,000.00元；</w:t>
      </w:r>
      <w:r>
        <w:rPr>
          <w:rFonts w:ascii="Times New Roman" w:hAnsi="Times New Roman" w:eastAsia="仿宋" w:cs="Times New Roman"/>
          <w:sz w:val="28"/>
          <w:szCs w:val="28"/>
        </w:rPr>
        <w:t>支付归属于该协议期的支出</w:t>
      </w:r>
      <w:r>
        <w:rPr>
          <w:rFonts w:hint="eastAsia" w:ascii="Times New Roman" w:hAnsi="Times New Roman" w:eastAsia="仿宋" w:cs="Times New Roman"/>
          <w:sz w:val="28"/>
          <w:szCs w:val="28"/>
        </w:rPr>
        <w:t>66,960.00</w:t>
      </w:r>
      <w:r>
        <w:rPr>
          <w:rFonts w:ascii="Times New Roman" w:hAnsi="Times New Roman" w:eastAsia="仿宋" w:cs="Times New Roman"/>
          <w:sz w:val="28"/>
          <w:szCs w:val="28"/>
        </w:rPr>
        <w:t>元，为服务质量保障费用－机构年度相关税费支出，该项支出为开具该协议期服务经费</w:t>
      </w:r>
      <w:r>
        <w:rPr>
          <w:rFonts w:hint="eastAsia" w:ascii="Times New Roman" w:hAnsi="Times New Roman" w:eastAsia="仿宋" w:cs="Times New Roman"/>
          <w:sz w:val="28"/>
          <w:szCs w:val="28"/>
        </w:rPr>
        <w:t>发</w:t>
      </w:r>
      <w:r>
        <w:rPr>
          <w:rFonts w:ascii="Times New Roman" w:hAnsi="Times New Roman" w:eastAsia="仿宋" w:cs="Times New Roman"/>
          <w:sz w:val="28"/>
          <w:szCs w:val="28"/>
        </w:rPr>
        <w:t>票</w:t>
      </w:r>
      <w:r>
        <w:rPr>
          <w:rFonts w:hint="eastAsia" w:ascii="Times New Roman" w:hAnsi="Times New Roman" w:eastAsia="仿宋" w:cs="Times New Roman"/>
          <w:sz w:val="28"/>
          <w:szCs w:val="28"/>
        </w:rPr>
        <w:t>1,116,000.00</w:t>
      </w:r>
      <w:r>
        <w:rPr>
          <w:rFonts w:ascii="Times New Roman" w:hAnsi="Times New Roman" w:eastAsia="仿宋" w:cs="Times New Roman"/>
          <w:sz w:val="28"/>
          <w:szCs w:val="28"/>
        </w:rPr>
        <w:t>元申报缴纳的增值税及城建税、附加税。</w:t>
      </w:r>
    </w:p>
    <w:p w14:paraId="78282E00">
      <w:pPr>
        <w:spacing w:line="62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 w:cs="Times New Roman"/>
          <w:sz w:val="28"/>
          <w:szCs w:val="28"/>
        </w:rPr>
        <w:t>调整后，该协议期累计收到服务经费</w:t>
      </w:r>
      <w:r>
        <w:rPr>
          <w:rFonts w:hint="eastAsia" w:ascii="Times New Roman" w:hAnsi="Times New Roman" w:eastAsia="仿宋" w:cs="Times New Roman"/>
          <w:sz w:val="28"/>
          <w:szCs w:val="28"/>
        </w:rPr>
        <w:t>1,680,000.00</w:t>
      </w:r>
      <w:r>
        <w:rPr>
          <w:rFonts w:ascii="Times New Roman" w:hAnsi="Times New Roman" w:eastAsia="仿宋" w:cs="Times New Roman"/>
          <w:sz w:val="28"/>
          <w:szCs w:val="28"/>
        </w:rPr>
        <w:t>元，累计支出</w:t>
      </w:r>
      <w:r>
        <w:rPr>
          <w:rFonts w:hint="eastAsia" w:ascii="Times New Roman" w:hAnsi="Times New Roman" w:eastAsia="仿宋" w:cs="Times New Roman"/>
          <w:sz w:val="28"/>
          <w:szCs w:val="28"/>
        </w:rPr>
        <w:t xml:space="preserve"> 2,342,078.27</w:t>
      </w:r>
      <w:r>
        <w:rPr>
          <w:rFonts w:ascii="Times New Roman" w:hAnsi="Times New Roman" w:eastAsia="仿宋" w:cs="Times New Roman"/>
          <w:sz w:val="28"/>
          <w:szCs w:val="28"/>
        </w:rPr>
        <w:t>元，结余资金</w:t>
      </w:r>
      <w:r>
        <w:rPr>
          <w:rFonts w:hint="eastAsia" w:ascii="Times New Roman" w:hAnsi="Times New Roman" w:eastAsia="仿宋" w:cs="Times New Roman"/>
          <w:sz w:val="28"/>
          <w:szCs w:val="28"/>
        </w:rPr>
        <w:t>-662,078.27</w:t>
      </w:r>
      <w:r>
        <w:rPr>
          <w:rFonts w:ascii="Times New Roman" w:hAnsi="Times New Roman" w:eastAsia="仿宋" w:cs="Times New Roman"/>
          <w:sz w:val="28"/>
          <w:szCs w:val="28"/>
        </w:rPr>
        <w:t>元</w:t>
      </w:r>
      <w:r>
        <w:rPr>
          <w:rFonts w:hint="eastAsia" w:ascii="Times New Roman" w:hAnsi="Times New Roman" w:eastAsia="仿宋_GB2312" w:cs="Times New Roman"/>
          <w:color w:val="000000" w:themeColor="text1"/>
          <w:sz w:val="28"/>
          <w:szCs w:val="28"/>
          <w14:textFill>
            <w14:solidFill>
              <w14:schemeClr w14:val="tx1"/>
            </w14:solidFill>
          </w14:textFill>
        </w:rPr>
        <w:t>（不含未拨入经费720,000.00元）</w:t>
      </w:r>
      <w:r>
        <w:rPr>
          <w:rFonts w:ascii="Times New Roman" w:hAnsi="Times New Roman" w:eastAsia="仿宋" w:cs="Times New Roman"/>
          <w:sz w:val="28"/>
          <w:szCs w:val="28"/>
        </w:rPr>
        <w:t>。该协议期</w:t>
      </w:r>
      <w:r>
        <w:rPr>
          <w:rFonts w:hint="eastAsia" w:ascii="Times New Roman" w:hAnsi="Times New Roman" w:eastAsia="仿宋" w:cs="Times New Roman"/>
          <w:sz w:val="28"/>
          <w:szCs w:val="28"/>
        </w:rPr>
        <w:t>调整后</w:t>
      </w:r>
      <w:r>
        <w:rPr>
          <w:rFonts w:ascii="Times New Roman" w:hAnsi="Times New Roman" w:eastAsia="仿宋" w:cs="Times New Roman"/>
          <w:sz w:val="28"/>
          <w:szCs w:val="28"/>
        </w:rPr>
        <w:t>人员费用支出占服务总经费的80.01%，服务质量保障费用及承接机构管理费用占服务总经费的</w:t>
      </w:r>
      <w:r>
        <w:rPr>
          <w:rFonts w:hint="eastAsia" w:ascii="Times New Roman" w:hAnsi="Times New Roman" w:eastAsia="仿宋" w:cs="Times New Roman"/>
          <w:sz w:val="28"/>
          <w:szCs w:val="28"/>
        </w:rPr>
        <w:t>17.58%</w:t>
      </w:r>
      <w:r>
        <w:rPr>
          <w:rFonts w:ascii="Times New Roman" w:hAnsi="Times New Roman" w:eastAsia="仿宋" w:cs="Times New Roman"/>
          <w:sz w:val="28"/>
          <w:szCs w:val="28"/>
        </w:rPr>
        <w:t>，其中承接机构管理费用占服务总经费的8.05%。</w:t>
      </w:r>
    </w:p>
    <w:p w14:paraId="439045DD">
      <w:pPr>
        <w:spacing w:line="61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九</w:t>
      </w:r>
      <w:r>
        <w:rPr>
          <w:rFonts w:ascii="Times New Roman" w:hAnsi="Times New Roman" w:eastAsia="仿宋_GB2312" w:cs="Times New Roman"/>
          <w:b/>
          <w:sz w:val="28"/>
          <w:szCs w:val="28"/>
        </w:rPr>
        <w:t>、累计结余情况（</w:t>
      </w:r>
      <w:r>
        <w:rPr>
          <w:rFonts w:hint="eastAsia" w:ascii="Times New Roman" w:hAnsi="Times New Roman" w:eastAsia="仿宋_GB2312" w:cs="Times New Roman"/>
          <w:b/>
          <w:sz w:val="28"/>
          <w:szCs w:val="28"/>
        </w:rPr>
        <w:t>2016年12月9日至2025年8月8日</w:t>
      </w:r>
      <w:r>
        <w:rPr>
          <w:rFonts w:ascii="Times New Roman" w:hAnsi="Times New Roman" w:eastAsia="仿宋_GB2312" w:cs="Times New Roman"/>
          <w:b/>
          <w:sz w:val="28"/>
          <w:szCs w:val="28"/>
        </w:rPr>
        <w:t>）</w:t>
      </w:r>
    </w:p>
    <w:p w14:paraId="46E39455">
      <w:pPr>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根据“</w:t>
      </w:r>
      <w:r>
        <w:rPr>
          <w:rFonts w:hint="eastAsia" w:ascii="Times New Roman" w:hAnsi="Times New Roman" w:eastAsia="仿宋_GB2312" w:cs="Times New Roman"/>
          <w:sz w:val="28"/>
          <w:szCs w:val="28"/>
        </w:rPr>
        <w:t>业会专审[2025]036号</w:t>
      </w:r>
      <w:r>
        <w:rPr>
          <w:rFonts w:ascii="Times New Roman" w:hAnsi="Times New Roman" w:eastAsia="仿宋_GB2312" w:cs="Times New Roman"/>
          <w:sz w:val="28"/>
          <w:szCs w:val="28"/>
        </w:rPr>
        <w:t>”财务管理情况评估报告及本次</w:t>
      </w:r>
      <w:r>
        <w:rPr>
          <w:rFonts w:hint="eastAsia" w:ascii="Times New Roman" w:hAnsi="Times New Roman" w:eastAsia="仿宋_GB2312" w:cs="Times New Roman"/>
          <w:sz w:val="28"/>
          <w:szCs w:val="28"/>
        </w:rPr>
        <w:t>2025年2月9日至2025年8月8日</w:t>
      </w:r>
      <w:r>
        <w:rPr>
          <w:rFonts w:ascii="Times New Roman" w:hAnsi="Times New Roman" w:eastAsia="仿宋_GB2312" w:cs="Times New Roman"/>
          <w:sz w:val="28"/>
          <w:szCs w:val="28"/>
        </w:rPr>
        <w:t>财务管理评估情况，</w:t>
      </w:r>
      <w:r>
        <w:rPr>
          <w:rFonts w:hint="eastAsia" w:ascii="Times New Roman" w:hAnsi="Times New Roman" w:eastAsia="仿宋_GB2312" w:cs="Times New Roman"/>
          <w:color w:val="000000" w:themeColor="text1"/>
          <w:sz w:val="28"/>
          <w:szCs w:val="28"/>
          <w14:textFill>
            <w14:solidFill>
              <w14:schemeClr w14:val="tx1"/>
            </w14:solidFill>
          </w14:textFill>
        </w:rPr>
        <w:t>自2016年12月9日起至2025年8月8日</w:t>
      </w:r>
      <w:r>
        <w:rPr>
          <w:rFonts w:ascii="Times New Roman" w:hAnsi="Times New Roman" w:eastAsia="仿宋_GB2312" w:cs="Times New Roman"/>
          <w:sz w:val="28"/>
          <w:szCs w:val="28"/>
        </w:rPr>
        <w:t>，</w:t>
      </w:r>
      <w:r>
        <w:rPr>
          <w:rFonts w:hint="eastAsia" w:ascii="Times New Roman" w:hAnsi="Times New Roman" w:eastAsia="仿宋_GB2312" w:cs="Times New Roman"/>
          <w:color w:val="000000" w:themeColor="text1"/>
          <w:sz w:val="28"/>
          <w:szCs w:val="28"/>
          <w14:textFill>
            <w14:solidFill>
              <w14:schemeClr w14:val="tx1"/>
            </w14:solidFill>
          </w14:textFill>
        </w:rPr>
        <w:t>化龙社工站</w:t>
      </w:r>
      <w:r>
        <w:rPr>
          <w:rFonts w:ascii="Times New Roman" w:hAnsi="Times New Roman" w:eastAsia="仿宋_GB2312" w:cs="Times New Roman"/>
          <w:sz w:val="28"/>
          <w:szCs w:val="28"/>
        </w:rPr>
        <w:t>服务经费累计结余</w:t>
      </w:r>
      <w:r>
        <w:rPr>
          <w:rFonts w:hint="eastAsia" w:ascii="Times New Roman" w:hAnsi="Times New Roman" w:eastAsia="仿宋_GB2312" w:cs="Times New Roman"/>
          <w:sz w:val="28"/>
          <w:szCs w:val="28"/>
        </w:rPr>
        <w:t>-1,264,530.89</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（不含未拨入经费2,074,000.00元）</w:t>
      </w:r>
      <w:r>
        <w:rPr>
          <w:rFonts w:ascii="Times New Roman" w:hAnsi="Times New Roman" w:eastAsia="仿宋_GB2312" w:cs="Times New Roman"/>
          <w:sz w:val="28"/>
          <w:szCs w:val="28"/>
        </w:rPr>
        <w:t>。具体每期结余情况如下：</w:t>
      </w:r>
    </w:p>
    <w:p w14:paraId="7605E44B">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㈠化龙社工站2016年12月9日至2019年12月8日三年服务周期结束，结余资金58,385.17元：</w:t>
      </w:r>
    </w:p>
    <w:p w14:paraId="093052A5">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㈡化龙社工站2019年12月9日至2024年8月8日4年8个月服务周期结束，结余资金为结余金额-661,427.29元。其中：</w:t>
      </w:r>
    </w:p>
    <w:p w14:paraId="556AE7B9">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第一年协议期2019年12月9日至2020年8月8日，结余资金217,222.83元；</w:t>
      </w:r>
    </w:p>
    <w:p w14:paraId="66AF345B">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第二年协议期2020年8月9日至2021年8月8日，结余资金254,956.70元；</w:t>
      </w:r>
    </w:p>
    <w:p w14:paraId="048D3469">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第三年协议期2021年8月9日至2022年8月8日，结余资金64,730.87元；</w:t>
      </w:r>
    </w:p>
    <w:p w14:paraId="1C13EC9A">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第四年协议期2022年8月9日至2023年8月8日结余资金-536,259.42元（不含未拨入经费620,000.00元）。</w:t>
      </w:r>
    </w:p>
    <w:p w14:paraId="446354AD">
      <w:pPr>
        <w:spacing w:line="590" w:lineRule="exact"/>
        <w:ind w:firstLine="560" w:firstLineChars="200"/>
        <w:rPr>
          <w:rFonts w:ascii="Times New Roman" w:hAnsi="Times New Roman" w:eastAsia="仿宋_GB2312" w:cs="Times New Roman"/>
          <w:sz w:val="28"/>
          <w:szCs w:val="28"/>
        </w:rPr>
      </w:pPr>
      <w:bookmarkStart w:id="6" w:name="_Hlk179964915"/>
      <w:r>
        <w:rPr>
          <w:rFonts w:hint="eastAsia" w:ascii="Times New Roman" w:hAnsi="Times New Roman" w:eastAsia="仿宋_GB2312" w:cs="Times New Roman"/>
          <w:sz w:val="28"/>
          <w:szCs w:val="28"/>
        </w:rPr>
        <w:t>第五年协议期</w:t>
      </w:r>
      <w:bookmarkEnd w:id="6"/>
      <w:r>
        <w:rPr>
          <w:rFonts w:hint="eastAsia" w:ascii="Times New Roman" w:hAnsi="Times New Roman" w:eastAsia="仿宋_GB2312" w:cs="Times New Roman"/>
          <w:sz w:val="28"/>
          <w:szCs w:val="28"/>
        </w:rPr>
        <w:t>2023年8月9日至2024年8月8日，结余金额-662,078.27 （不含未拨入经费720,000.00元；该协议期服务经费支出含未支付的人员费用112,370.00元，如剔除该项支出，该协议期结余资金为-549,708.27元）。</w:t>
      </w:r>
    </w:p>
    <w:p w14:paraId="313B163F">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㈢2024年8月9日起为化龙社工站的3年服务周期，其中：</w:t>
      </w:r>
    </w:p>
    <w:p w14:paraId="64F677E1">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第一年协议期2024年8月9日至2025年8月8日，结余资金-661,488.77元（不含未拨入经费734,000.00元；本协议期服务经费支出含未支付的人员费用301,919.02元，如剔除该项支出，本协议期结余资金为-359,569.75元）。</w:t>
      </w:r>
    </w:p>
    <w:p w14:paraId="24353297">
      <w:pPr>
        <w:spacing w:line="59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十、需要关注的事项</w:t>
      </w:r>
    </w:p>
    <w:p w14:paraId="6CE14622">
      <w:pPr>
        <w:spacing w:line="590" w:lineRule="exact"/>
        <w:ind w:right="-2" w:firstLine="560" w:firstLineChars="200"/>
        <w:outlineLvl w:val="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㈠根据“业会专审[2025]036号”财务管理情况评估报告，</w:t>
      </w:r>
      <w:r>
        <w:rPr>
          <w:rFonts w:ascii="Times New Roman" w:hAnsi="Times New Roman" w:eastAsia="仿宋" w:cs="Times New Roman"/>
          <w:spacing w:val="-6"/>
          <w:sz w:val="28"/>
          <w:szCs w:val="28"/>
        </w:rPr>
        <w:t>2023年8月9日至2024年8月8日</w:t>
      </w:r>
      <w:r>
        <w:rPr>
          <w:rFonts w:ascii="Times New Roman" w:hAnsi="Times New Roman" w:eastAsia="仿宋" w:cs="Times New Roman"/>
          <w:sz w:val="28"/>
          <w:szCs w:val="28"/>
        </w:rPr>
        <w:t>人员费用-工资中包含社工人员2023-2024年绩效奖金112,370.00元</w:t>
      </w:r>
      <w:r>
        <w:rPr>
          <w:rFonts w:hint="eastAsia" w:ascii="Times New Roman" w:hAnsi="Times New Roman" w:eastAsia="仿宋" w:cs="Times New Roman"/>
          <w:sz w:val="28"/>
          <w:szCs w:val="28"/>
        </w:rPr>
        <w:t>。</w:t>
      </w:r>
      <w:r>
        <w:rPr>
          <w:rFonts w:ascii="Times New Roman" w:hAnsi="Times New Roman" w:eastAsia="仿宋" w:cs="Times New Roman"/>
          <w:sz w:val="28"/>
          <w:szCs w:val="28"/>
        </w:rPr>
        <w:t>截至本报告出具日，该项费用尚未支付，原因为</w:t>
      </w:r>
      <w:r>
        <w:rPr>
          <w:rFonts w:hint="eastAsia" w:ascii="Times New Roman" w:hAnsi="Times New Roman" w:eastAsia="仿宋" w:cs="Times New Roman"/>
          <w:sz w:val="28"/>
          <w:szCs w:val="28"/>
        </w:rPr>
        <w:t>该协议期有</w:t>
      </w:r>
      <w:r>
        <w:rPr>
          <w:rFonts w:hint="eastAsia" w:ascii="Times New Roman" w:hAnsi="Times New Roman" w:eastAsia="仿宋_GB2312" w:cs="Times New Roman"/>
          <w:sz w:val="28"/>
          <w:szCs w:val="28"/>
        </w:rPr>
        <w:t>720,000.00元服务经费尚未拨入，且</w:t>
      </w:r>
      <w:r>
        <w:rPr>
          <w:rFonts w:ascii="Times New Roman" w:hAnsi="Times New Roman" w:eastAsia="仿宋" w:cs="Times New Roman"/>
          <w:spacing w:val="-6"/>
          <w:sz w:val="28"/>
          <w:szCs w:val="28"/>
        </w:rPr>
        <w:t>202</w:t>
      </w:r>
      <w:r>
        <w:rPr>
          <w:rFonts w:hint="eastAsia" w:ascii="Times New Roman" w:hAnsi="Times New Roman" w:eastAsia="仿宋" w:cs="Times New Roman"/>
          <w:spacing w:val="-6"/>
          <w:sz w:val="28"/>
          <w:szCs w:val="28"/>
        </w:rPr>
        <w:t>2</w:t>
      </w:r>
      <w:r>
        <w:rPr>
          <w:rFonts w:ascii="Times New Roman" w:hAnsi="Times New Roman" w:eastAsia="仿宋" w:cs="Times New Roman"/>
          <w:spacing w:val="-6"/>
          <w:sz w:val="28"/>
          <w:szCs w:val="28"/>
        </w:rPr>
        <w:t>年8月9日至202</w:t>
      </w:r>
      <w:r>
        <w:rPr>
          <w:rFonts w:hint="eastAsia" w:ascii="Times New Roman" w:hAnsi="Times New Roman" w:eastAsia="仿宋" w:cs="Times New Roman"/>
          <w:spacing w:val="-6"/>
          <w:sz w:val="28"/>
          <w:szCs w:val="28"/>
        </w:rPr>
        <w:t>3</w:t>
      </w:r>
      <w:r>
        <w:rPr>
          <w:rFonts w:ascii="Times New Roman" w:hAnsi="Times New Roman" w:eastAsia="仿宋" w:cs="Times New Roman"/>
          <w:spacing w:val="-6"/>
          <w:sz w:val="28"/>
          <w:szCs w:val="28"/>
        </w:rPr>
        <w:t>年8月8日</w:t>
      </w:r>
      <w:r>
        <w:rPr>
          <w:rFonts w:ascii="Times New Roman" w:hAnsi="Times New Roman" w:eastAsia="仿宋" w:cs="Times New Roman"/>
          <w:sz w:val="28"/>
          <w:szCs w:val="28"/>
        </w:rPr>
        <w:t>协议期尚有</w:t>
      </w:r>
      <w:r>
        <w:rPr>
          <w:rFonts w:hint="eastAsia" w:ascii="Times New Roman" w:hAnsi="Times New Roman" w:eastAsia="仿宋_GB2312" w:cs="Times New Roman"/>
          <w:sz w:val="28"/>
          <w:szCs w:val="28"/>
        </w:rPr>
        <w:t>620,000.00</w:t>
      </w:r>
      <w:r>
        <w:rPr>
          <w:rFonts w:ascii="Times New Roman" w:hAnsi="Times New Roman" w:eastAsia="仿宋" w:cs="Times New Roman"/>
          <w:sz w:val="28"/>
          <w:szCs w:val="28"/>
        </w:rPr>
        <w:t>元服务经费未拨入。如果剔除上述支出，化龙社工站</w:t>
      </w:r>
      <w:r>
        <w:rPr>
          <w:rFonts w:ascii="Times New Roman" w:hAnsi="Times New Roman" w:eastAsia="仿宋" w:cs="Times New Roman"/>
          <w:spacing w:val="-6"/>
          <w:sz w:val="28"/>
          <w:szCs w:val="28"/>
        </w:rPr>
        <w:t>2023年8月9日至2024年8月8日</w:t>
      </w:r>
      <w:r>
        <w:rPr>
          <w:rFonts w:ascii="Times New Roman" w:hAnsi="Times New Roman" w:eastAsia="仿宋" w:cs="Times New Roman"/>
          <w:sz w:val="28"/>
          <w:szCs w:val="28"/>
        </w:rPr>
        <w:t>服务协议期人员费用支出为1,807,906.88元，占服务总经费的75.33%，不符合管理办法中“人员费用应当不低于项目经费总额的80%”的要求。</w:t>
      </w:r>
    </w:p>
    <w:p w14:paraId="346C9787">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㈡根据“业会专审[2025]036号”财务管理情况评估报告，中期人员费用-工资681,820.33元，已支付315,987.58元，余额365,832.75元尚未支付。截止本报告出具日，上述费用已支付。</w:t>
      </w:r>
    </w:p>
    <w:p w14:paraId="7295A766">
      <w:pPr>
        <w:spacing w:line="580" w:lineRule="exact"/>
        <w:ind w:firstLine="560" w:firstLineChars="200"/>
        <w:rPr>
          <w:rFonts w:ascii="Times New Roman" w:hAnsi="Times New Roman" w:eastAsia="仿宋" w:cs="Times New Roman"/>
          <w:sz w:val="28"/>
          <w:szCs w:val="28"/>
        </w:rPr>
      </w:pPr>
      <w:r>
        <w:rPr>
          <w:rFonts w:hint="eastAsia" w:ascii="Times New Roman" w:hAnsi="Times New Roman" w:eastAsia="仿宋_GB2312" w:cs="Times New Roman"/>
          <w:sz w:val="28"/>
          <w:szCs w:val="28"/>
        </w:rPr>
        <w:t>㈢</w:t>
      </w:r>
      <w:r>
        <w:rPr>
          <w:rFonts w:hint="eastAsia" w:ascii="Times New Roman" w:hAnsi="Times New Roman" w:eastAsia="仿宋_GB2312"/>
          <w:color w:val="000000" w:themeColor="text1"/>
          <w:spacing w:val="-8"/>
          <w:sz w:val="28"/>
          <w:szCs w:val="28"/>
          <w14:textFill>
            <w14:solidFill>
              <w14:schemeClr w14:val="tx1"/>
            </w14:solidFill>
          </w14:textFill>
        </w:rPr>
        <w:t>本评估期人员费用</w:t>
      </w:r>
      <w:r>
        <w:rPr>
          <w:rFonts w:ascii="Times New Roman" w:hAnsi="Times New Roman" w:eastAsia="仿宋" w:cs="Times New Roman"/>
          <w:sz w:val="28"/>
          <w:szCs w:val="28"/>
        </w:rPr>
        <w:t>-工资</w:t>
      </w:r>
      <w:r>
        <w:rPr>
          <w:rFonts w:hint="eastAsia" w:ascii="Times New Roman" w:hAnsi="Times New Roman" w:eastAsia="仿宋" w:cs="Times New Roman"/>
          <w:sz w:val="28"/>
          <w:szCs w:val="28"/>
        </w:rPr>
        <w:t>736,919.44</w:t>
      </w:r>
      <w:r>
        <w:rPr>
          <w:rFonts w:ascii="Times New Roman" w:hAnsi="Times New Roman" w:eastAsia="仿宋" w:cs="Times New Roman"/>
          <w:sz w:val="28"/>
          <w:szCs w:val="28"/>
        </w:rPr>
        <w:t>元，截至本报告出具日，已支</w:t>
      </w:r>
      <w:r>
        <w:rPr>
          <w:rFonts w:hint="eastAsia" w:ascii="Times New Roman" w:hAnsi="Times New Roman" w:eastAsia="仿宋" w:cs="Times New Roman"/>
          <w:sz w:val="28"/>
          <w:szCs w:val="28"/>
        </w:rPr>
        <w:t>435,000.42</w:t>
      </w:r>
      <w:r>
        <w:rPr>
          <w:rFonts w:ascii="Times New Roman" w:hAnsi="Times New Roman" w:eastAsia="仿宋" w:cs="Times New Roman"/>
          <w:sz w:val="28"/>
          <w:szCs w:val="28"/>
        </w:rPr>
        <w:t>元，余额</w:t>
      </w:r>
      <w:r>
        <w:rPr>
          <w:rFonts w:hint="eastAsia" w:ascii="Times New Roman" w:hAnsi="Times New Roman" w:eastAsia="仿宋" w:cs="Times New Roman"/>
          <w:sz w:val="28"/>
          <w:szCs w:val="28"/>
        </w:rPr>
        <w:t>301,919.02</w:t>
      </w:r>
      <w:r>
        <w:rPr>
          <w:rFonts w:ascii="Times New Roman" w:hAnsi="Times New Roman" w:eastAsia="仿宋" w:cs="Times New Roman"/>
          <w:sz w:val="28"/>
          <w:szCs w:val="28"/>
        </w:rPr>
        <w:t>元尚未支付，原因为本</w:t>
      </w:r>
      <w:r>
        <w:rPr>
          <w:rFonts w:hint="eastAsia" w:ascii="Times New Roman" w:hAnsi="Times New Roman" w:eastAsia="仿宋" w:cs="Times New Roman"/>
          <w:sz w:val="28"/>
          <w:szCs w:val="28"/>
        </w:rPr>
        <w:t>协议</w:t>
      </w:r>
      <w:r>
        <w:rPr>
          <w:rFonts w:ascii="Times New Roman" w:hAnsi="Times New Roman" w:eastAsia="仿宋" w:cs="Times New Roman"/>
          <w:sz w:val="28"/>
          <w:szCs w:val="28"/>
        </w:rPr>
        <w:t>期尚</w:t>
      </w:r>
      <w:r>
        <w:rPr>
          <w:rFonts w:hint="eastAsia" w:ascii="Times New Roman" w:hAnsi="Times New Roman" w:eastAsia="仿宋" w:cs="Times New Roman"/>
          <w:sz w:val="28"/>
          <w:szCs w:val="28"/>
        </w:rPr>
        <w:t>有734,000.00元</w:t>
      </w:r>
      <w:r>
        <w:rPr>
          <w:rFonts w:ascii="Times New Roman" w:hAnsi="Times New Roman" w:eastAsia="仿宋" w:cs="Times New Roman"/>
          <w:sz w:val="28"/>
          <w:szCs w:val="28"/>
        </w:rPr>
        <w:t>服务经费未拨入，且上一协议期</w:t>
      </w:r>
      <w:r>
        <w:rPr>
          <w:rFonts w:ascii="Times New Roman" w:hAnsi="Times New Roman" w:eastAsia="仿宋" w:cs="Times New Roman"/>
          <w:spacing w:val="-6"/>
          <w:sz w:val="28"/>
          <w:szCs w:val="28"/>
        </w:rPr>
        <w:t>（2023年8月9日至2024年8月8日）</w:t>
      </w:r>
      <w:r>
        <w:rPr>
          <w:rFonts w:ascii="Times New Roman" w:hAnsi="Times New Roman" w:eastAsia="仿宋" w:cs="Times New Roman"/>
          <w:sz w:val="28"/>
          <w:szCs w:val="28"/>
        </w:rPr>
        <w:t>尚有</w:t>
      </w:r>
      <w:r>
        <w:rPr>
          <w:rFonts w:hint="eastAsia" w:ascii="Times New Roman" w:hAnsi="Times New Roman" w:eastAsia="仿宋" w:cs="Times New Roman"/>
          <w:sz w:val="28"/>
          <w:szCs w:val="28"/>
        </w:rPr>
        <w:t>720,000.00</w:t>
      </w:r>
      <w:r>
        <w:rPr>
          <w:rFonts w:ascii="Times New Roman" w:hAnsi="Times New Roman" w:eastAsia="仿宋" w:cs="Times New Roman"/>
          <w:sz w:val="28"/>
          <w:szCs w:val="28"/>
        </w:rPr>
        <w:t>元服务经费未拨入。</w:t>
      </w:r>
      <w:r>
        <w:rPr>
          <w:rFonts w:hint="eastAsia" w:ascii="Times New Roman" w:hAnsi="Times New Roman" w:eastAsia="仿宋_GB2312"/>
          <w:color w:val="000000" w:themeColor="text1"/>
          <w:spacing w:val="-8"/>
          <w:sz w:val="28"/>
          <w:szCs w:val="28"/>
          <w14:textFill>
            <w14:solidFill>
              <w14:schemeClr w14:val="tx1"/>
            </w14:solidFill>
          </w14:textFill>
        </w:rPr>
        <w:t>如果剔除上述支出，</w:t>
      </w:r>
      <w:r>
        <w:rPr>
          <w:rFonts w:hint="eastAsia" w:ascii="Times New Roman" w:hAnsi="Times New Roman" w:eastAsia="仿宋_GB2312" w:cs="Times New Roman"/>
          <w:sz w:val="28"/>
          <w:szCs w:val="28"/>
          <w:lang w:val="en-US" w:eastAsia="zh-CN"/>
        </w:rPr>
        <w:t>化龙</w:t>
      </w:r>
      <w:r>
        <w:rPr>
          <w:rFonts w:hint="eastAsia" w:ascii="Times New Roman" w:hAnsi="Times New Roman" w:eastAsia="仿宋_GB2312"/>
          <w:color w:val="000000" w:themeColor="text1"/>
          <w:spacing w:val="-8"/>
          <w:sz w:val="28"/>
          <w:szCs w:val="28"/>
          <w14:textFill>
            <w14:solidFill>
              <w14:schemeClr w14:val="tx1"/>
            </w14:solidFill>
          </w14:textFill>
        </w:rPr>
        <w:t>社工站本服务协议期人员费用支出为1,444,480.98元，占服务总经费的66.17%，不符合管理办法中“人员费用应当不低于项目经费总额的80%”的要求。</w:t>
      </w:r>
    </w:p>
    <w:p w14:paraId="2C447289">
      <w:pPr>
        <w:spacing w:line="58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十</w:t>
      </w:r>
      <w:r>
        <w:rPr>
          <w:rFonts w:hint="eastAsia" w:ascii="Times New Roman" w:hAnsi="Times New Roman" w:eastAsia="仿宋_GB2312" w:cs="Times New Roman"/>
          <w:b/>
          <w:sz w:val="28"/>
          <w:szCs w:val="28"/>
        </w:rPr>
        <w:t>一</w:t>
      </w:r>
      <w:r>
        <w:rPr>
          <w:rFonts w:ascii="Times New Roman" w:hAnsi="Times New Roman" w:eastAsia="仿宋_GB2312" w:cs="Times New Roman"/>
          <w:b/>
          <w:sz w:val="28"/>
          <w:szCs w:val="28"/>
        </w:rPr>
        <w:t>、评估结论</w:t>
      </w:r>
    </w:p>
    <w:p w14:paraId="57C1DC64">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经上述审核，我们认为</w:t>
      </w:r>
      <w:r>
        <w:rPr>
          <w:rFonts w:hint="eastAsia" w:ascii="Times New Roman" w:hAnsi="Times New Roman" w:eastAsia="仿宋_GB2312" w:cs="Times New Roman"/>
          <w:sz w:val="28"/>
          <w:szCs w:val="28"/>
        </w:rPr>
        <w:t>广州市番禺区化龙镇社工服务站</w:t>
      </w:r>
      <w:r>
        <w:rPr>
          <w:rFonts w:ascii="Times New Roman" w:hAnsi="Times New Roman" w:eastAsia="仿宋_GB2312" w:cs="Times New Roman"/>
          <w:sz w:val="28"/>
          <w:szCs w:val="28"/>
        </w:rPr>
        <w:t>本次财务评估等级为：合格。</w:t>
      </w:r>
    </w:p>
    <w:p w14:paraId="28F4B64C">
      <w:pPr>
        <w:spacing w:line="58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十</w:t>
      </w:r>
      <w:r>
        <w:rPr>
          <w:rFonts w:hint="eastAsia" w:ascii="Times New Roman" w:hAnsi="Times New Roman" w:eastAsia="仿宋_GB2312" w:cs="Times New Roman"/>
          <w:b/>
          <w:sz w:val="28"/>
          <w:szCs w:val="28"/>
        </w:rPr>
        <w:t>二</w:t>
      </w:r>
      <w:r>
        <w:rPr>
          <w:rFonts w:ascii="Times New Roman" w:hAnsi="Times New Roman" w:eastAsia="仿宋_GB2312" w:cs="Times New Roman"/>
          <w:b/>
          <w:sz w:val="28"/>
          <w:szCs w:val="28"/>
        </w:rPr>
        <w:t>、其他事项</w:t>
      </w:r>
    </w:p>
    <w:p w14:paraId="6DD3A149">
      <w:pPr>
        <w:spacing w:line="58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本报告仅供本次委托目的，即对</w:t>
      </w:r>
      <w:r>
        <w:rPr>
          <w:rFonts w:hint="eastAsia" w:ascii="Times New Roman" w:hAnsi="Times New Roman" w:eastAsia="仿宋_GB2312" w:cs="Times New Roman"/>
          <w:color w:val="000000" w:themeColor="text1"/>
          <w:sz w:val="28"/>
          <w:szCs w:val="28"/>
          <w14:textFill>
            <w14:solidFill>
              <w14:schemeClr w14:val="tx1"/>
            </w14:solidFill>
          </w14:textFill>
        </w:rPr>
        <w:t>化龙社工站</w:t>
      </w:r>
      <w:r>
        <w:rPr>
          <w:rFonts w:ascii="Times New Roman" w:hAnsi="Times New Roman" w:eastAsia="仿宋" w:cs="Times New Roman"/>
          <w:color w:val="000000" w:themeColor="text1"/>
          <w:sz w:val="28"/>
          <w:szCs w:val="28"/>
          <w14:textFill>
            <w14:solidFill>
              <w14:schemeClr w14:val="tx1"/>
            </w14:solidFill>
          </w14:textFill>
        </w:rPr>
        <w:t>财务评估使用，本事务所及本注册会计师不对运用本报告于其他目的造成的经济后果负责。</w:t>
      </w:r>
    </w:p>
    <w:p w14:paraId="383995E1">
      <w:pPr>
        <w:spacing w:line="580" w:lineRule="exact"/>
        <w:ind w:firstLine="560" w:firstLineChars="200"/>
        <w:rPr>
          <w:rFonts w:ascii="Times New Roman" w:hAnsi="Times New Roman" w:eastAsia="仿宋" w:cs="Times New Roman"/>
          <w:sz w:val="28"/>
          <w:szCs w:val="28"/>
        </w:rPr>
      </w:pPr>
    </w:p>
    <w:p w14:paraId="29B9CFC5">
      <w:pPr>
        <w:spacing w:line="580" w:lineRule="exact"/>
        <w:ind w:left="1259" w:hanging="1259" w:hangingChars="448"/>
        <w:rPr>
          <w:rFonts w:ascii="Times New Roman" w:hAnsi="Times New Roman" w:eastAsia="仿宋" w:cs="Times New Roman"/>
          <w:sz w:val="28"/>
          <w:szCs w:val="28"/>
        </w:rPr>
      </w:pPr>
      <w:r>
        <w:rPr>
          <w:rFonts w:ascii="Times New Roman" w:hAnsi="Times New Roman" w:eastAsia="仿宋_GB2312" w:cs="Times New Roman"/>
          <w:b/>
          <w:bCs/>
          <w:sz w:val="28"/>
          <w:szCs w:val="28"/>
        </w:rPr>
        <w:t>附件：</w:t>
      </w:r>
      <w:r>
        <w:rPr>
          <w:rFonts w:hint="eastAsia" w:ascii="Times New Roman" w:hAnsi="Times New Roman" w:eastAsia="仿宋" w:cs="Times New Roman"/>
          <w:sz w:val="28"/>
          <w:szCs w:val="28"/>
        </w:rPr>
        <w:t>１</w:t>
      </w:r>
      <w:r>
        <w:rPr>
          <w:rFonts w:ascii="Times New Roman" w:hAnsi="Times New Roman" w:eastAsia="仿宋" w:cs="Times New Roman"/>
          <w:sz w:val="28"/>
          <w:szCs w:val="28"/>
        </w:rPr>
        <w:t>、广州市番禺区化龙镇社工服务站中期财务评估报告的附表（支出按归属期计提口径）；</w:t>
      </w:r>
    </w:p>
    <w:p w14:paraId="34E332B7">
      <w:pPr>
        <w:spacing w:line="580" w:lineRule="exact"/>
        <w:ind w:left="1274" w:leftChars="400" w:hanging="434" w:hangingChars="155"/>
        <w:rPr>
          <w:rFonts w:ascii="Times New Roman" w:hAnsi="Times New Roman" w:eastAsia="仿宋" w:cs="Times New Roman"/>
          <w:sz w:val="28"/>
          <w:szCs w:val="28"/>
        </w:rPr>
      </w:pPr>
      <w:r>
        <w:rPr>
          <w:rFonts w:hint="eastAsia" w:ascii="Times New Roman" w:hAnsi="Times New Roman" w:eastAsia="仿宋" w:cs="Times New Roman"/>
          <w:sz w:val="28"/>
          <w:szCs w:val="28"/>
        </w:rPr>
        <w:t>２</w:t>
      </w:r>
      <w:r>
        <w:rPr>
          <w:rFonts w:ascii="Times New Roman" w:hAnsi="Times New Roman" w:eastAsia="仿宋" w:cs="Times New Roman"/>
          <w:sz w:val="28"/>
          <w:szCs w:val="28"/>
        </w:rPr>
        <w:t>、广州市番禺区化龙镇社工服务站中期财务评估报告的附表（支出按实际支付口径）。</w:t>
      </w:r>
    </w:p>
    <w:p w14:paraId="3AC3E9DB">
      <w:pPr>
        <w:spacing w:line="500" w:lineRule="exact"/>
        <w:rPr>
          <w:rFonts w:hint="eastAsia" w:ascii="Times New Roman" w:hAnsi="Times New Roman" w:eastAsia="仿宋_GB2312" w:cs="Times New Roman"/>
          <w:sz w:val="28"/>
          <w:szCs w:val="28"/>
        </w:rPr>
      </w:pPr>
    </w:p>
    <w:p w14:paraId="6AF9C121">
      <w:pPr>
        <w:spacing w:line="500" w:lineRule="exact"/>
        <w:rPr>
          <w:rFonts w:ascii="Times New Roman" w:hAnsi="Times New Roman" w:eastAsia="仿宋_GB2312" w:cs="Times New Roman"/>
          <w:sz w:val="28"/>
          <w:szCs w:val="28"/>
        </w:rPr>
      </w:pPr>
    </w:p>
    <w:tbl>
      <w:tblPr>
        <w:tblStyle w:val="7"/>
        <w:tblW w:w="9346" w:type="dxa"/>
        <w:tblInd w:w="122" w:type="dxa"/>
        <w:tblLayout w:type="autofit"/>
        <w:tblCellMar>
          <w:top w:w="0" w:type="dxa"/>
          <w:left w:w="108" w:type="dxa"/>
          <w:bottom w:w="0" w:type="dxa"/>
          <w:right w:w="108" w:type="dxa"/>
        </w:tblCellMar>
      </w:tblPr>
      <w:tblGrid>
        <w:gridCol w:w="4482"/>
        <w:gridCol w:w="246"/>
        <w:gridCol w:w="4618"/>
      </w:tblGrid>
      <w:tr w14:paraId="01A09CCC">
        <w:tblPrEx>
          <w:tblCellMar>
            <w:top w:w="0" w:type="dxa"/>
            <w:left w:w="108" w:type="dxa"/>
            <w:bottom w:w="0" w:type="dxa"/>
            <w:right w:w="108" w:type="dxa"/>
          </w:tblCellMar>
        </w:tblPrEx>
        <w:trPr>
          <w:trHeight w:val="1511" w:hRule="atLeast"/>
        </w:trPr>
        <w:tc>
          <w:tcPr>
            <w:tcW w:w="4482" w:type="dxa"/>
          </w:tcPr>
          <w:p w14:paraId="0EA3B8A8">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30"/>
                <w14:textFill>
                  <w14:solidFill>
                    <w14:schemeClr w14:val="tx1"/>
                  </w14:solidFill>
                </w14:textFill>
              </w:rPr>
              <w:t>广州业勤会计师事务所有限公司</w:t>
            </w:r>
          </w:p>
          <w:p w14:paraId="159D3B14">
            <w:pPr>
              <w:spacing w:line="320" w:lineRule="exact"/>
              <w:rPr>
                <w:rFonts w:ascii="Times New Roman" w:hAnsi="Times New Roman" w:eastAsia="华文新魏" w:cs="Times New Roman"/>
                <w:b/>
                <w:color w:val="000000" w:themeColor="text1"/>
                <w:sz w:val="30"/>
                <w14:textFill>
                  <w14:solidFill>
                    <w14:schemeClr w14:val="tx1"/>
                  </w14:solidFill>
                </w14:textFill>
              </w:rPr>
            </w:pPr>
          </w:p>
          <w:p w14:paraId="3829F0FC">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广州·番禺</w:t>
            </w:r>
          </w:p>
          <w:p w14:paraId="0417922C">
            <w:pPr>
              <w:spacing w:line="320" w:lineRule="exact"/>
              <w:rPr>
                <w:rFonts w:ascii="Times New Roman" w:hAnsi="Times New Roman" w:eastAsia="华文新魏" w:cs="Times New Roman"/>
                <w:b/>
                <w:color w:val="000000" w:themeColor="text1"/>
                <w:sz w:val="30"/>
                <w14:textFill>
                  <w14:solidFill>
                    <w14:schemeClr w14:val="tx1"/>
                  </w14:solidFill>
                </w14:textFill>
              </w:rPr>
            </w:pPr>
          </w:p>
          <w:p w14:paraId="35FCB133">
            <w:pPr>
              <w:spacing w:line="320" w:lineRule="exact"/>
              <w:ind w:right="-6"/>
              <w:jc w:val="center"/>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二</w:t>
            </w:r>
            <w:r>
              <w:rPr>
                <w:rFonts w:hint="eastAsia" w:ascii="宋体" w:hAnsi="宋体" w:eastAsia="宋体" w:cs="宋体"/>
                <w:b/>
                <w:color w:val="000000" w:themeColor="text1"/>
                <w:sz w:val="28"/>
                <w14:textFill>
                  <w14:solidFill>
                    <w14:schemeClr w14:val="tx1"/>
                  </w14:solidFill>
                </w14:textFill>
              </w:rPr>
              <w:t>〇</w:t>
            </w:r>
            <w:r>
              <w:rPr>
                <w:rFonts w:ascii="Times New Roman" w:hAnsi="Times New Roman" w:eastAsia="华文新魏" w:cs="Times New Roman"/>
                <w:b/>
                <w:color w:val="000000" w:themeColor="text1"/>
                <w:sz w:val="28"/>
                <w14:textFill>
                  <w14:solidFill>
                    <w14:schemeClr w14:val="tx1"/>
                  </w14:solidFill>
                </w14:textFill>
              </w:rPr>
              <w:t>二</w:t>
            </w:r>
            <w:r>
              <w:rPr>
                <w:rFonts w:hint="eastAsia" w:ascii="Times New Roman" w:hAnsi="Times New Roman" w:eastAsia="华文新魏" w:cs="Times New Roman"/>
                <w:b/>
                <w:color w:val="000000" w:themeColor="text1"/>
                <w:sz w:val="28"/>
                <w14:textFill>
                  <w14:solidFill>
                    <w14:schemeClr w14:val="tx1"/>
                  </w14:solidFill>
                </w14:textFill>
              </w:rPr>
              <w:t>五</w:t>
            </w:r>
            <w:r>
              <w:rPr>
                <w:rFonts w:ascii="Times New Roman" w:hAnsi="Times New Roman" w:eastAsia="华文新魏" w:cs="Times New Roman"/>
                <w:b/>
                <w:color w:val="000000" w:themeColor="text1"/>
                <w:sz w:val="28"/>
                <w14:textFill>
                  <w14:solidFill>
                    <w14:schemeClr w14:val="tx1"/>
                  </w14:solidFill>
                </w14:textFill>
              </w:rPr>
              <w:t>年</w:t>
            </w:r>
            <w:r>
              <w:rPr>
                <w:rFonts w:hint="eastAsia" w:ascii="Times New Roman" w:hAnsi="Times New Roman" w:eastAsia="华文新魏" w:cs="Times New Roman"/>
                <w:b/>
                <w:color w:val="000000" w:themeColor="text1"/>
                <w:sz w:val="28"/>
                <w14:textFill>
                  <w14:solidFill>
                    <w14:schemeClr w14:val="tx1"/>
                  </w14:solidFill>
                </w14:textFill>
              </w:rPr>
              <w:t>十</w:t>
            </w:r>
            <w:r>
              <w:rPr>
                <w:rFonts w:ascii="Times New Roman" w:hAnsi="Times New Roman" w:eastAsia="华文新魏" w:cs="Times New Roman"/>
                <w:b/>
                <w:color w:val="000000" w:themeColor="text1"/>
                <w:sz w:val="28"/>
                <w14:textFill>
                  <w14:solidFill>
                    <w14:schemeClr w14:val="tx1"/>
                  </w14:solidFill>
                </w14:textFill>
              </w:rPr>
              <w:t>月</w:t>
            </w:r>
            <w:r>
              <w:rPr>
                <w:rFonts w:hint="eastAsia" w:ascii="Times New Roman" w:hAnsi="Times New Roman" w:eastAsia="华文新魏" w:cs="Times New Roman"/>
                <w:b/>
                <w:color w:val="000000" w:themeColor="text1"/>
                <w:sz w:val="28"/>
                <w14:textFill>
                  <w14:solidFill>
                    <w14:schemeClr w14:val="tx1"/>
                  </w14:solidFill>
                </w14:textFill>
              </w:rPr>
              <w:t>三十一</w:t>
            </w:r>
            <w:r>
              <w:rPr>
                <w:rFonts w:ascii="Times New Roman" w:hAnsi="Times New Roman" w:eastAsia="华文新魏" w:cs="Times New Roman"/>
                <w:b/>
                <w:color w:val="000000" w:themeColor="text1"/>
                <w:sz w:val="28"/>
                <w14:textFill>
                  <w14:solidFill>
                    <w14:schemeClr w14:val="tx1"/>
                  </w14:solidFill>
                </w14:textFill>
              </w:rPr>
              <w:t>日</w:t>
            </w:r>
          </w:p>
        </w:tc>
        <w:tc>
          <w:tcPr>
            <w:tcW w:w="246" w:type="dxa"/>
          </w:tcPr>
          <w:p w14:paraId="3AB9E08D">
            <w:pPr>
              <w:spacing w:line="560" w:lineRule="exact"/>
              <w:ind w:right="-6"/>
              <w:rPr>
                <w:rFonts w:ascii="Times New Roman" w:hAnsi="Times New Roman" w:eastAsia="华文新魏" w:cs="Times New Roman"/>
                <w:sz w:val="28"/>
                <w:szCs w:val="28"/>
              </w:rPr>
            </w:pPr>
          </w:p>
        </w:tc>
        <w:tc>
          <w:tcPr>
            <w:tcW w:w="4618" w:type="dxa"/>
          </w:tcPr>
          <w:p w14:paraId="74982456">
            <w:pPr>
              <w:spacing w:line="320" w:lineRule="exact"/>
              <w:rPr>
                <w:rFonts w:ascii="Times New Roman" w:hAnsi="Times New Roman"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p w14:paraId="1450F609">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w:t>
            </w:r>
            <w:r>
              <w:rPr>
                <w:rFonts w:ascii="Times New Roman" w:hAnsi="Times New Roman" w:eastAsia="华文新魏" w:cs="Times New Roman"/>
                <w:b/>
                <w:color w:val="000000" w:themeColor="text1"/>
                <w:sz w:val="28"/>
                <w:szCs w:val="28"/>
                <w14:textFill>
                  <w14:solidFill>
                    <w14:schemeClr w14:val="tx1"/>
                  </w14:solidFill>
                </w14:textFill>
              </w:rPr>
              <w:t>项目负责人</w:t>
            </w:r>
            <w:r>
              <w:rPr>
                <w:rFonts w:ascii="Times New Roman" w:hAnsi="Times New Roman" w:eastAsia="仿宋" w:cs="Times New Roman"/>
                <w:b/>
                <w:color w:val="000000" w:themeColor="text1"/>
                <w:sz w:val="28"/>
                <w:szCs w:val="28"/>
                <w14:textFill>
                  <w14:solidFill>
                    <w14:schemeClr w14:val="tx1"/>
                  </w14:solidFill>
                </w14:textFill>
              </w:rPr>
              <w:t>）</w:t>
            </w:r>
          </w:p>
          <w:p w14:paraId="62DE73C1">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14:paraId="49DBC247">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14:paraId="28BF00E7">
            <w:pPr>
              <w:spacing w:line="320" w:lineRule="exact"/>
              <w:ind w:right="-6"/>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tc>
      </w:tr>
    </w:tbl>
    <w:p w14:paraId="1BE7F79B">
      <w:pPr>
        <w:spacing w:line="20" w:lineRule="exact"/>
        <w:rPr>
          <w:rFonts w:ascii="Times New Roman" w:hAnsi="Times New Roman" w:eastAsia="仿宋_GB2312" w:cs="Times New Roman"/>
          <w:sz w:val="28"/>
          <w:szCs w:val="28"/>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2991162"/>
    </w:sdtPr>
    <w:sdtContent>
      <w:p w14:paraId="0EE84C22">
        <w:pPr>
          <w:pStyle w:val="4"/>
          <w:jc w:val="center"/>
        </w:pPr>
        <w:r>
          <w:fldChar w:fldCharType="begin"/>
        </w:r>
        <w:r>
          <w:instrText xml:space="preserve">PAGE   \* MERGEFORMAT</w:instrText>
        </w:r>
        <w:r>
          <w:fldChar w:fldCharType="separate"/>
        </w:r>
        <w:r>
          <w:rPr>
            <w:lang w:val="zh-CN"/>
          </w:rPr>
          <w:t>11</w:t>
        </w:r>
        <w:r>
          <w:fldChar w:fldCharType="end"/>
        </w:r>
      </w:p>
    </w:sdtContent>
  </w:sdt>
  <w:p w14:paraId="1562A4D0">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380C"/>
    <w:rsid w:val="00003D80"/>
    <w:rsid w:val="00006946"/>
    <w:rsid w:val="00010BDE"/>
    <w:rsid w:val="00013248"/>
    <w:rsid w:val="000159B7"/>
    <w:rsid w:val="00015B74"/>
    <w:rsid w:val="00031879"/>
    <w:rsid w:val="00036EC4"/>
    <w:rsid w:val="00043252"/>
    <w:rsid w:val="00046C3F"/>
    <w:rsid w:val="0005317D"/>
    <w:rsid w:val="00062B39"/>
    <w:rsid w:val="0007054A"/>
    <w:rsid w:val="000705E1"/>
    <w:rsid w:val="00070D72"/>
    <w:rsid w:val="000737BD"/>
    <w:rsid w:val="00082C00"/>
    <w:rsid w:val="00086926"/>
    <w:rsid w:val="000877CC"/>
    <w:rsid w:val="000909F2"/>
    <w:rsid w:val="00092A58"/>
    <w:rsid w:val="000931EE"/>
    <w:rsid w:val="000A330F"/>
    <w:rsid w:val="000A75B2"/>
    <w:rsid w:val="000B0C99"/>
    <w:rsid w:val="000B2944"/>
    <w:rsid w:val="000C1F1B"/>
    <w:rsid w:val="000C3252"/>
    <w:rsid w:val="000C5EB3"/>
    <w:rsid w:val="000C7546"/>
    <w:rsid w:val="000D13DD"/>
    <w:rsid w:val="000D1FDB"/>
    <w:rsid w:val="000D4295"/>
    <w:rsid w:val="000D4C35"/>
    <w:rsid w:val="000E1815"/>
    <w:rsid w:val="000F322D"/>
    <w:rsid w:val="000F3F46"/>
    <w:rsid w:val="000F45B6"/>
    <w:rsid w:val="000F74B6"/>
    <w:rsid w:val="00120555"/>
    <w:rsid w:val="00121C69"/>
    <w:rsid w:val="0012230B"/>
    <w:rsid w:val="00125F67"/>
    <w:rsid w:val="0013380D"/>
    <w:rsid w:val="001363B7"/>
    <w:rsid w:val="00154457"/>
    <w:rsid w:val="001555FC"/>
    <w:rsid w:val="00157670"/>
    <w:rsid w:val="001707CA"/>
    <w:rsid w:val="00193221"/>
    <w:rsid w:val="001A28F1"/>
    <w:rsid w:val="001A4760"/>
    <w:rsid w:val="001B4A1D"/>
    <w:rsid w:val="001C151B"/>
    <w:rsid w:val="001C60E4"/>
    <w:rsid w:val="001D5008"/>
    <w:rsid w:val="001E0EE1"/>
    <w:rsid w:val="001E1963"/>
    <w:rsid w:val="001E1F85"/>
    <w:rsid w:val="001E6171"/>
    <w:rsid w:val="001F08D5"/>
    <w:rsid w:val="001F73F7"/>
    <w:rsid w:val="002006E8"/>
    <w:rsid w:val="00203B55"/>
    <w:rsid w:val="00210220"/>
    <w:rsid w:val="00216618"/>
    <w:rsid w:val="00221B8F"/>
    <w:rsid w:val="0022377A"/>
    <w:rsid w:val="0022690C"/>
    <w:rsid w:val="00233DC8"/>
    <w:rsid w:val="00234439"/>
    <w:rsid w:val="00234F33"/>
    <w:rsid w:val="0023709F"/>
    <w:rsid w:val="0024371A"/>
    <w:rsid w:val="00243EB3"/>
    <w:rsid w:val="00245153"/>
    <w:rsid w:val="002557D3"/>
    <w:rsid w:val="00260FCC"/>
    <w:rsid w:val="002618A7"/>
    <w:rsid w:val="00261B70"/>
    <w:rsid w:val="00261C13"/>
    <w:rsid w:val="00262B80"/>
    <w:rsid w:val="00270BE1"/>
    <w:rsid w:val="0027231E"/>
    <w:rsid w:val="00273BCE"/>
    <w:rsid w:val="00282B1E"/>
    <w:rsid w:val="00285604"/>
    <w:rsid w:val="00286EAF"/>
    <w:rsid w:val="00287338"/>
    <w:rsid w:val="00287778"/>
    <w:rsid w:val="002907F9"/>
    <w:rsid w:val="00292DA9"/>
    <w:rsid w:val="002A6087"/>
    <w:rsid w:val="002B1DC2"/>
    <w:rsid w:val="002B7AD5"/>
    <w:rsid w:val="002B7B76"/>
    <w:rsid w:val="002C3023"/>
    <w:rsid w:val="002C4DFA"/>
    <w:rsid w:val="002C59A5"/>
    <w:rsid w:val="002D313E"/>
    <w:rsid w:val="002D612F"/>
    <w:rsid w:val="002E0179"/>
    <w:rsid w:val="002E1842"/>
    <w:rsid w:val="002E3398"/>
    <w:rsid w:val="002E4330"/>
    <w:rsid w:val="002E4695"/>
    <w:rsid w:val="002F16C4"/>
    <w:rsid w:val="002F241A"/>
    <w:rsid w:val="002F4C38"/>
    <w:rsid w:val="002F5421"/>
    <w:rsid w:val="0030183E"/>
    <w:rsid w:val="00306805"/>
    <w:rsid w:val="0030788D"/>
    <w:rsid w:val="00307898"/>
    <w:rsid w:val="00314D30"/>
    <w:rsid w:val="00331E74"/>
    <w:rsid w:val="003327FC"/>
    <w:rsid w:val="00332C2E"/>
    <w:rsid w:val="0033395A"/>
    <w:rsid w:val="00333A70"/>
    <w:rsid w:val="00341923"/>
    <w:rsid w:val="00341D2A"/>
    <w:rsid w:val="00341EFE"/>
    <w:rsid w:val="0034361B"/>
    <w:rsid w:val="003475FE"/>
    <w:rsid w:val="003542A6"/>
    <w:rsid w:val="00354454"/>
    <w:rsid w:val="003557CD"/>
    <w:rsid w:val="003607E2"/>
    <w:rsid w:val="00364A12"/>
    <w:rsid w:val="00377534"/>
    <w:rsid w:val="00377B7E"/>
    <w:rsid w:val="003808E9"/>
    <w:rsid w:val="003832E2"/>
    <w:rsid w:val="0038409B"/>
    <w:rsid w:val="003858E5"/>
    <w:rsid w:val="00390BCD"/>
    <w:rsid w:val="00395088"/>
    <w:rsid w:val="003A0B20"/>
    <w:rsid w:val="003A2E84"/>
    <w:rsid w:val="003A57F0"/>
    <w:rsid w:val="003B4E86"/>
    <w:rsid w:val="003C702E"/>
    <w:rsid w:val="003D0B93"/>
    <w:rsid w:val="003D168D"/>
    <w:rsid w:val="003D4230"/>
    <w:rsid w:val="003E16DC"/>
    <w:rsid w:val="003E53B0"/>
    <w:rsid w:val="003F7ED0"/>
    <w:rsid w:val="00400901"/>
    <w:rsid w:val="00400E2F"/>
    <w:rsid w:val="00412430"/>
    <w:rsid w:val="00415036"/>
    <w:rsid w:val="004165DF"/>
    <w:rsid w:val="00425162"/>
    <w:rsid w:val="00427B85"/>
    <w:rsid w:val="00433629"/>
    <w:rsid w:val="00434BC3"/>
    <w:rsid w:val="00435D2D"/>
    <w:rsid w:val="004364BD"/>
    <w:rsid w:val="0044096F"/>
    <w:rsid w:val="00446BB1"/>
    <w:rsid w:val="004531B5"/>
    <w:rsid w:val="004542EB"/>
    <w:rsid w:val="00456A81"/>
    <w:rsid w:val="00462BC0"/>
    <w:rsid w:val="00462ED0"/>
    <w:rsid w:val="004634CF"/>
    <w:rsid w:val="00472018"/>
    <w:rsid w:val="0047423C"/>
    <w:rsid w:val="004802B6"/>
    <w:rsid w:val="00480B95"/>
    <w:rsid w:val="00485C30"/>
    <w:rsid w:val="00491AAE"/>
    <w:rsid w:val="004A2EBF"/>
    <w:rsid w:val="004A4F80"/>
    <w:rsid w:val="004B0616"/>
    <w:rsid w:val="004B0E3B"/>
    <w:rsid w:val="004B28C9"/>
    <w:rsid w:val="004B4FAD"/>
    <w:rsid w:val="004B5997"/>
    <w:rsid w:val="004B6768"/>
    <w:rsid w:val="004B6FBD"/>
    <w:rsid w:val="004B7F45"/>
    <w:rsid w:val="004C0C70"/>
    <w:rsid w:val="004C47F4"/>
    <w:rsid w:val="004C74AF"/>
    <w:rsid w:val="004D0234"/>
    <w:rsid w:val="004D1C44"/>
    <w:rsid w:val="004D495B"/>
    <w:rsid w:val="004D4C7E"/>
    <w:rsid w:val="004D4F04"/>
    <w:rsid w:val="004E0905"/>
    <w:rsid w:val="004E1044"/>
    <w:rsid w:val="004E5656"/>
    <w:rsid w:val="004F061F"/>
    <w:rsid w:val="004F3592"/>
    <w:rsid w:val="004F3E0E"/>
    <w:rsid w:val="004F3E48"/>
    <w:rsid w:val="00504BFB"/>
    <w:rsid w:val="0050697D"/>
    <w:rsid w:val="005120F3"/>
    <w:rsid w:val="00512291"/>
    <w:rsid w:val="00516B0D"/>
    <w:rsid w:val="00523022"/>
    <w:rsid w:val="00545CED"/>
    <w:rsid w:val="005479F1"/>
    <w:rsid w:val="00547EB3"/>
    <w:rsid w:val="0055103A"/>
    <w:rsid w:val="00551E53"/>
    <w:rsid w:val="0055429C"/>
    <w:rsid w:val="0055681D"/>
    <w:rsid w:val="00557734"/>
    <w:rsid w:val="00563E90"/>
    <w:rsid w:val="0056511C"/>
    <w:rsid w:val="00565F6D"/>
    <w:rsid w:val="0058362F"/>
    <w:rsid w:val="0058510C"/>
    <w:rsid w:val="00591E59"/>
    <w:rsid w:val="0059335D"/>
    <w:rsid w:val="00593FE8"/>
    <w:rsid w:val="005960FE"/>
    <w:rsid w:val="005965E3"/>
    <w:rsid w:val="005A62A9"/>
    <w:rsid w:val="005A686A"/>
    <w:rsid w:val="005A768B"/>
    <w:rsid w:val="005B452F"/>
    <w:rsid w:val="005B7240"/>
    <w:rsid w:val="005C4189"/>
    <w:rsid w:val="005D4272"/>
    <w:rsid w:val="005D7468"/>
    <w:rsid w:val="005E1DA9"/>
    <w:rsid w:val="005E56D0"/>
    <w:rsid w:val="005F09F1"/>
    <w:rsid w:val="005F3232"/>
    <w:rsid w:val="005F711C"/>
    <w:rsid w:val="00601F26"/>
    <w:rsid w:val="00610144"/>
    <w:rsid w:val="00614D7C"/>
    <w:rsid w:val="00615C64"/>
    <w:rsid w:val="00615FF6"/>
    <w:rsid w:val="00621022"/>
    <w:rsid w:val="006210D5"/>
    <w:rsid w:val="00621A8E"/>
    <w:rsid w:val="00626394"/>
    <w:rsid w:val="0062796A"/>
    <w:rsid w:val="006329B5"/>
    <w:rsid w:val="00635406"/>
    <w:rsid w:val="00637380"/>
    <w:rsid w:val="0064008E"/>
    <w:rsid w:val="006417FE"/>
    <w:rsid w:val="006427E2"/>
    <w:rsid w:val="00642E9F"/>
    <w:rsid w:val="006435C2"/>
    <w:rsid w:val="006446B9"/>
    <w:rsid w:val="00651B02"/>
    <w:rsid w:val="00654282"/>
    <w:rsid w:val="0065675D"/>
    <w:rsid w:val="0065748E"/>
    <w:rsid w:val="00657E03"/>
    <w:rsid w:val="00663189"/>
    <w:rsid w:val="006637E5"/>
    <w:rsid w:val="006646D8"/>
    <w:rsid w:val="00667B50"/>
    <w:rsid w:val="0067594B"/>
    <w:rsid w:val="00676913"/>
    <w:rsid w:val="0069023C"/>
    <w:rsid w:val="006905BE"/>
    <w:rsid w:val="006908E6"/>
    <w:rsid w:val="00693716"/>
    <w:rsid w:val="006A6E64"/>
    <w:rsid w:val="006B0BCE"/>
    <w:rsid w:val="006B2680"/>
    <w:rsid w:val="006B5914"/>
    <w:rsid w:val="006C004B"/>
    <w:rsid w:val="006C01CC"/>
    <w:rsid w:val="006C3281"/>
    <w:rsid w:val="006C4341"/>
    <w:rsid w:val="006C45F3"/>
    <w:rsid w:val="006C76B0"/>
    <w:rsid w:val="006D11E7"/>
    <w:rsid w:val="006E5832"/>
    <w:rsid w:val="006E5A25"/>
    <w:rsid w:val="006F203B"/>
    <w:rsid w:val="006F3A18"/>
    <w:rsid w:val="006F4A4A"/>
    <w:rsid w:val="006F6427"/>
    <w:rsid w:val="006F7B57"/>
    <w:rsid w:val="00700432"/>
    <w:rsid w:val="00704336"/>
    <w:rsid w:val="00710A61"/>
    <w:rsid w:val="00710ED5"/>
    <w:rsid w:val="007147B5"/>
    <w:rsid w:val="00724324"/>
    <w:rsid w:val="007262DB"/>
    <w:rsid w:val="00730E67"/>
    <w:rsid w:val="00733271"/>
    <w:rsid w:val="00735848"/>
    <w:rsid w:val="00735FFD"/>
    <w:rsid w:val="007375AC"/>
    <w:rsid w:val="0074347B"/>
    <w:rsid w:val="007474E3"/>
    <w:rsid w:val="00761C3D"/>
    <w:rsid w:val="00764304"/>
    <w:rsid w:val="00770E29"/>
    <w:rsid w:val="00775C78"/>
    <w:rsid w:val="00777671"/>
    <w:rsid w:val="007810A4"/>
    <w:rsid w:val="00782148"/>
    <w:rsid w:val="00785D57"/>
    <w:rsid w:val="00787618"/>
    <w:rsid w:val="00793D2D"/>
    <w:rsid w:val="00794999"/>
    <w:rsid w:val="007C4DB5"/>
    <w:rsid w:val="007D2AF7"/>
    <w:rsid w:val="007D64E0"/>
    <w:rsid w:val="007E1C90"/>
    <w:rsid w:val="007E67C9"/>
    <w:rsid w:val="007E71DA"/>
    <w:rsid w:val="007F50D8"/>
    <w:rsid w:val="007F72C9"/>
    <w:rsid w:val="008005B1"/>
    <w:rsid w:val="00803773"/>
    <w:rsid w:val="00824124"/>
    <w:rsid w:val="00826D6B"/>
    <w:rsid w:val="008300B1"/>
    <w:rsid w:val="008341FB"/>
    <w:rsid w:val="00844A89"/>
    <w:rsid w:val="00844E3F"/>
    <w:rsid w:val="00846578"/>
    <w:rsid w:val="008475DC"/>
    <w:rsid w:val="00850062"/>
    <w:rsid w:val="00851E10"/>
    <w:rsid w:val="008520BE"/>
    <w:rsid w:val="00852226"/>
    <w:rsid w:val="0085290D"/>
    <w:rsid w:val="00852D37"/>
    <w:rsid w:val="00853CA6"/>
    <w:rsid w:val="00854784"/>
    <w:rsid w:val="0086728C"/>
    <w:rsid w:val="00874D8C"/>
    <w:rsid w:val="008770A7"/>
    <w:rsid w:val="0088169B"/>
    <w:rsid w:val="00886F92"/>
    <w:rsid w:val="00892B7A"/>
    <w:rsid w:val="00894463"/>
    <w:rsid w:val="0089681C"/>
    <w:rsid w:val="0089731E"/>
    <w:rsid w:val="008A2DF9"/>
    <w:rsid w:val="008A5F8B"/>
    <w:rsid w:val="008B6622"/>
    <w:rsid w:val="008C21DE"/>
    <w:rsid w:val="008C552E"/>
    <w:rsid w:val="008D48E3"/>
    <w:rsid w:val="008D5AAA"/>
    <w:rsid w:val="008E609A"/>
    <w:rsid w:val="008E7D59"/>
    <w:rsid w:val="008F1C12"/>
    <w:rsid w:val="008F219E"/>
    <w:rsid w:val="009005D9"/>
    <w:rsid w:val="009123C0"/>
    <w:rsid w:val="00915BCF"/>
    <w:rsid w:val="0092093D"/>
    <w:rsid w:val="009269D3"/>
    <w:rsid w:val="00931B67"/>
    <w:rsid w:val="0093291B"/>
    <w:rsid w:val="009420C6"/>
    <w:rsid w:val="009565FC"/>
    <w:rsid w:val="0095757B"/>
    <w:rsid w:val="00957C94"/>
    <w:rsid w:val="00961394"/>
    <w:rsid w:val="0097008C"/>
    <w:rsid w:val="00971F12"/>
    <w:rsid w:val="00975FEF"/>
    <w:rsid w:val="00976EEA"/>
    <w:rsid w:val="00982B92"/>
    <w:rsid w:val="00987CCD"/>
    <w:rsid w:val="0099026E"/>
    <w:rsid w:val="00991DF0"/>
    <w:rsid w:val="00994B3E"/>
    <w:rsid w:val="00997BCF"/>
    <w:rsid w:val="009A0995"/>
    <w:rsid w:val="009A2B26"/>
    <w:rsid w:val="009A3C33"/>
    <w:rsid w:val="009A650B"/>
    <w:rsid w:val="009B2EDA"/>
    <w:rsid w:val="009B40D0"/>
    <w:rsid w:val="009B530B"/>
    <w:rsid w:val="009B7002"/>
    <w:rsid w:val="009C3790"/>
    <w:rsid w:val="009C51FB"/>
    <w:rsid w:val="009C7B3C"/>
    <w:rsid w:val="009D09E0"/>
    <w:rsid w:val="009E2B23"/>
    <w:rsid w:val="009E3880"/>
    <w:rsid w:val="009E4968"/>
    <w:rsid w:val="009E549B"/>
    <w:rsid w:val="009F5754"/>
    <w:rsid w:val="00A001E8"/>
    <w:rsid w:val="00A01452"/>
    <w:rsid w:val="00A03D49"/>
    <w:rsid w:val="00A0420F"/>
    <w:rsid w:val="00A140DD"/>
    <w:rsid w:val="00A14FDB"/>
    <w:rsid w:val="00A20634"/>
    <w:rsid w:val="00A20B14"/>
    <w:rsid w:val="00A22BB4"/>
    <w:rsid w:val="00A305EE"/>
    <w:rsid w:val="00A31EAF"/>
    <w:rsid w:val="00A3454C"/>
    <w:rsid w:val="00A34711"/>
    <w:rsid w:val="00A4370E"/>
    <w:rsid w:val="00A446FF"/>
    <w:rsid w:val="00A53AF2"/>
    <w:rsid w:val="00A566C9"/>
    <w:rsid w:val="00A63004"/>
    <w:rsid w:val="00A66ABE"/>
    <w:rsid w:val="00A67201"/>
    <w:rsid w:val="00A71E6D"/>
    <w:rsid w:val="00A72418"/>
    <w:rsid w:val="00A73804"/>
    <w:rsid w:val="00A76D2C"/>
    <w:rsid w:val="00A86628"/>
    <w:rsid w:val="00A87045"/>
    <w:rsid w:val="00A9121C"/>
    <w:rsid w:val="00A91284"/>
    <w:rsid w:val="00AA2F6F"/>
    <w:rsid w:val="00AA41B1"/>
    <w:rsid w:val="00AA7E94"/>
    <w:rsid w:val="00AB4C57"/>
    <w:rsid w:val="00AB5D8B"/>
    <w:rsid w:val="00AC12C5"/>
    <w:rsid w:val="00AC3804"/>
    <w:rsid w:val="00AD0ECF"/>
    <w:rsid w:val="00AD1E9A"/>
    <w:rsid w:val="00AD3C7B"/>
    <w:rsid w:val="00AD4A87"/>
    <w:rsid w:val="00AD6E2A"/>
    <w:rsid w:val="00AD6FCE"/>
    <w:rsid w:val="00AE0555"/>
    <w:rsid w:val="00AE13C0"/>
    <w:rsid w:val="00AE52FA"/>
    <w:rsid w:val="00AF0658"/>
    <w:rsid w:val="00AF0920"/>
    <w:rsid w:val="00AF15B1"/>
    <w:rsid w:val="00AF2327"/>
    <w:rsid w:val="00AF3A3F"/>
    <w:rsid w:val="00AF4509"/>
    <w:rsid w:val="00AF507F"/>
    <w:rsid w:val="00B04038"/>
    <w:rsid w:val="00B154A5"/>
    <w:rsid w:val="00B20C0F"/>
    <w:rsid w:val="00B20C81"/>
    <w:rsid w:val="00B21FB2"/>
    <w:rsid w:val="00B22940"/>
    <w:rsid w:val="00B2337A"/>
    <w:rsid w:val="00B312F5"/>
    <w:rsid w:val="00B31A8F"/>
    <w:rsid w:val="00B338F9"/>
    <w:rsid w:val="00B33E67"/>
    <w:rsid w:val="00B34F37"/>
    <w:rsid w:val="00B361FB"/>
    <w:rsid w:val="00B37833"/>
    <w:rsid w:val="00B4011B"/>
    <w:rsid w:val="00B414B5"/>
    <w:rsid w:val="00B451D7"/>
    <w:rsid w:val="00B459AF"/>
    <w:rsid w:val="00B546A8"/>
    <w:rsid w:val="00B549F1"/>
    <w:rsid w:val="00B566A9"/>
    <w:rsid w:val="00B60DF1"/>
    <w:rsid w:val="00B616A1"/>
    <w:rsid w:val="00B61FC1"/>
    <w:rsid w:val="00B66584"/>
    <w:rsid w:val="00B66EF3"/>
    <w:rsid w:val="00B672E6"/>
    <w:rsid w:val="00B67411"/>
    <w:rsid w:val="00B72521"/>
    <w:rsid w:val="00B729E1"/>
    <w:rsid w:val="00B740AE"/>
    <w:rsid w:val="00B777CF"/>
    <w:rsid w:val="00B8329C"/>
    <w:rsid w:val="00B8512A"/>
    <w:rsid w:val="00B85D28"/>
    <w:rsid w:val="00B86660"/>
    <w:rsid w:val="00B9249B"/>
    <w:rsid w:val="00B92658"/>
    <w:rsid w:val="00B94CDC"/>
    <w:rsid w:val="00BA06C3"/>
    <w:rsid w:val="00BA20D8"/>
    <w:rsid w:val="00BA2FEE"/>
    <w:rsid w:val="00BA31D2"/>
    <w:rsid w:val="00BA75CD"/>
    <w:rsid w:val="00BA788A"/>
    <w:rsid w:val="00BB178F"/>
    <w:rsid w:val="00BC76F2"/>
    <w:rsid w:val="00BC786E"/>
    <w:rsid w:val="00BC7ED9"/>
    <w:rsid w:val="00BD7E9A"/>
    <w:rsid w:val="00BF40C3"/>
    <w:rsid w:val="00BF5669"/>
    <w:rsid w:val="00BF6D1F"/>
    <w:rsid w:val="00BF70AC"/>
    <w:rsid w:val="00C01EBD"/>
    <w:rsid w:val="00C13D80"/>
    <w:rsid w:val="00C175CA"/>
    <w:rsid w:val="00C2045C"/>
    <w:rsid w:val="00C20A6F"/>
    <w:rsid w:val="00C2341D"/>
    <w:rsid w:val="00C35565"/>
    <w:rsid w:val="00C415AF"/>
    <w:rsid w:val="00C42979"/>
    <w:rsid w:val="00C53D86"/>
    <w:rsid w:val="00C6157E"/>
    <w:rsid w:val="00C6356D"/>
    <w:rsid w:val="00C7099A"/>
    <w:rsid w:val="00C71FAB"/>
    <w:rsid w:val="00C74347"/>
    <w:rsid w:val="00C81C71"/>
    <w:rsid w:val="00C84892"/>
    <w:rsid w:val="00C9491C"/>
    <w:rsid w:val="00C96A8A"/>
    <w:rsid w:val="00C973B5"/>
    <w:rsid w:val="00CA28CE"/>
    <w:rsid w:val="00CA4315"/>
    <w:rsid w:val="00CA55E8"/>
    <w:rsid w:val="00CB1E47"/>
    <w:rsid w:val="00CB372D"/>
    <w:rsid w:val="00CB42C3"/>
    <w:rsid w:val="00CC1F35"/>
    <w:rsid w:val="00CC27C8"/>
    <w:rsid w:val="00CC299C"/>
    <w:rsid w:val="00CC5B3A"/>
    <w:rsid w:val="00CC780E"/>
    <w:rsid w:val="00CD17BC"/>
    <w:rsid w:val="00CD3041"/>
    <w:rsid w:val="00CD3970"/>
    <w:rsid w:val="00CE16BD"/>
    <w:rsid w:val="00CE605E"/>
    <w:rsid w:val="00CF1F8C"/>
    <w:rsid w:val="00CF6110"/>
    <w:rsid w:val="00D14C5B"/>
    <w:rsid w:val="00D22C6A"/>
    <w:rsid w:val="00D25149"/>
    <w:rsid w:val="00D25474"/>
    <w:rsid w:val="00D27607"/>
    <w:rsid w:val="00D30D8F"/>
    <w:rsid w:val="00D31249"/>
    <w:rsid w:val="00D346B9"/>
    <w:rsid w:val="00D45324"/>
    <w:rsid w:val="00D46386"/>
    <w:rsid w:val="00D50A25"/>
    <w:rsid w:val="00D51723"/>
    <w:rsid w:val="00D73697"/>
    <w:rsid w:val="00D7637A"/>
    <w:rsid w:val="00D764A4"/>
    <w:rsid w:val="00D8032D"/>
    <w:rsid w:val="00D82F0E"/>
    <w:rsid w:val="00D84DA0"/>
    <w:rsid w:val="00D974A5"/>
    <w:rsid w:val="00D97771"/>
    <w:rsid w:val="00DA27F0"/>
    <w:rsid w:val="00DB097D"/>
    <w:rsid w:val="00DB0A79"/>
    <w:rsid w:val="00DB5445"/>
    <w:rsid w:val="00DB7B03"/>
    <w:rsid w:val="00DC23A6"/>
    <w:rsid w:val="00DC30FC"/>
    <w:rsid w:val="00DC4B31"/>
    <w:rsid w:val="00DC4C3C"/>
    <w:rsid w:val="00DC5FBC"/>
    <w:rsid w:val="00DD35DB"/>
    <w:rsid w:val="00DE0CAF"/>
    <w:rsid w:val="00DE2491"/>
    <w:rsid w:val="00DE312B"/>
    <w:rsid w:val="00DF1C8A"/>
    <w:rsid w:val="00DF1DE5"/>
    <w:rsid w:val="00DF596B"/>
    <w:rsid w:val="00E01AAD"/>
    <w:rsid w:val="00E12AC2"/>
    <w:rsid w:val="00E155E1"/>
    <w:rsid w:val="00E15730"/>
    <w:rsid w:val="00E22EA2"/>
    <w:rsid w:val="00E26800"/>
    <w:rsid w:val="00E27A2D"/>
    <w:rsid w:val="00E302A1"/>
    <w:rsid w:val="00E30DC9"/>
    <w:rsid w:val="00E32CEA"/>
    <w:rsid w:val="00E37ACC"/>
    <w:rsid w:val="00E411A9"/>
    <w:rsid w:val="00E4358B"/>
    <w:rsid w:val="00E45150"/>
    <w:rsid w:val="00E45BC6"/>
    <w:rsid w:val="00E4642D"/>
    <w:rsid w:val="00E56A2A"/>
    <w:rsid w:val="00E5768C"/>
    <w:rsid w:val="00E60A74"/>
    <w:rsid w:val="00E61FEF"/>
    <w:rsid w:val="00E63F7A"/>
    <w:rsid w:val="00E65097"/>
    <w:rsid w:val="00E65D7F"/>
    <w:rsid w:val="00E72CF3"/>
    <w:rsid w:val="00E74212"/>
    <w:rsid w:val="00E758BE"/>
    <w:rsid w:val="00E80031"/>
    <w:rsid w:val="00E80967"/>
    <w:rsid w:val="00E80EB6"/>
    <w:rsid w:val="00E8106C"/>
    <w:rsid w:val="00E81B45"/>
    <w:rsid w:val="00E83B0F"/>
    <w:rsid w:val="00E8431F"/>
    <w:rsid w:val="00E90DC1"/>
    <w:rsid w:val="00E92987"/>
    <w:rsid w:val="00E950D2"/>
    <w:rsid w:val="00EA0170"/>
    <w:rsid w:val="00EA1A6B"/>
    <w:rsid w:val="00EA4F89"/>
    <w:rsid w:val="00EB5966"/>
    <w:rsid w:val="00EC40A6"/>
    <w:rsid w:val="00EC56C7"/>
    <w:rsid w:val="00EE0841"/>
    <w:rsid w:val="00EE6257"/>
    <w:rsid w:val="00EE68EA"/>
    <w:rsid w:val="00EF7E87"/>
    <w:rsid w:val="00F0153B"/>
    <w:rsid w:val="00F0303C"/>
    <w:rsid w:val="00F04B9A"/>
    <w:rsid w:val="00F11A4A"/>
    <w:rsid w:val="00F14039"/>
    <w:rsid w:val="00F15B39"/>
    <w:rsid w:val="00F1786E"/>
    <w:rsid w:val="00F178E9"/>
    <w:rsid w:val="00F229FB"/>
    <w:rsid w:val="00F22F9B"/>
    <w:rsid w:val="00F24951"/>
    <w:rsid w:val="00F24C05"/>
    <w:rsid w:val="00F26462"/>
    <w:rsid w:val="00F26997"/>
    <w:rsid w:val="00F31B5E"/>
    <w:rsid w:val="00F37A52"/>
    <w:rsid w:val="00F41726"/>
    <w:rsid w:val="00F41F43"/>
    <w:rsid w:val="00F44F35"/>
    <w:rsid w:val="00F55EA2"/>
    <w:rsid w:val="00F56BE0"/>
    <w:rsid w:val="00F602D2"/>
    <w:rsid w:val="00F609DB"/>
    <w:rsid w:val="00F61229"/>
    <w:rsid w:val="00F615B3"/>
    <w:rsid w:val="00F62FB4"/>
    <w:rsid w:val="00F64CE5"/>
    <w:rsid w:val="00F676C2"/>
    <w:rsid w:val="00F72338"/>
    <w:rsid w:val="00F81051"/>
    <w:rsid w:val="00F84273"/>
    <w:rsid w:val="00F90F86"/>
    <w:rsid w:val="00F9706B"/>
    <w:rsid w:val="00FA1C1B"/>
    <w:rsid w:val="00FB3FF2"/>
    <w:rsid w:val="00FB480A"/>
    <w:rsid w:val="00FC129D"/>
    <w:rsid w:val="00FC2544"/>
    <w:rsid w:val="00FC32CC"/>
    <w:rsid w:val="00FC63E3"/>
    <w:rsid w:val="00FD3E88"/>
    <w:rsid w:val="00FD5FE0"/>
    <w:rsid w:val="00FE1194"/>
    <w:rsid w:val="00FE58D6"/>
    <w:rsid w:val="00FF00F0"/>
    <w:rsid w:val="00FF01BB"/>
    <w:rsid w:val="00FF2A5B"/>
    <w:rsid w:val="00FF5302"/>
    <w:rsid w:val="010333FC"/>
    <w:rsid w:val="01D7751B"/>
    <w:rsid w:val="02A1111E"/>
    <w:rsid w:val="02F05C02"/>
    <w:rsid w:val="032F04D8"/>
    <w:rsid w:val="03525F75"/>
    <w:rsid w:val="03CC21CB"/>
    <w:rsid w:val="03CC3F79"/>
    <w:rsid w:val="049F168E"/>
    <w:rsid w:val="05036F86"/>
    <w:rsid w:val="053B7608"/>
    <w:rsid w:val="05CB200E"/>
    <w:rsid w:val="05EA4B8A"/>
    <w:rsid w:val="06B55198"/>
    <w:rsid w:val="075229E7"/>
    <w:rsid w:val="0754675F"/>
    <w:rsid w:val="07E55609"/>
    <w:rsid w:val="0837398B"/>
    <w:rsid w:val="08A059D4"/>
    <w:rsid w:val="091F4B4B"/>
    <w:rsid w:val="09727371"/>
    <w:rsid w:val="09ED2377"/>
    <w:rsid w:val="09ED69F7"/>
    <w:rsid w:val="0A4F76B2"/>
    <w:rsid w:val="0A84735B"/>
    <w:rsid w:val="0B7218AA"/>
    <w:rsid w:val="0BA34BEB"/>
    <w:rsid w:val="0BB377CC"/>
    <w:rsid w:val="0CC71781"/>
    <w:rsid w:val="0CDF4D1D"/>
    <w:rsid w:val="0D074274"/>
    <w:rsid w:val="0D4B23B2"/>
    <w:rsid w:val="0D935B07"/>
    <w:rsid w:val="0DDD6D83"/>
    <w:rsid w:val="0DF26CD2"/>
    <w:rsid w:val="0E1327A4"/>
    <w:rsid w:val="0EC046DA"/>
    <w:rsid w:val="0F334EAC"/>
    <w:rsid w:val="0F753717"/>
    <w:rsid w:val="1074577C"/>
    <w:rsid w:val="108F0808"/>
    <w:rsid w:val="114710E3"/>
    <w:rsid w:val="117B6FDE"/>
    <w:rsid w:val="1218482D"/>
    <w:rsid w:val="122E4051"/>
    <w:rsid w:val="125910CE"/>
    <w:rsid w:val="12696E37"/>
    <w:rsid w:val="130A686C"/>
    <w:rsid w:val="138A52B7"/>
    <w:rsid w:val="143D057B"/>
    <w:rsid w:val="14A10B0A"/>
    <w:rsid w:val="150115A9"/>
    <w:rsid w:val="1525798D"/>
    <w:rsid w:val="15FB06EE"/>
    <w:rsid w:val="17123F41"/>
    <w:rsid w:val="172370CE"/>
    <w:rsid w:val="17377504"/>
    <w:rsid w:val="17C31945"/>
    <w:rsid w:val="17CC0594"/>
    <w:rsid w:val="185D2F9A"/>
    <w:rsid w:val="18A24E51"/>
    <w:rsid w:val="192A37C4"/>
    <w:rsid w:val="19526877"/>
    <w:rsid w:val="195A572B"/>
    <w:rsid w:val="19B27315"/>
    <w:rsid w:val="19B653F5"/>
    <w:rsid w:val="19CD414F"/>
    <w:rsid w:val="1A530AF8"/>
    <w:rsid w:val="1A5F749D"/>
    <w:rsid w:val="1AD559B1"/>
    <w:rsid w:val="1AF000F5"/>
    <w:rsid w:val="1AF75928"/>
    <w:rsid w:val="1AF8344E"/>
    <w:rsid w:val="1B9E5DA3"/>
    <w:rsid w:val="1BB27AA1"/>
    <w:rsid w:val="1BB83309"/>
    <w:rsid w:val="1BB92BDD"/>
    <w:rsid w:val="1BEF65FF"/>
    <w:rsid w:val="1C0C5403"/>
    <w:rsid w:val="1CB810E7"/>
    <w:rsid w:val="1CD87093"/>
    <w:rsid w:val="1D9C4564"/>
    <w:rsid w:val="1DB00010"/>
    <w:rsid w:val="1DED6B6E"/>
    <w:rsid w:val="1E566E09"/>
    <w:rsid w:val="1EBF675C"/>
    <w:rsid w:val="1EC41FC5"/>
    <w:rsid w:val="1ED3045A"/>
    <w:rsid w:val="1F2B2044"/>
    <w:rsid w:val="1F354C71"/>
    <w:rsid w:val="1F5350F7"/>
    <w:rsid w:val="1FA31BDA"/>
    <w:rsid w:val="1FA45952"/>
    <w:rsid w:val="1FAD0CAB"/>
    <w:rsid w:val="1FCD4EA9"/>
    <w:rsid w:val="20174376"/>
    <w:rsid w:val="214116AB"/>
    <w:rsid w:val="215238B8"/>
    <w:rsid w:val="21611D4D"/>
    <w:rsid w:val="21C10A3D"/>
    <w:rsid w:val="2221772E"/>
    <w:rsid w:val="222D1C2F"/>
    <w:rsid w:val="223B434C"/>
    <w:rsid w:val="22637002"/>
    <w:rsid w:val="227710FC"/>
    <w:rsid w:val="22883309"/>
    <w:rsid w:val="22E26EBD"/>
    <w:rsid w:val="234E00AF"/>
    <w:rsid w:val="23A221A9"/>
    <w:rsid w:val="248144B4"/>
    <w:rsid w:val="24C22B02"/>
    <w:rsid w:val="2521057B"/>
    <w:rsid w:val="25916979"/>
    <w:rsid w:val="25A22934"/>
    <w:rsid w:val="261849A4"/>
    <w:rsid w:val="262275D1"/>
    <w:rsid w:val="265579A6"/>
    <w:rsid w:val="265A4FBD"/>
    <w:rsid w:val="26606A77"/>
    <w:rsid w:val="269229A8"/>
    <w:rsid w:val="26E1123A"/>
    <w:rsid w:val="26EA4592"/>
    <w:rsid w:val="26EF3957"/>
    <w:rsid w:val="272C0707"/>
    <w:rsid w:val="275A34C6"/>
    <w:rsid w:val="279D7857"/>
    <w:rsid w:val="27BD1CA7"/>
    <w:rsid w:val="27BF3329"/>
    <w:rsid w:val="27E40FE2"/>
    <w:rsid w:val="283A6E54"/>
    <w:rsid w:val="28920A3E"/>
    <w:rsid w:val="28DC7F0B"/>
    <w:rsid w:val="29127DD1"/>
    <w:rsid w:val="29791BFE"/>
    <w:rsid w:val="29A924E3"/>
    <w:rsid w:val="29B449E4"/>
    <w:rsid w:val="29DB01C2"/>
    <w:rsid w:val="2A007C29"/>
    <w:rsid w:val="2A063491"/>
    <w:rsid w:val="2A5F0DF4"/>
    <w:rsid w:val="2B1020EE"/>
    <w:rsid w:val="2BA72A52"/>
    <w:rsid w:val="2BC13FBA"/>
    <w:rsid w:val="2CC66F08"/>
    <w:rsid w:val="2DB41456"/>
    <w:rsid w:val="2DCF7851"/>
    <w:rsid w:val="2E642E7C"/>
    <w:rsid w:val="2F520F27"/>
    <w:rsid w:val="2F650C5A"/>
    <w:rsid w:val="301B57BD"/>
    <w:rsid w:val="30DA11D4"/>
    <w:rsid w:val="3106021B"/>
    <w:rsid w:val="31102E48"/>
    <w:rsid w:val="31456F95"/>
    <w:rsid w:val="322546D1"/>
    <w:rsid w:val="325356E2"/>
    <w:rsid w:val="326F3B9E"/>
    <w:rsid w:val="32A55811"/>
    <w:rsid w:val="32B85545"/>
    <w:rsid w:val="338B4A07"/>
    <w:rsid w:val="33A61841"/>
    <w:rsid w:val="34190265"/>
    <w:rsid w:val="34796F56"/>
    <w:rsid w:val="349D0E96"/>
    <w:rsid w:val="34B8182C"/>
    <w:rsid w:val="355377A7"/>
    <w:rsid w:val="36D3294D"/>
    <w:rsid w:val="37EE37B7"/>
    <w:rsid w:val="38093F6A"/>
    <w:rsid w:val="38174ABC"/>
    <w:rsid w:val="38A547BD"/>
    <w:rsid w:val="39131727"/>
    <w:rsid w:val="39A14F85"/>
    <w:rsid w:val="3A8F74D3"/>
    <w:rsid w:val="3B005CDB"/>
    <w:rsid w:val="3B194FEF"/>
    <w:rsid w:val="3B3F4A55"/>
    <w:rsid w:val="3B457B92"/>
    <w:rsid w:val="3B64270E"/>
    <w:rsid w:val="3C6F3118"/>
    <w:rsid w:val="3CEC4769"/>
    <w:rsid w:val="3D580050"/>
    <w:rsid w:val="3D85696B"/>
    <w:rsid w:val="3D9F17DB"/>
    <w:rsid w:val="3E5E3444"/>
    <w:rsid w:val="3EB5502E"/>
    <w:rsid w:val="3F19380F"/>
    <w:rsid w:val="3F454604"/>
    <w:rsid w:val="3FA07A8C"/>
    <w:rsid w:val="3FD00372"/>
    <w:rsid w:val="3FFA644F"/>
    <w:rsid w:val="400C5122"/>
    <w:rsid w:val="40273D0A"/>
    <w:rsid w:val="40B97058"/>
    <w:rsid w:val="40E35E83"/>
    <w:rsid w:val="411E335F"/>
    <w:rsid w:val="41670862"/>
    <w:rsid w:val="417C1E33"/>
    <w:rsid w:val="41886A2A"/>
    <w:rsid w:val="41C061C4"/>
    <w:rsid w:val="41DB2FFE"/>
    <w:rsid w:val="42770F78"/>
    <w:rsid w:val="42925DB2"/>
    <w:rsid w:val="43754D8C"/>
    <w:rsid w:val="43C024AB"/>
    <w:rsid w:val="441427F7"/>
    <w:rsid w:val="441822E7"/>
    <w:rsid w:val="448259B3"/>
    <w:rsid w:val="44B738AE"/>
    <w:rsid w:val="45097E82"/>
    <w:rsid w:val="45603F46"/>
    <w:rsid w:val="45790B64"/>
    <w:rsid w:val="45F91CA4"/>
    <w:rsid w:val="481728B6"/>
    <w:rsid w:val="48912668"/>
    <w:rsid w:val="48B819A3"/>
    <w:rsid w:val="48E629B4"/>
    <w:rsid w:val="49AD34D2"/>
    <w:rsid w:val="4A2C2648"/>
    <w:rsid w:val="4A5003B0"/>
    <w:rsid w:val="4ADA6548"/>
    <w:rsid w:val="4C5B0FC3"/>
    <w:rsid w:val="4C8D3147"/>
    <w:rsid w:val="4CFA6A2E"/>
    <w:rsid w:val="4D844549"/>
    <w:rsid w:val="4DB0533F"/>
    <w:rsid w:val="4DBE3EFF"/>
    <w:rsid w:val="4DD51249"/>
    <w:rsid w:val="4E127DA7"/>
    <w:rsid w:val="4E7740AE"/>
    <w:rsid w:val="4EA330F5"/>
    <w:rsid w:val="4EA34EA3"/>
    <w:rsid w:val="4F204746"/>
    <w:rsid w:val="4F5F701C"/>
    <w:rsid w:val="4F730D1A"/>
    <w:rsid w:val="4FE6773D"/>
    <w:rsid w:val="508A00C9"/>
    <w:rsid w:val="509C7DFC"/>
    <w:rsid w:val="50BE5FC4"/>
    <w:rsid w:val="50EA500B"/>
    <w:rsid w:val="51273B6A"/>
    <w:rsid w:val="512F2A1E"/>
    <w:rsid w:val="51475FBA"/>
    <w:rsid w:val="51C25640"/>
    <w:rsid w:val="51CC64BF"/>
    <w:rsid w:val="52F1442F"/>
    <w:rsid w:val="53185E60"/>
    <w:rsid w:val="534A1D91"/>
    <w:rsid w:val="536E5A80"/>
    <w:rsid w:val="53AC47FA"/>
    <w:rsid w:val="54B75204"/>
    <w:rsid w:val="54CF07A0"/>
    <w:rsid w:val="55434CEA"/>
    <w:rsid w:val="554A42CB"/>
    <w:rsid w:val="55C220B3"/>
    <w:rsid w:val="55D87B28"/>
    <w:rsid w:val="55E42029"/>
    <w:rsid w:val="56C41E5B"/>
    <w:rsid w:val="582B2191"/>
    <w:rsid w:val="585A5481"/>
    <w:rsid w:val="58FE78A6"/>
    <w:rsid w:val="59B12B6A"/>
    <w:rsid w:val="59BB7545"/>
    <w:rsid w:val="59C12681"/>
    <w:rsid w:val="59C75EEA"/>
    <w:rsid w:val="5A056A12"/>
    <w:rsid w:val="5A0E1D6B"/>
    <w:rsid w:val="5A1804F3"/>
    <w:rsid w:val="5A6F20DD"/>
    <w:rsid w:val="5A7122F9"/>
    <w:rsid w:val="5AE1122D"/>
    <w:rsid w:val="5AED7BD2"/>
    <w:rsid w:val="5BCB77E7"/>
    <w:rsid w:val="5BD62414"/>
    <w:rsid w:val="5C515F3F"/>
    <w:rsid w:val="5C6E4D42"/>
    <w:rsid w:val="5CCE57E1"/>
    <w:rsid w:val="5CF039A9"/>
    <w:rsid w:val="5CFF3C00"/>
    <w:rsid w:val="5D1F428F"/>
    <w:rsid w:val="5D7C523D"/>
    <w:rsid w:val="5DB26EB1"/>
    <w:rsid w:val="5DE52DE2"/>
    <w:rsid w:val="5DFC1EDA"/>
    <w:rsid w:val="5E6E102A"/>
    <w:rsid w:val="5EAC56AE"/>
    <w:rsid w:val="5F025C16"/>
    <w:rsid w:val="5FDE21DF"/>
    <w:rsid w:val="5FF13CC0"/>
    <w:rsid w:val="60123C37"/>
    <w:rsid w:val="60206354"/>
    <w:rsid w:val="607C7302"/>
    <w:rsid w:val="60A26D69"/>
    <w:rsid w:val="60B30F76"/>
    <w:rsid w:val="61783F6D"/>
    <w:rsid w:val="61C64CD9"/>
    <w:rsid w:val="61E41603"/>
    <w:rsid w:val="626A1B08"/>
    <w:rsid w:val="62A3326C"/>
    <w:rsid w:val="62A74B0A"/>
    <w:rsid w:val="637F5A87"/>
    <w:rsid w:val="63892462"/>
    <w:rsid w:val="63DF6526"/>
    <w:rsid w:val="63E853DA"/>
    <w:rsid w:val="63F7386F"/>
    <w:rsid w:val="64572560"/>
    <w:rsid w:val="647924D6"/>
    <w:rsid w:val="653603C7"/>
    <w:rsid w:val="653B778C"/>
    <w:rsid w:val="66081D64"/>
    <w:rsid w:val="66560D21"/>
    <w:rsid w:val="66F26570"/>
    <w:rsid w:val="670F2C7E"/>
    <w:rsid w:val="67424E02"/>
    <w:rsid w:val="679D472E"/>
    <w:rsid w:val="67C021CA"/>
    <w:rsid w:val="67C301C7"/>
    <w:rsid w:val="67D85766"/>
    <w:rsid w:val="67E10ABE"/>
    <w:rsid w:val="67EE31DB"/>
    <w:rsid w:val="69A91168"/>
    <w:rsid w:val="6A0665BA"/>
    <w:rsid w:val="6A2B4273"/>
    <w:rsid w:val="6A6432E1"/>
    <w:rsid w:val="6A9040D6"/>
    <w:rsid w:val="6B016D82"/>
    <w:rsid w:val="6C376EFF"/>
    <w:rsid w:val="6CC30793"/>
    <w:rsid w:val="6CD81D64"/>
    <w:rsid w:val="6DB63E53"/>
    <w:rsid w:val="6DEF3809"/>
    <w:rsid w:val="6E8403F6"/>
    <w:rsid w:val="6EAB5982"/>
    <w:rsid w:val="6EB103E2"/>
    <w:rsid w:val="6EF03395"/>
    <w:rsid w:val="6F2968A7"/>
    <w:rsid w:val="6F35524C"/>
    <w:rsid w:val="6F481423"/>
    <w:rsid w:val="6F563B40"/>
    <w:rsid w:val="6F6A1399"/>
    <w:rsid w:val="6F912DCA"/>
    <w:rsid w:val="6FAF4FFE"/>
    <w:rsid w:val="6FE4739E"/>
    <w:rsid w:val="70141305"/>
    <w:rsid w:val="705D2CAC"/>
    <w:rsid w:val="706109EE"/>
    <w:rsid w:val="70F96E79"/>
    <w:rsid w:val="71551BD5"/>
    <w:rsid w:val="72895FDA"/>
    <w:rsid w:val="72B172DF"/>
    <w:rsid w:val="72EE22E1"/>
    <w:rsid w:val="73133AF6"/>
    <w:rsid w:val="73171838"/>
    <w:rsid w:val="73410663"/>
    <w:rsid w:val="737427E7"/>
    <w:rsid w:val="738844E4"/>
    <w:rsid w:val="73922C6D"/>
    <w:rsid w:val="74B135C7"/>
    <w:rsid w:val="765863F0"/>
    <w:rsid w:val="76DD68F5"/>
    <w:rsid w:val="77253DF8"/>
    <w:rsid w:val="773D55E5"/>
    <w:rsid w:val="77BE6726"/>
    <w:rsid w:val="788E2ADA"/>
    <w:rsid w:val="790A14F7"/>
    <w:rsid w:val="793B7903"/>
    <w:rsid w:val="797352EE"/>
    <w:rsid w:val="7A5D61CF"/>
    <w:rsid w:val="7A5F5873"/>
    <w:rsid w:val="7A6F1F5A"/>
    <w:rsid w:val="7AA02113"/>
    <w:rsid w:val="7AD4000F"/>
    <w:rsid w:val="7AE85868"/>
    <w:rsid w:val="7B476A33"/>
    <w:rsid w:val="7B9003DA"/>
    <w:rsid w:val="7BA21EBB"/>
    <w:rsid w:val="7C1C1C6D"/>
    <w:rsid w:val="7C9E08D4"/>
    <w:rsid w:val="7D07647A"/>
    <w:rsid w:val="7D4476CE"/>
    <w:rsid w:val="7DA57A41"/>
    <w:rsid w:val="7DEE13E8"/>
    <w:rsid w:val="7DFF53A3"/>
    <w:rsid w:val="7E1075B0"/>
    <w:rsid w:val="7E447259"/>
    <w:rsid w:val="7E751B09"/>
    <w:rsid w:val="7EC34622"/>
    <w:rsid w:val="7F531E4A"/>
    <w:rsid w:val="7FA2692E"/>
    <w:rsid w:val="7FB328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ody Text Indent"/>
    <w:basedOn w:val="1"/>
    <w:link w:val="14"/>
    <w:qFormat/>
    <w:uiPriority w:val="0"/>
    <w:pPr>
      <w:spacing w:line="240" w:lineRule="exact"/>
      <w:ind w:left="1050" w:leftChars="500"/>
    </w:pPr>
    <w:rPr>
      <w:rFonts w:ascii="Times New Roman" w:hAnsi="Times New Roman" w:eastAsia="宋体" w:cs="Times New Roman"/>
      <w:sz w:val="18"/>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6"/>
    <w:qFormat/>
    <w:uiPriority w:val="0"/>
    <w:rPr>
      <w:b/>
      <w:bCs/>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annotation reference"/>
    <w:basedOn w:val="9"/>
    <w:qFormat/>
    <w:uiPriority w:val="0"/>
    <w:rPr>
      <w:sz w:val="21"/>
      <w:szCs w:val="21"/>
    </w:rPr>
  </w:style>
  <w:style w:type="character" w:customStyle="1" w:styleId="11">
    <w:name w:val="页眉 Char"/>
    <w:basedOn w:val="9"/>
    <w:link w:val="5"/>
    <w:qFormat/>
    <w:uiPriority w:val="0"/>
    <w:rPr>
      <w:rFonts w:asciiTheme="minorHAnsi" w:hAnsiTheme="minorHAnsi" w:eastAsiaTheme="minorEastAsia" w:cstheme="minorBidi"/>
      <w:kern w:val="2"/>
      <w:sz w:val="18"/>
      <w:szCs w:val="18"/>
    </w:rPr>
  </w:style>
  <w:style w:type="character" w:customStyle="1" w:styleId="12">
    <w:name w:val="页脚 Char"/>
    <w:basedOn w:val="9"/>
    <w:link w:val="4"/>
    <w:qFormat/>
    <w:uiPriority w:val="99"/>
    <w:rPr>
      <w:rFonts w:asciiTheme="minorHAnsi" w:hAnsiTheme="minorHAnsi" w:eastAsiaTheme="minorEastAsia" w:cstheme="minorBidi"/>
      <w:kern w:val="2"/>
      <w:sz w:val="18"/>
      <w:szCs w:val="18"/>
    </w:rPr>
  </w:style>
  <w:style w:type="paragraph" w:styleId="13">
    <w:name w:val="List Paragraph"/>
    <w:basedOn w:val="1"/>
    <w:qFormat/>
    <w:uiPriority w:val="99"/>
    <w:pPr>
      <w:ind w:firstLine="420" w:firstLineChars="200"/>
    </w:pPr>
  </w:style>
  <w:style w:type="character" w:customStyle="1" w:styleId="14">
    <w:name w:val="正文文本缩进 Char"/>
    <w:basedOn w:val="9"/>
    <w:link w:val="3"/>
    <w:qFormat/>
    <w:uiPriority w:val="0"/>
    <w:rPr>
      <w:kern w:val="2"/>
      <w:sz w:val="18"/>
      <w:szCs w:val="24"/>
    </w:rPr>
  </w:style>
  <w:style w:type="character" w:customStyle="1" w:styleId="15">
    <w:name w:val="批注文字 Char"/>
    <w:basedOn w:val="9"/>
    <w:link w:val="2"/>
    <w:qFormat/>
    <w:uiPriority w:val="0"/>
    <w:rPr>
      <w:rFonts w:asciiTheme="minorHAnsi" w:hAnsiTheme="minorHAnsi" w:eastAsiaTheme="minorEastAsia" w:cstheme="minorBidi"/>
      <w:kern w:val="2"/>
      <w:sz w:val="21"/>
      <w:szCs w:val="24"/>
    </w:rPr>
  </w:style>
  <w:style w:type="character" w:customStyle="1" w:styleId="16">
    <w:name w:val="批注主题 Char"/>
    <w:basedOn w:val="15"/>
    <w:link w:val="6"/>
    <w:qFormat/>
    <w:uiPriority w:val="0"/>
    <w:rPr>
      <w:rFonts w:asciiTheme="minorHAnsi" w:hAnsiTheme="minorHAnsi" w:eastAsiaTheme="minorEastAsia" w:cstheme="minorBidi"/>
      <w:b/>
      <w:bCs/>
      <w:kern w:val="2"/>
      <w:sz w:val="21"/>
      <w:szCs w:val="24"/>
    </w:rPr>
  </w:style>
  <w:style w:type="paragraph" w:customStyle="1" w:styleId="17">
    <w:name w:val="修订1"/>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980CC7-838D-422C-B036-B8F2C0B4940C}">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11</Pages>
  <Words>5642</Words>
  <Characters>6971</Characters>
  <Lines>51</Lines>
  <Paragraphs>14</Paragraphs>
  <TotalTime>3</TotalTime>
  <ScaleCrop>false</ScaleCrop>
  <LinksUpToDate>false</LinksUpToDate>
  <CharactersWithSpaces>6977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2024-10-31T02:13:00Z</dcterms:created>
  <dc:creator>Dumpling</dc:creator>
  <cp:lastModifiedBy>出岫</cp:lastModifiedBy>
  <cp:lastPrinted>2025-10-31T03:45:00Z</cp:lastPrinted>
  <dcterms:modified xsi:type="dcterms:W3CDTF">2025-11-05T00:52:02Z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DBDAA557E3AB4E19815F85778EA03EFE</vt:lpwstr>
  </property>
  <property fmtid="{D5CDD505-2E9C-101B-9397-08002B2CF9AE}" pid="4" name="KSOTemplateDocerSaveRecord">
    <vt:lpwstr>eyJoZGlkIjoiNDBlMTk3MWMyYTJhM2JiZWEwODcyNGRhNWQyMDM4MmIiLCJ1c2VySWQiOiI2MTIxNDE5OTUifQ==</vt:lpwstr>
  </property>
</Properties>
</file>