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360" w:lineRule="auto"/>
        <w:rPr>
          <w:rFonts w:ascii="方正小标宋简体" w:hAnsi="方正小标宋简体" w:eastAsia="方正小标宋简体" w:cs="方正小标宋简体"/>
          <w:b/>
          <w:bCs/>
          <w:sz w:val="44"/>
          <w:szCs w:val="44"/>
          <w:lang w:val="en-US" w:eastAsia="zh-CN"/>
        </w:rPr>
      </w:pPr>
      <w:bookmarkStart w:id="46" w:name="_GoBack"/>
      <w:bookmarkEnd w:id="46"/>
      <w:bookmarkStart w:id="0" w:name="bookmark0"/>
      <w:bookmarkStart w:id="1" w:name="bookmark1"/>
      <w:bookmarkStart w:id="2" w:name="bookmark2"/>
    </w:p>
    <w:p>
      <w:pPr>
        <w:pStyle w:val="11"/>
        <w:keepNext/>
        <w:keepLines/>
        <w:spacing w:before="0" w:after="0" w:line="360" w:lineRule="auto"/>
        <w:rPr>
          <w:rFonts w:ascii="方正小标宋简体" w:hAnsi="方正小标宋简体" w:eastAsia="方正小标宋简体" w:cs="方正小标宋简体"/>
          <w:b/>
          <w:bCs/>
          <w:sz w:val="44"/>
          <w:szCs w:val="44"/>
          <w:lang w:val="en-US" w:eastAsia="zh-CN"/>
        </w:rPr>
      </w:pPr>
    </w:p>
    <w:p>
      <w:pPr>
        <w:pStyle w:val="11"/>
        <w:keepNext/>
        <w:keepLines/>
        <w:spacing w:before="0" w:after="0" w:line="360" w:lineRule="auto"/>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东环街</w:t>
      </w:r>
      <w:r>
        <w:rPr>
          <w:rFonts w:hint="eastAsia" w:ascii="方正小标宋简体" w:hAnsi="方正小标宋简体" w:eastAsia="方正小标宋简体" w:cs="方正小标宋简体"/>
          <w:b/>
          <w:bCs/>
          <w:sz w:val="44"/>
          <w:szCs w:val="44"/>
          <w:lang w:val="en-US"/>
        </w:rPr>
        <w:t>社工</w:t>
      </w:r>
      <w:r>
        <w:rPr>
          <w:rFonts w:hint="eastAsia" w:ascii="方正小标宋简体" w:hAnsi="方正小标宋简体" w:eastAsia="方正小标宋简体" w:cs="方正小标宋简体"/>
          <w:b/>
          <w:bCs/>
          <w:sz w:val="44"/>
          <w:szCs w:val="44"/>
        </w:rPr>
        <w:t>服务站</w:t>
      </w:r>
      <w:r>
        <w:rPr>
          <w:rFonts w:hint="eastAsia" w:ascii="方正小标宋简体" w:hAnsi="方正小标宋简体" w:eastAsia="方正小标宋简体" w:cs="方正小标宋简体"/>
          <w:b/>
          <w:bCs/>
          <w:sz w:val="44"/>
          <w:szCs w:val="44"/>
          <w:lang w:eastAsia="zh-CN"/>
        </w:rPr>
        <w:t>中期</w:t>
      </w:r>
      <w:r>
        <w:rPr>
          <w:rFonts w:hint="eastAsia" w:ascii="方正小标宋简体" w:hAnsi="方正小标宋简体" w:eastAsia="方正小标宋简体" w:cs="方正小标宋简体"/>
          <w:b/>
          <w:bCs/>
          <w:sz w:val="44"/>
          <w:szCs w:val="44"/>
        </w:rPr>
        <w:t>评估报告</w:t>
      </w:r>
      <w:bookmarkEnd w:id="0"/>
      <w:bookmarkEnd w:id="1"/>
      <w:bookmarkEnd w:id="2"/>
    </w:p>
    <w:p>
      <w:pPr>
        <w:pStyle w:val="11"/>
        <w:keepNext/>
        <w:keepLines/>
        <w:spacing w:before="0" w:after="0" w:line="360" w:lineRule="auto"/>
        <w:rPr>
          <w:rFonts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2025年3月27日—2026年3月26日</w:t>
      </w:r>
      <w:r>
        <w:rPr>
          <w:rFonts w:hint="eastAsia" w:ascii="方正小标宋简体" w:hAnsi="方正小标宋简体" w:eastAsia="方正小标宋简体" w:cs="方正小标宋简体"/>
          <w:b/>
          <w:bCs/>
          <w:sz w:val="44"/>
          <w:szCs w:val="44"/>
          <w:lang w:eastAsia="zh-CN"/>
        </w:rPr>
        <w:t>）</w:t>
      </w:r>
    </w:p>
    <w:p>
      <w:pPr>
        <w:pStyle w:val="13"/>
        <w:spacing w:after="0" w:line="560" w:lineRule="exact"/>
        <w:ind w:firstLineChars="125"/>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398" w:firstLineChars="124"/>
        <w:jc w:val="both"/>
        <w:rPr>
          <w:rFonts w:hint="eastAsia" w:ascii="仿宋_GB2312" w:hAnsi="仿宋_GB2312" w:eastAsia="PMingLiU" w:cs="仿宋_GB2312"/>
          <w:b/>
          <w:sz w:val="32"/>
          <w:szCs w:val="32"/>
        </w:rPr>
      </w:pPr>
    </w:p>
    <w:p>
      <w:pPr>
        <w:pStyle w:val="13"/>
        <w:spacing w:after="0" w:line="560" w:lineRule="exact"/>
        <w:ind w:firstLine="398" w:firstLineChars="124"/>
        <w:jc w:val="both"/>
        <w:rPr>
          <w:rFonts w:ascii="仿宋_GB2312" w:hAnsi="仿宋_GB2312" w:eastAsia="PMingLiU" w:cs="仿宋_GB2312"/>
          <w:b/>
          <w:sz w:val="32"/>
          <w:szCs w:val="32"/>
        </w:rPr>
      </w:pPr>
    </w:p>
    <w:p>
      <w:pPr>
        <w:pStyle w:val="13"/>
        <w:spacing w:after="0" w:line="560" w:lineRule="exact"/>
        <w:ind w:firstLine="1683" w:firstLineChars="524"/>
        <w:jc w:val="both"/>
        <w:rPr>
          <w:rFonts w:ascii="仿宋_GB2312" w:hAnsi="仿宋_GB2312" w:eastAsia="PMingLiU" w:cs="仿宋_GB2312"/>
          <w:b/>
          <w:sz w:val="32"/>
          <w:szCs w:val="32"/>
        </w:rPr>
      </w:pPr>
      <w:r>
        <w:rPr>
          <w:rFonts w:ascii="仿宋_GB2312" w:hAnsi="仿宋_GB2312" w:eastAsia="仿宋_GB2312" w:cs="仿宋_GB2312"/>
          <w:b/>
          <w:sz w:val="32"/>
          <w:szCs w:val="32"/>
        </w:rPr>
        <w:t>评估委托方</w:t>
      </w:r>
      <w:r>
        <w:rPr>
          <w:rFonts w:hint="eastAsia" w:ascii="仿宋_GB2312" w:hAnsi="仿宋_GB2312" w:eastAsia="仿宋_GB2312" w:cs="仿宋_GB2312"/>
          <w:b/>
          <w:sz w:val="32"/>
          <w:szCs w:val="32"/>
        </w:rPr>
        <w:t>：广州市</w:t>
      </w:r>
      <w:r>
        <w:rPr>
          <w:rFonts w:hint="eastAsia" w:ascii="仿宋_GB2312" w:hAnsi="仿宋_GB2312" w:eastAsia="仿宋_GB2312" w:cs="仿宋_GB2312"/>
          <w:b/>
          <w:sz w:val="32"/>
          <w:szCs w:val="32"/>
          <w:lang w:val="en-US"/>
        </w:rPr>
        <w:t>番禺</w:t>
      </w:r>
      <w:r>
        <w:rPr>
          <w:rFonts w:hint="eastAsia" w:ascii="仿宋_GB2312" w:hAnsi="仿宋_GB2312" w:eastAsia="仿宋_GB2312" w:cs="仿宋_GB2312"/>
          <w:b/>
          <w:sz w:val="32"/>
          <w:szCs w:val="32"/>
        </w:rPr>
        <w:t>区民政局</w:t>
      </w:r>
    </w:p>
    <w:p>
      <w:pPr>
        <w:pStyle w:val="13"/>
        <w:spacing w:after="0" w:line="560" w:lineRule="exact"/>
        <w:ind w:firstLine="1683" w:firstLineChars="524"/>
        <w:jc w:val="both"/>
        <w:rPr>
          <w:rFonts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项目购买方：广州市</w:t>
      </w:r>
      <w:r>
        <w:rPr>
          <w:rFonts w:hint="eastAsia" w:ascii="仿宋_GB2312" w:hAnsi="仿宋_GB2312" w:eastAsia="仿宋_GB2312" w:cs="仿宋_GB2312"/>
          <w:b/>
          <w:sz w:val="32"/>
          <w:szCs w:val="32"/>
          <w:lang w:val="en-US"/>
        </w:rPr>
        <w:t>番禺区</w:t>
      </w:r>
      <w:r>
        <w:rPr>
          <w:rFonts w:hint="eastAsia" w:ascii="仿宋_GB2312" w:hAnsi="仿宋_GB2312" w:eastAsia="仿宋_GB2312" w:cs="仿宋_GB2312"/>
          <w:b/>
          <w:sz w:val="32"/>
          <w:szCs w:val="32"/>
          <w:lang w:val="en-US" w:eastAsia="zh-CN"/>
        </w:rPr>
        <w:t>东环街道办事处</w:t>
      </w:r>
    </w:p>
    <w:p>
      <w:pPr>
        <w:pStyle w:val="13"/>
        <w:spacing w:after="0" w:line="560" w:lineRule="exact"/>
        <w:ind w:firstLine="1683" w:firstLineChars="524"/>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项目承办方：广州市</w:t>
      </w:r>
      <w:r>
        <w:rPr>
          <w:rFonts w:hint="eastAsia" w:ascii="仿宋_GB2312" w:hAnsi="仿宋_GB2312" w:eastAsia="仿宋_GB2312" w:cs="仿宋_GB2312"/>
          <w:b/>
          <w:sz w:val="32"/>
          <w:szCs w:val="32"/>
          <w:lang w:val="en-US" w:eastAsia="zh-CN"/>
        </w:rPr>
        <w:t>番禺区正阳社会工作服务中心</w:t>
      </w:r>
    </w:p>
    <w:p>
      <w:pPr>
        <w:pStyle w:val="13"/>
        <w:spacing w:after="0" w:line="560" w:lineRule="exact"/>
        <w:ind w:firstLine="1683" w:firstLineChars="524"/>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项目评估方：</w:t>
      </w:r>
      <w:r>
        <w:rPr>
          <w:rFonts w:hint="eastAsia" w:ascii="仿宋_GB2312" w:hAnsi="仿宋_GB2312" w:eastAsia="仿宋_GB2312" w:cs="仿宋_GB2312"/>
          <w:b/>
          <w:sz w:val="32"/>
          <w:szCs w:val="32"/>
          <w:lang w:val="en-US"/>
        </w:rPr>
        <w:t>广州市番禺区</w:t>
      </w:r>
      <w:r>
        <w:rPr>
          <w:rFonts w:hint="eastAsia" w:ascii="仿宋_GB2312" w:hAnsi="仿宋_GB2312" w:eastAsia="仿宋_GB2312" w:cs="仿宋_GB2312"/>
          <w:b/>
          <w:sz w:val="32"/>
          <w:szCs w:val="32"/>
        </w:rPr>
        <w:t xml:space="preserve">社会组织联合会 </w:t>
      </w:r>
    </w:p>
    <w:p>
      <w:pPr>
        <w:pStyle w:val="13"/>
        <w:spacing w:after="0" w:line="560" w:lineRule="exact"/>
        <w:ind w:firstLine="1683" w:firstLineChars="524"/>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评估日期：202</w:t>
      </w:r>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年</w:t>
      </w:r>
      <w:r>
        <w:rPr>
          <w:rFonts w:hint="eastAsia" w:ascii="仿宋_GB2312" w:hAnsi="仿宋_GB2312" w:eastAsia="仿宋_GB2312" w:cs="仿宋_GB2312"/>
          <w:b/>
          <w:sz w:val="32"/>
          <w:szCs w:val="32"/>
          <w:lang w:val="en-US" w:eastAsia="zh-CN"/>
        </w:rPr>
        <w:t>10</w:t>
      </w:r>
      <w:r>
        <w:rPr>
          <w:rFonts w:hint="eastAsia" w:ascii="仿宋_GB2312" w:hAnsi="仿宋_GB2312" w:eastAsia="仿宋_GB2312" w:cs="仿宋_GB2312"/>
          <w:b/>
          <w:sz w:val="32"/>
          <w:szCs w:val="32"/>
        </w:rPr>
        <w:t>月</w:t>
      </w:r>
      <w:r>
        <w:rPr>
          <w:rFonts w:hint="eastAsia" w:ascii="仿宋_GB2312" w:hAnsi="仿宋_GB2312" w:eastAsia="仿宋_GB2312" w:cs="仿宋_GB2312"/>
          <w:b/>
          <w:sz w:val="32"/>
          <w:szCs w:val="32"/>
          <w:lang w:val="en-US" w:eastAsia="zh-CN"/>
        </w:rPr>
        <w:t>24</w:t>
      </w:r>
      <w:r>
        <w:rPr>
          <w:rFonts w:hint="eastAsia" w:ascii="仿宋_GB2312" w:hAnsi="仿宋_GB2312" w:eastAsia="仿宋_GB2312" w:cs="仿宋_GB2312"/>
          <w:b/>
          <w:sz w:val="32"/>
          <w:szCs w:val="32"/>
        </w:rPr>
        <w:t>日</w:t>
      </w:r>
      <w:bookmarkStart w:id="3" w:name="bookmark5"/>
      <w:bookmarkStart w:id="4" w:name="bookmark4"/>
      <w:bookmarkStart w:id="5" w:name="bookmark3"/>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3"/>
        <w:spacing w:after="0" w:line="240" w:lineRule="auto"/>
        <w:ind w:firstLine="0"/>
      </w:pPr>
    </w:p>
    <w:p>
      <w:pPr>
        <w:pStyle w:val="11"/>
        <w:keepNext/>
        <w:keepLines/>
        <w:spacing w:before="0" w:after="0" w:line="560" w:lineRule="exact"/>
        <w:rPr>
          <w:rFonts w:ascii="方正小标宋简体" w:hAnsi="方正小标宋简体" w:eastAsia="PMingLiU" w:cs="方正小标宋简体"/>
          <w:b/>
          <w:bCs/>
          <w:szCs w:val="44"/>
          <w:lang w:val="en-US" w:eastAsia="zh-CN"/>
        </w:rPr>
        <w:sectPr>
          <w:pgSz w:w="11900" w:h="16840"/>
          <w:pgMar w:top="1301" w:right="876" w:bottom="1373" w:left="885" w:header="457" w:footer="448" w:gutter="0"/>
          <w:cols w:space="720" w:num="1"/>
          <w:docGrid w:linePitch="360" w:charSpace="0"/>
        </w:sectPr>
      </w:pPr>
    </w:p>
    <w:p>
      <w:pPr>
        <w:pStyle w:val="11"/>
        <w:keepNext/>
        <w:keepLines/>
        <w:spacing w:before="0" w:after="0" w:line="560" w:lineRule="exact"/>
        <w:rPr>
          <w:rFonts w:ascii="方正小标宋简体" w:hAnsi="方正小标宋简体" w:eastAsia="PMingLiU" w:cs="方正小标宋简体"/>
          <w:b/>
          <w:bCs/>
          <w:szCs w:val="44"/>
          <w:lang w:val="en-US" w:eastAsia="zh-CN"/>
        </w:rPr>
      </w:pPr>
    </w:p>
    <w:p>
      <w:pPr>
        <w:pStyle w:val="11"/>
        <w:keepNext/>
        <w:keepLines/>
        <w:spacing w:before="0" w:after="0" w:line="360" w:lineRule="auto"/>
        <w:rPr>
          <w:rFonts w:ascii="方正小标宋简体" w:hAnsi="方正小标宋简体" w:eastAsia="方正小标宋简体" w:cs="方正小标宋简体"/>
          <w:b/>
          <w:bCs/>
          <w:szCs w:val="44"/>
          <w:lang w:val="en-US" w:eastAsia="zh-CN"/>
        </w:rPr>
      </w:pPr>
      <w:r>
        <w:rPr>
          <w:rFonts w:hint="eastAsia" w:ascii="方正小标宋简体" w:hAnsi="方正小标宋简体" w:eastAsia="方正小标宋简体" w:cs="方正小标宋简体"/>
          <w:b/>
          <w:bCs/>
          <w:szCs w:val="44"/>
          <w:lang w:val="en-US" w:eastAsia="zh-CN"/>
        </w:rPr>
        <w:t>东环街社工服务站中期评估报告</w:t>
      </w:r>
      <w:bookmarkEnd w:id="3"/>
      <w:bookmarkEnd w:id="4"/>
      <w:bookmarkEnd w:id="5"/>
    </w:p>
    <w:p>
      <w:pPr>
        <w:pStyle w:val="11"/>
        <w:keepNext/>
        <w:keepLines/>
        <w:spacing w:before="0" w:after="0" w:line="360" w:lineRule="auto"/>
        <w:rPr>
          <w:rFonts w:ascii="方正小标宋简体" w:hAnsi="方正小标宋简体" w:eastAsia="方正小标宋简体" w:cs="方正小标宋简体"/>
          <w:b/>
          <w:bCs/>
          <w:szCs w:val="44"/>
          <w:lang w:val="en-US" w:eastAsia="zh-CN"/>
        </w:rPr>
      </w:pP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2025年3月27日—2026年3月26日</w:t>
      </w:r>
      <w:r>
        <w:rPr>
          <w:rFonts w:hint="eastAsia" w:ascii="方正小标宋简体" w:hAnsi="方正小标宋简体" w:eastAsia="方正小标宋简体" w:cs="方正小标宋简体"/>
          <w:b/>
          <w:bCs/>
          <w:sz w:val="44"/>
          <w:szCs w:val="44"/>
          <w:lang w:eastAsia="zh-CN"/>
        </w:rPr>
        <w:t>）</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社工服务站（简称</w:t>
      </w: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社工站）</w:t>
      </w:r>
      <w:r>
        <w:rPr>
          <w:rFonts w:hint="eastAsia" w:ascii="仿宋_GB2312" w:hAnsi="仿宋_GB2312" w:eastAsia="仿宋_GB2312" w:cs="仿宋_GB2312"/>
          <w:sz w:val="32"/>
          <w:szCs w:val="32"/>
          <w:lang w:eastAsia="zh-CN"/>
        </w:rPr>
        <w:t>中期</w:t>
      </w:r>
      <w:r>
        <w:rPr>
          <w:rFonts w:hint="eastAsia" w:ascii="仿宋_GB2312" w:hAnsi="仿宋_GB2312" w:eastAsia="仿宋_GB2312" w:cs="仿宋_GB2312"/>
          <w:sz w:val="32"/>
          <w:szCs w:val="32"/>
        </w:rPr>
        <w:t>报告，是专业评估人员通过对</w:t>
      </w: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社工站项目阶段性服务的全面调查、综合分析和科学判断，确定目标是否可行，总结服务开展情况，以及服务成效体现的总结文书。经过5位专家及</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名工作人员</w:t>
      </w:r>
      <w:r>
        <w:rPr>
          <w:rFonts w:hint="eastAsia" w:ascii="仿宋_GB2312" w:hAnsi="仿宋_GB2312" w:eastAsia="仿宋_GB2312" w:cs="仿宋_GB2312"/>
          <w:sz w:val="32"/>
          <w:szCs w:val="32"/>
          <w:lang w:val="en-US"/>
        </w:rPr>
        <w:t>对</w:t>
      </w:r>
      <w:r>
        <w:rPr>
          <w:rFonts w:hint="eastAsia" w:ascii="仿宋_GB2312" w:hAnsi="仿宋_GB2312" w:eastAsia="仿宋_GB2312" w:cs="仿宋_GB2312"/>
          <w:sz w:val="32"/>
          <w:szCs w:val="32"/>
        </w:rPr>
        <w:t>社工站展开为期一天的实地考察、访谈、查阅资料等形式的评估，形成此报告。</w:t>
      </w:r>
      <w:r>
        <w:rPr>
          <w:rFonts w:hint="eastAsia" w:ascii="仿宋_GB2312" w:hAnsi="仿宋_GB2312" w:eastAsia="仿宋_GB2312" w:cs="仿宋_GB2312"/>
          <w:sz w:val="32"/>
          <w:szCs w:val="32"/>
          <w:lang w:val="en-US" w:eastAsia="zh-CN"/>
        </w:rPr>
        <w:t>东环街</w:t>
      </w:r>
      <w:r>
        <w:rPr>
          <w:rFonts w:hint="eastAsia" w:ascii="仿宋_GB2312" w:hAnsi="仿宋_GB2312" w:eastAsia="仿宋_GB2312" w:cs="仿宋_GB2312"/>
          <w:sz w:val="32"/>
          <w:szCs w:val="32"/>
        </w:rPr>
        <w:t>社工站可以将此报告作为参考，进行服务完善和提升，从多方面</w:t>
      </w:r>
      <w:r>
        <w:rPr>
          <w:rFonts w:hint="eastAsia" w:ascii="仿宋_GB2312" w:hAnsi="仿宋_GB2312" w:eastAsia="仿宋_GB2312" w:cs="仿宋_GB2312"/>
          <w:sz w:val="32"/>
          <w:szCs w:val="32"/>
          <w:lang w:eastAsia="zh-CN"/>
        </w:rPr>
        <w:t>夯</w:t>
      </w:r>
      <w:r>
        <w:rPr>
          <w:rFonts w:hint="eastAsia" w:ascii="仿宋_GB2312" w:hAnsi="仿宋_GB2312" w:eastAsia="仿宋_GB2312" w:cs="仿宋_GB2312"/>
          <w:sz w:val="32"/>
          <w:szCs w:val="32"/>
        </w:rPr>
        <w:t>实服务基础，拓展服务面，提升服务的专业化水平。本报告尽量呈现社工站的实际情况，因评估时间较短的关系，社工站部分服务成效不完全体现在报告中。</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方正小标宋简体" w:hAnsi="仿宋_GB2312" w:eastAsia="方正小标宋简体" w:cs="仿宋_GB2312"/>
          <w:b/>
          <w:sz w:val="32"/>
          <w:szCs w:val="32"/>
        </w:rPr>
      </w:pPr>
      <w:r>
        <w:rPr>
          <w:rFonts w:hint="eastAsia" w:ascii="方正小标宋简体" w:hAnsi="仿宋_GB2312" w:eastAsia="方正小标宋简体" w:cs="仿宋_GB2312"/>
          <w:b/>
          <w:sz w:val="32"/>
          <w:szCs w:val="32"/>
          <w:lang w:val="en-US"/>
        </w:rPr>
        <w:t>一</w:t>
      </w:r>
      <w:r>
        <w:rPr>
          <w:rFonts w:hint="eastAsia" w:ascii="方正小标宋简体" w:hAnsi="仿宋_GB2312" w:eastAsia="方正小标宋简体" w:cs="仿宋_GB2312"/>
          <w:b/>
          <w:sz w:val="32"/>
          <w:szCs w:val="32"/>
          <w:lang w:val="en-US" w:eastAsia="zh-CN"/>
        </w:rPr>
        <w:t>、中期</w:t>
      </w:r>
      <w:r>
        <w:rPr>
          <w:rFonts w:hint="eastAsia" w:ascii="方正小标宋简体" w:hAnsi="仿宋_GB2312" w:eastAsia="方正小标宋简体" w:cs="仿宋_GB2312"/>
          <w:b/>
          <w:sz w:val="32"/>
          <w:szCs w:val="32"/>
        </w:rPr>
        <w:t>评估背景</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rPr>
        <w:t>5位评委及</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名工作人员对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社工站展开了</w:t>
      </w:r>
      <w:r>
        <w:rPr>
          <w:rFonts w:hint="eastAsia" w:ascii="仿宋_GB2312" w:hAnsi="仿宋_GB2312" w:eastAsia="仿宋_GB2312" w:cs="仿宋_GB2312"/>
          <w:sz w:val="32"/>
          <w:szCs w:val="32"/>
          <w:lang w:eastAsia="zh-CN"/>
        </w:rPr>
        <w:t>中期</w:t>
      </w:r>
      <w:r>
        <w:rPr>
          <w:rFonts w:hint="eastAsia" w:ascii="仿宋_GB2312" w:hAnsi="仿宋_GB2312" w:eastAsia="仿宋_GB2312" w:cs="仿宋_GB2312"/>
          <w:sz w:val="32"/>
          <w:szCs w:val="32"/>
        </w:rPr>
        <w:t>评估工作。评估为期1天，主要通过听取社工</w:t>
      </w:r>
      <w:r>
        <w:rPr>
          <w:rFonts w:hint="eastAsia" w:ascii="仿宋_GB2312" w:hAnsi="仿宋_GB2312" w:eastAsia="仿宋_GB2312" w:cs="仿宋_GB2312"/>
          <w:color w:val="auto"/>
          <w:sz w:val="32"/>
          <w:szCs w:val="32"/>
        </w:rPr>
        <w:t>站介绍、实地考察、查阅资料、面谈（访谈）、填写问卷</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hAnsi="仿宋_GB2312" w:eastAsia="仿宋_GB2312" w:cs="仿宋_GB2312"/>
          <w:color w:val="auto"/>
          <w:sz w:val="32"/>
          <w:szCs w:val="32"/>
        </w:rPr>
        <w:t>等形式，对</w:t>
      </w:r>
      <w:r>
        <w:rPr>
          <w:rFonts w:hint="eastAsia" w:ascii="仿宋_GB2312" w:hAnsi="仿宋_GB2312" w:eastAsia="仿宋_GB2312" w:cs="仿宋_GB2312"/>
          <w:color w:val="auto"/>
          <w:sz w:val="32"/>
          <w:szCs w:val="32"/>
          <w:lang w:eastAsia="zh-CN"/>
        </w:rPr>
        <w:t>东环街</w:t>
      </w:r>
      <w:r>
        <w:rPr>
          <w:rFonts w:hint="eastAsia" w:ascii="仿宋_GB2312" w:hAnsi="仿宋_GB2312" w:eastAsia="仿宋_GB2312" w:cs="仿宋_GB2312"/>
          <w:color w:val="auto"/>
          <w:sz w:val="32"/>
          <w:szCs w:val="32"/>
        </w:rPr>
        <w:t>社工站的项目管理、服务开展情况以及项目成效等</w:t>
      </w:r>
      <w:r>
        <w:rPr>
          <w:rFonts w:hint="eastAsia" w:ascii="仿宋_GB2312" w:hAnsi="仿宋_GB2312" w:eastAsia="仿宋_GB2312" w:cs="仿宋_GB2312"/>
          <w:sz w:val="32"/>
          <w:szCs w:val="32"/>
        </w:rPr>
        <w:t>方面进行评估。评估团队主要完成了以下几方面的工作：</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pPr>
        <w:pStyle w:val="13"/>
        <w:keepNext w:val="0"/>
        <w:keepLines w:val="0"/>
        <w:pageBreakBefore w:val="0"/>
        <w:tabs>
          <w:tab w:val="left" w:pos="98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w:t>
      </w:r>
      <w:r>
        <w:rPr>
          <w:rFonts w:hint="eastAsia" w:ascii="仿宋_GB2312" w:hAnsi="仿宋_GB2312" w:eastAsia="仿宋_GB2312" w:cs="仿宋_GB2312"/>
          <w:sz w:val="32"/>
          <w:szCs w:val="32"/>
          <w:lang w:eastAsia="zh-CN"/>
        </w:rPr>
        <w:t>况等</w:t>
      </w:r>
      <w:r>
        <w:rPr>
          <w:rFonts w:hint="eastAsia" w:ascii="仿宋_GB2312" w:hAnsi="仿宋_GB2312" w:eastAsia="仿宋_GB2312" w:cs="仿宋_GB2312"/>
          <w:sz w:val="32"/>
          <w:szCs w:val="32"/>
        </w:rPr>
        <w:t>方面进行观察，以评估其设施开展专业服务的适宜性。</w:t>
      </w:r>
    </w:p>
    <w:p>
      <w:pPr>
        <w:pStyle w:val="13"/>
        <w:keepNext w:val="0"/>
        <w:keepLines w:val="0"/>
        <w:pageBreakBefore w:val="0"/>
        <w:tabs>
          <w:tab w:val="left" w:pos="97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pPr>
        <w:pStyle w:val="13"/>
        <w:keepNext w:val="0"/>
        <w:keepLines w:val="0"/>
        <w:pageBreakBefore w:val="0"/>
        <w:tabs>
          <w:tab w:val="left" w:pos="98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pPr>
        <w:pStyle w:val="13"/>
        <w:keepNext w:val="0"/>
        <w:keepLines w:val="0"/>
        <w:pageBreakBefore w:val="0"/>
        <w:tabs>
          <w:tab w:val="left" w:pos="98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pPr>
        <w:pStyle w:val="13"/>
        <w:keepNext w:val="0"/>
        <w:keepLines w:val="0"/>
        <w:pageBreakBefore w:val="0"/>
        <w:numPr>
          <w:ilvl w:val="0"/>
          <w:numId w:val="0"/>
        </w:numPr>
        <w:tabs>
          <w:tab w:val="left" w:pos="981"/>
        </w:tabs>
        <w:kinsoku/>
        <w:wordWrap/>
        <w:overflowPunct/>
        <w:topLinePunct w:val="0"/>
        <w:autoSpaceDE/>
        <w:autoSpaceDN/>
        <w:bidi w:val="0"/>
        <w:adjustRightInd/>
        <w:snapToGrid/>
        <w:spacing w:after="0" w:line="560" w:lineRule="exact"/>
        <w:ind w:firstLine="642" w:firstLineChars="200"/>
        <w:jc w:val="both"/>
        <w:rPr>
          <w:rFonts w:hint="eastAsia" w:ascii="仿宋_GB2312" w:hAnsi="仿宋_GB2312" w:eastAsia="仿宋_GB2312" w:cs="仿宋_GB2312"/>
          <w:b w:val="0"/>
          <w:bCs w:val="0"/>
          <w:sz w:val="32"/>
          <w:szCs w:val="32"/>
        </w:rPr>
      </w:pPr>
      <w:bookmarkStart w:id="13" w:name="bookmark14"/>
      <w:bookmarkEnd w:id="13"/>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政策依据：</w:t>
      </w:r>
      <w:bookmarkStart w:id="14" w:name="bookmark15"/>
      <w:bookmarkEnd w:id="14"/>
      <w:r>
        <w:rPr>
          <w:rFonts w:hint="eastAsia" w:ascii="仿宋_GB2312" w:hAnsi="仿宋_GB2312" w:eastAsia="仿宋_GB2312" w:cs="仿宋_GB2312"/>
          <w:b w:val="0"/>
          <w:bCs w:val="0"/>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pPr>
        <w:pStyle w:val="13"/>
        <w:keepNext w:val="0"/>
        <w:keepLines w:val="0"/>
        <w:pageBreakBefore w:val="0"/>
        <w:numPr>
          <w:ilvl w:val="0"/>
          <w:numId w:val="0"/>
        </w:numPr>
        <w:tabs>
          <w:tab w:val="left" w:pos="98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b w:val="0"/>
          <w:bCs w:val="0"/>
          <w:sz w:val="32"/>
          <w:szCs w:val="32"/>
        </w:rPr>
        <w:t>《广州市社工站购买服务项目评估指标体系》。</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3"/>
        <w:keepNext w:val="0"/>
        <w:keepLines w:val="0"/>
        <w:pageBreakBefore w:val="0"/>
        <w:numPr>
          <w:ilvl w:val="0"/>
          <w:numId w:val="1"/>
        </w:numPr>
        <w:tabs>
          <w:tab w:val="left" w:pos="98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keepNext w:val="0"/>
        <w:keepLines w:val="0"/>
        <w:pageBreakBefore w:val="0"/>
        <w:numPr>
          <w:ilvl w:val="0"/>
          <w:numId w:val="1"/>
        </w:numPr>
        <w:tabs>
          <w:tab w:val="left" w:pos="99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3"/>
        <w:keepNext w:val="0"/>
        <w:keepLines w:val="0"/>
        <w:pageBreakBefore w:val="0"/>
        <w:numPr>
          <w:ilvl w:val="0"/>
          <w:numId w:val="1"/>
        </w:numPr>
        <w:tabs>
          <w:tab w:val="left" w:pos="97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keepNext w:val="0"/>
        <w:keepLines w:val="0"/>
        <w:pageBreakBefore w:val="0"/>
        <w:numPr>
          <w:ilvl w:val="0"/>
          <w:numId w:val="1"/>
        </w:numPr>
        <w:tabs>
          <w:tab w:val="left" w:pos="98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keepNext w:val="0"/>
        <w:keepLines w:val="0"/>
        <w:pageBreakBefore w:val="0"/>
        <w:numPr>
          <w:ilvl w:val="0"/>
          <w:numId w:val="1"/>
        </w:numPr>
        <w:tabs>
          <w:tab w:val="left" w:pos="99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keepNext w:val="0"/>
        <w:keepLines w:val="0"/>
        <w:pageBreakBefore w:val="0"/>
        <w:numPr>
          <w:ilvl w:val="0"/>
          <w:numId w:val="1"/>
        </w:numPr>
        <w:tabs>
          <w:tab w:val="left" w:pos="99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pPr>
        <w:pStyle w:val="13"/>
        <w:keepNext w:val="0"/>
        <w:keepLines w:val="0"/>
        <w:pageBreakBefore w:val="0"/>
        <w:numPr>
          <w:ilvl w:val="0"/>
          <w:numId w:val="2"/>
        </w:numPr>
        <w:tabs>
          <w:tab w:val="left" w:pos="992"/>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根据最新管理办法要求及东环街社工站项目合同期限确定评估时间，制定好评估计划和评估通知。</w:t>
      </w:r>
    </w:p>
    <w:p>
      <w:pPr>
        <w:pStyle w:val="13"/>
        <w:keepNext w:val="0"/>
        <w:keepLines w:val="0"/>
        <w:pageBreakBefore w:val="0"/>
        <w:numPr>
          <w:ilvl w:val="0"/>
          <w:numId w:val="2"/>
        </w:numPr>
        <w:tabs>
          <w:tab w:val="left" w:pos="992"/>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3"/>
        <w:keepNext w:val="0"/>
        <w:keepLines w:val="0"/>
        <w:pageBreakBefore w:val="0"/>
        <w:numPr>
          <w:ilvl w:val="0"/>
          <w:numId w:val="2"/>
        </w:numPr>
        <w:tabs>
          <w:tab w:val="left" w:pos="1001"/>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社工站进行评估工作。</w:t>
      </w:r>
    </w:p>
    <w:p>
      <w:pPr>
        <w:pStyle w:val="13"/>
        <w:keepNext w:val="0"/>
        <w:keepLines w:val="0"/>
        <w:pageBreakBefore w:val="0"/>
        <w:numPr>
          <w:ilvl w:val="0"/>
          <w:numId w:val="2"/>
        </w:numPr>
        <w:tabs>
          <w:tab w:val="left" w:pos="100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东环</w:t>
      </w:r>
      <w:r>
        <w:rPr>
          <w:rFonts w:hint="eastAsia" w:ascii="仿宋_GB2312" w:hAnsi="仿宋_GB2312" w:eastAsia="仿宋_GB2312" w:cs="仿宋_GB2312"/>
          <w:sz w:val="32"/>
          <w:szCs w:val="32"/>
        </w:rPr>
        <w:t>街道办事处及</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社工服务站反馈初评意见，对评估结果、存在问题及改进建议等进行沟通确认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3"/>
        <w:keepNext w:val="0"/>
        <w:keepLines w:val="0"/>
        <w:pageBreakBefore w:val="0"/>
        <w:numPr>
          <w:ilvl w:val="0"/>
          <w:numId w:val="2"/>
        </w:numPr>
        <w:tabs>
          <w:tab w:val="left" w:pos="100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中期</w:t>
      </w:r>
      <w:r>
        <w:rPr>
          <w:rFonts w:hint="eastAsia" w:ascii="仿宋_GB2312" w:hAnsi="仿宋_GB2312" w:eastAsia="仿宋_GB2312" w:cs="仿宋_GB2312"/>
          <w:b/>
          <w:sz w:val="32"/>
          <w:szCs w:val="32"/>
        </w:rPr>
        <w:t>评估报告</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东环街道办事处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社工站各出具一份评估报告，提出项目存在的问题及改进建议。</w:t>
      </w:r>
    </w:p>
    <w:p>
      <w:pPr>
        <w:pStyle w:val="13"/>
        <w:keepNext w:val="0"/>
        <w:keepLines w:val="0"/>
        <w:pageBreakBefore w:val="0"/>
        <w:numPr>
          <w:ilvl w:val="0"/>
          <w:numId w:val="2"/>
        </w:numPr>
        <w:tabs>
          <w:tab w:val="left" w:pos="1006"/>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3"/>
        <w:keepNext w:val="0"/>
        <w:keepLines w:val="0"/>
        <w:pageBreakBefore w:val="0"/>
        <w:kinsoku/>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局在收到评估报告后汇总社会救助等有关业务科室意见，于5个工作日内确认评估报告，确认后对东环街社工站项目的评估报告进行公示，公示期不少于7个工作日。公示期间，如收到对评估报告的质疑或投诉，区民政局及时对评估结果进行复核，并确定最终评估结果，同时将有关处理情况报市民政部门。</w:t>
      </w:r>
    </w:p>
    <w:p>
      <w:pPr>
        <w:pStyle w:val="13"/>
        <w:keepNext w:val="0"/>
        <w:keepLines w:val="0"/>
        <w:pageBreakBefore w:val="0"/>
        <w:tabs>
          <w:tab w:val="left" w:pos="1006"/>
        </w:tabs>
        <w:kinsoku/>
        <w:wordWrap/>
        <w:overflowPunct/>
        <w:topLinePunct w:val="0"/>
        <w:autoSpaceDE/>
        <w:autoSpaceDN/>
        <w:bidi w:val="0"/>
        <w:adjustRightInd/>
        <w:snapToGrid/>
        <w:spacing w:after="0" w:line="560" w:lineRule="exact"/>
        <w:ind w:left="0" w:leftChars="0" w:firstLine="642" w:firstLineChars="200"/>
        <w:jc w:val="both"/>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服务项目评估指标体系》，结合社工站与街道签订的</w:t>
      </w:r>
      <w:r>
        <w:rPr>
          <w:rFonts w:hint="eastAsia" w:ascii="仿宋_GB2312" w:hAnsi="仿宋_GB2312" w:eastAsia="仿宋_GB2312" w:cs="仿宋_GB2312"/>
          <w:sz w:val="32"/>
          <w:szCs w:val="32"/>
          <w:lang w:eastAsia="zh-CN"/>
        </w:rPr>
        <w:t>双方</w:t>
      </w:r>
      <w:r>
        <w:rPr>
          <w:rFonts w:ascii="仿宋_GB2312" w:hAnsi="仿宋_GB2312" w:eastAsia="仿宋_GB2312" w:cs="仿宋_GB2312"/>
          <w:sz w:val="32"/>
          <w:szCs w:val="32"/>
          <w:lang w:eastAsia="zh-CN"/>
        </w:rPr>
        <w:t>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街道购买方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3"/>
        <w:keepNext w:val="0"/>
        <w:keepLines w:val="0"/>
        <w:pageBreakBefore w:val="0"/>
        <w:tabs>
          <w:tab w:val="left" w:pos="1480"/>
        </w:tabs>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60分至80分（不含80分）为合格，60分以下（不含60分）为不合格。评估中若发现有下列情形之一的，评估结果也定为不合格：</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（一）保洁、安保等人员占用社工名额的；</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（三）持证社工比例不达标的；</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（四）年度服务期内人员费用支出比例低于80%的；</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（五）限期内整改不及时、不到位的；</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（六）专业评估结果为不合格的；</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（七）财务评估结果为不合格的；</w:t>
      </w:r>
    </w:p>
    <w:p>
      <w:pPr>
        <w:pStyle w:val="13"/>
        <w:keepNext w:val="0"/>
        <w:keepLines w:val="0"/>
        <w:pageBreakBefore w:val="0"/>
        <w:numPr>
          <w:ilvl w:val="0"/>
          <w:numId w:val="0"/>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PMingLiU" w:cs="仿宋_GB2312"/>
          <w:sz w:val="32"/>
          <w:szCs w:val="32"/>
        </w:rPr>
      </w:pPr>
      <w:r>
        <w:rPr>
          <w:rFonts w:hint="eastAsia" w:ascii="仿宋_GB2312" w:hAnsi="仿宋_GB2312" w:eastAsia="仿宋_GB2312" w:cs="仿宋_GB2312"/>
          <w:sz w:val="32"/>
          <w:szCs w:val="32"/>
          <w:lang w:eastAsia="zh-CN"/>
        </w:rPr>
        <w:t>（八）违反国家法律法规及有关规定的其他情形，情节严重的。</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方正小标宋简体" w:hAnsi="仿宋_GB2312" w:eastAsia="方正小标宋简体" w:cs="仿宋_GB2312"/>
          <w:b/>
          <w:sz w:val="32"/>
          <w:szCs w:val="32"/>
          <w:lang w:val="en-US"/>
        </w:rPr>
      </w:pPr>
      <w:r>
        <w:rPr>
          <w:rFonts w:hint="eastAsia" w:ascii="方正小标宋简体" w:hAnsi="仿宋_GB2312" w:eastAsia="方正小标宋简体" w:cs="仿宋_GB2312"/>
          <w:b/>
          <w:sz w:val="32"/>
          <w:szCs w:val="32"/>
          <w:lang w:val="en-US"/>
        </w:rPr>
        <w:t>二、评估总结</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（―）社工站基本情况</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东环街社工服务站位于东环街东星路 99 号（东环街道办对面），于2012年3月正式投入运营。2013年3月至今，由广州市番禺区正阳社会工作服务中心承接运营。东环街社工站主要服务包括：党建引领服务、兜底性民生服务、基础性民生服务、普惠性民生服务四大板块。</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eastAsia="zh-CN"/>
        </w:rPr>
        <w:t>截至202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0000FF"/>
          <w:sz w:val="32"/>
          <w:szCs w:val="32"/>
          <w:lang w:eastAsia="zh-CN"/>
        </w:rPr>
        <w:t xml:space="preserve"> </w:t>
      </w:r>
      <w:r>
        <w:rPr>
          <w:rFonts w:hint="eastAsia" w:ascii="仿宋_GB2312" w:hAnsi="仿宋_GB2312" w:eastAsia="仿宋_GB2312" w:cs="仿宋_GB2312"/>
          <w:sz w:val="32"/>
          <w:szCs w:val="32"/>
          <w:lang w:eastAsia="zh-CN"/>
        </w:rPr>
        <w:t>，社工站配备工作人员</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名，其中社工专业人员</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名（社会工作师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人，助理社会工作师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人），其他人员</w:t>
      </w:r>
      <w:r>
        <w:rPr>
          <w:rFonts w:hint="eastAsia" w:ascii="仿宋_GB2312" w:hAnsi="仿宋_GB2312" w:eastAsia="仿宋_GB2312" w:cs="仿宋_GB2312"/>
          <w:sz w:val="32"/>
          <w:szCs w:val="32"/>
          <w:lang w:val="en-US" w:eastAsia="zh-CN"/>
        </w:rPr>
        <w:t>1名。</w:t>
      </w:r>
      <w:r>
        <w:rPr>
          <w:rFonts w:hint="eastAsia" w:ascii="仿宋_GB2312" w:hAnsi="仿宋_GB2312" w:eastAsia="仿宋_GB2312" w:cs="仿宋_GB2312"/>
          <w:sz w:val="32"/>
          <w:szCs w:val="32"/>
          <w:lang w:eastAsia="zh-CN"/>
        </w:rPr>
        <w:t>此外，社工站配备督导</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名，从事社会服务</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年以上。</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eastAsia="zh-CN"/>
        </w:rPr>
        <w:t>本社工站服务经费为</w:t>
      </w:r>
      <w:r>
        <w:rPr>
          <w:rFonts w:hint="eastAsia" w:ascii="仿宋_GB2312" w:hAnsi="仿宋_GB2312" w:eastAsia="仿宋_GB2312" w:cs="仿宋_GB2312"/>
          <w:sz w:val="32"/>
          <w:szCs w:val="32"/>
          <w:lang w:val="en-US" w:eastAsia="zh-CN"/>
        </w:rPr>
        <w:t>132</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color w:val="auto"/>
          <w:sz w:val="32"/>
          <w:szCs w:val="32"/>
          <w:lang w:eastAsia="zh-CN"/>
        </w:rPr>
        <w:t>项目合同期为202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年3月27日至202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年3月26日。本次考核期为</w:t>
      </w:r>
      <w:r>
        <w:rPr>
          <w:rFonts w:hint="eastAsia" w:ascii="仿宋_GB2312" w:hAnsi="仿宋_GB2312" w:eastAsia="仿宋_GB2312" w:cs="仿宋_GB2312"/>
          <w:color w:val="auto"/>
          <w:sz w:val="32"/>
          <w:szCs w:val="32"/>
          <w:lang w:val="en-US" w:eastAsia="zh-CN"/>
        </w:rPr>
        <w:t>2025年4月1日——2025年9月30日，考核6个月。</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（二）各项目服务进度情况</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社工站共完成家访</w:t>
      </w:r>
      <w:r>
        <w:rPr>
          <w:rFonts w:hint="eastAsia" w:ascii="仿宋_GB2312" w:hAnsi="仿宋_GB2312" w:eastAsia="仿宋_GB2312" w:cs="仿宋_GB2312"/>
          <w:sz w:val="32"/>
          <w:szCs w:val="32"/>
          <w:lang w:val="en-US" w:eastAsia="zh-CN"/>
        </w:rPr>
        <w:t>1001</w:t>
      </w:r>
      <w:r>
        <w:rPr>
          <w:rFonts w:hint="eastAsia" w:ascii="仿宋_GB2312" w:hAnsi="仿宋_GB2312" w:eastAsia="仿宋_GB2312" w:cs="仿宋_GB2312"/>
          <w:sz w:val="32"/>
          <w:szCs w:val="32"/>
        </w:rPr>
        <w:t>户，电访</w:t>
      </w:r>
      <w:r>
        <w:rPr>
          <w:rFonts w:hint="eastAsia" w:ascii="仿宋_GB2312" w:hAnsi="仿宋_GB2312" w:eastAsia="仿宋_GB2312" w:cs="仿宋_GB2312"/>
          <w:sz w:val="32"/>
          <w:szCs w:val="32"/>
          <w:lang w:val="en-US" w:eastAsia="zh-CN"/>
        </w:rPr>
        <w:t>1997</w:t>
      </w:r>
      <w:r>
        <w:rPr>
          <w:rFonts w:hint="eastAsia" w:ascii="仿宋_GB2312" w:hAnsi="仿宋_GB2312" w:eastAsia="仿宋_GB2312" w:cs="仿宋_GB2312"/>
          <w:sz w:val="32"/>
          <w:szCs w:val="32"/>
        </w:rPr>
        <w:t>户，分别完成协议指标量</w:t>
      </w:r>
      <w:r>
        <w:rPr>
          <w:rFonts w:hint="eastAsia" w:ascii="仿宋_GB2312" w:hAnsi="仿宋_GB2312" w:eastAsia="仿宋_GB2312" w:cs="仿宋_GB2312"/>
          <w:sz w:val="32"/>
          <w:szCs w:val="32"/>
          <w:lang w:val="en-US"/>
        </w:rPr>
        <w:t>的</w:t>
      </w:r>
      <w:r>
        <w:rPr>
          <w:rFonts w:hint="eastAsia" w:ascii="仿宋_GB2312" w:hAnsi="仿宋_GB2312" w:eastAsia="仿宋_GB2312" w:cs="仿宋_GB2312"/>
          <w:sz w:val="32"/>
          <w:szCs w:val="32"/>
          <w:lang w:val="en-US" w:eastAsia="zh-CN"/>
        </w:rPr>
        <w:t>77.00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79.88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专业</w:t>
      </w:r>
      <w:r>
        <w:rPr>
          <w:rFonts w:hint="eastAsia" w:ascii="仿宋_GB2312" w:hAnsi="仿宋_GB2312" w:eastAsia="仿宋_GB2312" w:cs="仿宋_GB2312"/>
          <w:sz w:val="32"/>
          <w:szCs w:val="32"/>
        </w:rPr>
        <w:t>个案接案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个，服务</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节，</w:t>
      </w:r>
      <w:r>
        <w:rPr>
          <w:rFonts w:hint="eastAsia" w:ascii="仿宋_GB2312" w:hAnsi="仿宋_GB2312" w:eastAsia="仿宋_GB2312" w:cs="仿宋_GB2312"/>
          <w:sz w:val="32"/>
          <w:szCs w:val="32"/>
          <w:lang w:eastAsia="zh-CN"/>
        </w:rPr>
        <w:t>结案</w:t>
      </w:r>
      <w:r>
        <w:rPr>
          <w:rFonts w:hint="eastAsia" w:ascii="仿宋_GB2312" w:hAnsi="仿宋_GB2312" w:eastAsia="仿宋_GB2312" w:cs="仿宋_GB2312"/>
          <w:color w:val="auto"/>
          <w:sz w:val="32"/>
          <w:szCs w:val="32"/>
          <w:lang w:val="en-US" w:eastAsia="zh-CN"/>
        </w:rPr>
        <w:t>11个</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分别完成协议指标量的</w:t>
      </w:r>
      <w:r>
        <w:rPr>
          <w:rFonts w:hint="eastAsia" w:ascii="仿宋_GB2312" w:hAnsi="仿宋_GB2312" w:eastAsia="仿宋_GB2312" w:cs="仿宋_GB2312"/>
          <w:sz w:val="32"/>
          <w:szCs w:val="32"/>
          <w:lang w:val="en-US" w:eastAsia="zh-CN"/>
        </w:rPr>
        <w:t>65.00%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72.00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68.75%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eastAsia="zh-CN"/>
        </w:rPr>
        <w:t>专业</w:t>
      </w:r>
      <w:r>
        <w:rPr>
          <w:rFonts w:hint="eastAsia" w:ascii="仿宋_GB2312" w:hAnsi="仿宋_GB2312" w:eastAsia="仿宋_GB2312" w:cs="仿宋_GB2312"/>
          <w:sz w:val="32"/>
          <w:szCs w:val="32"/>
        </w:rPr>
        <w:t>小组</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分别完成协议指标量的</w:t>
      </w:r>
      <w:r>
        <w:rPr>
          <w:rFonts w:hint="eastAsia" w:ascii="仿宋_GB2312" w:hAnsi="仿宋_GB2312" w:eastAsia="仿宋_GB2312" w:cs="仿宋_GB2312"/>
          <w:sz w:val="32"/>
          <w:szCs w:val="32"/>
          <w:lang w:val="en-US" w:eastAsia="zh-CN"/>
        </w:rPr>
        <w:t>87.50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87.50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131.25%</w:t>
      </w:r>
      <w:r>
        <w:rPr>
          <w:rFonts w:hint="eastAsia" w:ascii="仿宋_GB2312" w:hAnsi="仿宋_GB2312" w:eastAsia="仿宋_GB2312" w:cs="仿宋_GB2312"/>
          <w:sz w:val="32"/>
          <w:szCs w:val="32"/>
        </w:rPr>
        <w:t>; 完成社区活动</w:t>
      </w:r>
      <w:r>
        <w:rPr>
          <w:rFonts w:hint="eastAsia" w:ascii="仿宋_GB2312" w:hAnsi="仿宋_GB2312" w:eastAsia="仿宋_GB2312" w:cs="仿宋_GB2312"/>
          <w:sz w:val="32"/>
          <w:szCs w:val="32"/>
          <w:lang w:val="en-US" w:eastAsia="zh-CN"/>
        </w:rPr>
        <w:t>63场</w:t>
      </w:r>
      <w:r>
        <w:rPr>
          <w:rFonts w:hint="eastAsia" w:ascii="仿宋_GB2312" w:hAnsi="仿宋_GB2312" w:eastAsia="仿宋_GB2312" w:cs="仿宋_GB2312"/>
          <w:sz w:val="32"/>
          <w:szCs w:val="32"/>
        </w:rPr>
        <w:t>次，服务</w:t>
      </w:r>
      <w:r>
        <w:rPr>
          <w:rFonts w:hint="eastAsia" w:ascii="仿宋_GB2312" w:hAnsi="仿宋_GB2312" w:eastAsia="仿宋_GB2312" w:cs="仿宋_GB2312"/>
          <w:sz w:val="32"/>
          <w:szCs w:val="32"/>
          <w:lang w:val="en-US" w:eastAsia="zh-CN"/>
        </w:rPr>
        <w:t>2030</w:t>
      </w:r>
      <w:r>
        <w:rPr>
          <w:rFonts w:hint="eastAsia" w:ascii="仿宋_GB2312" w:hAnsi="仿宋_GB2312" w:eastAsia="仿宋_GB2312" w:cs="仿宋_GB2312"/>
          <w:sz w:val="32"/>
          <w:szCs w:val="32"/>
        </w:rPr>
        <w:t>人次，分别完成协议指标量的</w:t>
      </w:r>
      <w:r>
        <w:rPr>
          <w:rFonts w:hint="eastAsia" w:ascii="仿宋_GB2312" w:hAnsi="仿宋_GB2312" w:eastAsia="仿宋_GB2312" w:cs="仿宋_GB2312"/>
          <w:sz w:val="32"/>
          <w:szCs w:val="32"/>
          <w:lang w:val="en-US" w:eastAsia="zh-CN"/>
        </w:rPr>
        <w:t>59.43</w:t>
      </w:r>
      <w:r>
        <w:rPr>
          <w:rFonts w:hint="eastAsia" w:ascii="仿宋_GB2312" w:hAnsi="仿宋_GB2312" w:eastAsia="仿宋_GB2312" w:cs="仿宋_GB2312"/>
          <w:sz w:val="32"/>
          <w:szCs w:val="32"/>
          <w:lang w:val="zh-CN" w:eastAsia="zh-CN" w:bidi="zh-CN"/>
        </w:rPr>
        <w:t>%、</w:t>
      </w:r>
      <w:r>
        <w:rPr>
          <w:rFonts w:hint="eastAsia" w:ascii="仿宋_GB2312" w:hAnsi="仿宋_GB2312" w:eastAsia="仿宋_GB2312" w:cs="仿宋_GB2312"/>
          <w:sz w:val="32"/>
          <w:szCs w:val="32"/>
          <w:lang w:val="en-US" w:eastAsia="zh-CN" w:bidi="zh-CN"/>
        </w:rPr>
        <w:t>78.08</w:t>
      </w:r>
      <w:r>
        <w:rPr>
          <w:rFonts w:hint="eastAsia" w:ascii="仿宋_GB2312" w:hAnsi="仿宋_GB2312" w:eastAsia="仿宋_GB2312" w:cs="仿宋_GB2312"/>
          <w:sz w:val="32"/>
          <w:szCs w:val="32"/>
          <w:lang w:val="zh-CN" w:eastAsia="zh-CN" w:bidi="zh-CN"/>
        </w:rPr>
        <w:t>%；</w:t>
      </w:r>
      <w:r>
        <w:rPr>
          <w:rFonts w:hint="eastAsia" w:ascii="仿宋_GB2312" w:hAnsi="仿宋_GB2312" w:eastAsia="仿宋_GB2312" w:cs="仿宋_GB2312"/>
          <w:sz w:val="32"/>
          <w:szCs w:val="32"/>
        </w:rPr>
        <w:t>发展志愿者队伍</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完成协议指标量的</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以上数据由社工站提供</w:t>
      </w:r>
      <w:r>
        <w:rPr>
          <w:rFonts w:hint="eastAsia" w:ascii="仿宋_GB2312" w:hAnsi="仿宋_GB2312" w:eastAsia="仿宋_GB2312" w:cs="仿宋_GB2312"/>
          <w:sz w:val="32"/>
          <w:szCs w:val="32"/>
          <w:lang w:val="en-US" w:eastAsia="zh-CN" w:bidi="en-US"/>
        </w:rPr>
        <w:t>）</w:t>
      </w:r>
      <w:r>
        <w:rPr>
          <w:rFonts w:hint="eastAsia" w:ascii="仿宋_GB2312" w:hAnsi="仿宋_GB2312" w:eastAsia="仿宋_GB2312" w:cs="仿宋_GB2312"/>
          <w:sz w:val="32"/>
          <w:szCs w:val="32"/>
          <w:lang w:val="en-US" w:eastAsia="zh-CN"/>
        </w:rPr>
        <w:t>。</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从以上数据可知，</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社工站服务指标完成情况良好，在服务进度方面整体把握到位。</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项目管理</w:t>
      </w:r>
      <w:r>
        <w:rPr>
          <w:rFonts w:hint="eastAsia" w:ascii="仿宋_GB2312" w:hAnsi="仿宋_GB2312" w:eastAsia="仿宋_GB2312" w:cs="仿宋_GB2312"/>
          <w:b/>
          <w:bCs/>
          <w:sz w:val="32"/>
          <w:szCs w:val="32"/>
          <w:lang w:eastAsia="zh-CN"/>
        </w:rPr>
        <w:t>情况</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通过与社工站主任、相关行政人员访谈，查阅相关资料等方式了解社工站运营管理情况，汇总成以下几点：</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1.值得肯定的地方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bCs/>
          <w:color w:val="auto"/>
          <w:sz w:val="32"/>
          <w:szCs w:val="32"/>
          <w:lang w:val="en-US" w:eastAsia="zh-CN"/>
        </w:rPr>
      </w:pPr>
      <w:bookmarkStart w:id="30" w:name="bookmark31"/>
      <w:bookmarkEnd w:id="30"/>
      <w:r>
        <w:rPr>
          <w:rFonts w:hint="eastAsia" w:ascii="仿宋_GB2312" w:hAnsi="仿宋_GB2312" w:eastAsia="仿宋_GB2312" w:cs="仿宋_GB2312"/>
          <w:bCs/>
          <w:color w:val="auto"/>
          <w:sz w:val="32"/>
          <w:szCs w:val="32"/>
          <w:lang w:val="en-US" w:eastAsia="zh-CN"/>
        </w:rPr>
        <w:t>（1）人员配置方面，社工站按协议要求配备社工人数 11人，其中持证社工 10人（中级社工师 6人，助理社工师 4人），持证社工比例达 90.9%。从业三年以上社工平均有 10人，占社工总数90.9%，稳岗率也达81.81%，值得肯定。社工站建立了人事管理制度，员工均签订劳动合同且备注服务站点。在继续教育方面，社工培训要求时数 396 小时，实际完成时数557小时，达标率 140.66%。</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服务规范和服务对象合法权益保障方面，社工站设有服务质量内控机制及内部定期反思总结工作机制，并执行定期的服务质量内检会议。同时，组织社工开展专业伦理价值规范及服务对象合法权益保障相关的培训与考核。</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（3）宣传渠道多样性方面，社工站能够利用社区宣传栏、公众号、媒体等平台和阵地，多形式、多渠道宣传社工站的服务信息。</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2.需要关注的地方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color w:val="auto"/>
          <w:sz w:val="32"/>
          <w:szCs w:val="32"/>
          <w:lang w:eastAsia="zh-CN"/>
        </w:rPr>
      </w:pPr>
      <w:bookmarkStart w:id="31" w:name="bookmark36"/>
      <w:bookmarkEnd w:id="31"/>
      <w:r>
        <w:rPr>
          <w:rFonts w:hint="eastAsia" w:ascii="仿宋_GB2312" w:hAnsi="仿宋_GB2312" w:eastAsia="仿宋_GB2312" w:cs="仿宋_GB2312"/>
          <w:sz w:val="32"/>
          <w:szCs w:val="32"/>
        </w:rPr>
        <w:t>通过与社工站主任、相关行政人员访谈，查阅相关资料等方式了解社工站运营管理情况，</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lang w:val="en-US" w:eastAsia="zh-CN"/>
        </w:rPr>
        <w:t>管理</w:t>
      </w:r>
      <w:r>
        <w:rPr>
          <w:rFonts w:hint="eastAsia" w:ascii="仿宋_GB2312" w:hAnsi="仿宋_GB2312" w:eastAsia="仿宋_GB2312" w:cs="仿宋_GB2312"/>
          <w:color w:val="auto"/>
          <w:sz w:val="32"/>
          <w:szCs w:val="32"/>
          <w:lang w:eastAsia="zh-CN"/>
        </w:rPr>
        <w:t>情况有以下几方面需关注：</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服务规范方面：一是建议建立“伦理议题常态化研讨计划”，由社工轮流围绕一个核心伦理议题进行讨论；尝试建立本站的《伦理困境案例库》，收集本站或外站的真实案例，作为研讨素材，让学习更有针对性，形成经验总结来提升实践效果。二是建议结合服务类型形成基础的《伦理自查清单》，借助工具更好地指引社工开展工作。</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服务持续改进层面：要重点关注从“落实”到“反思”到“总结”再到“整改”到“成效”的闭环思路。一是在意见收集方面：建议在设置服务对象意见箱、开展满意度调查的基础上，进一步加强与合作伙伴的意见收集，适当征求关于社工站专业服务水平、服务质量意见的相关资料，同步做好相关痕迹资料留存，为服务持续改进提供依据。二是社工站可对“社工专业能力提升计划”的内容安排上做精简，确保计划执行的有效性。在督导和共学环节，建议能围绕当年度的服务内容开展针对性地研讨。如：半年阶段和年末阶段，能够对开展的个案、小组和活动进行分类研讨或者专题督导，对社工的具体服务中的角色定位、理论运用、目标设定和服务设计等方面的合适、合理和专业运用进行反思，建立通过具体服务来反思、总结、整改优化的思路，真正促进服务质量的持续改善。</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四</w:t>
      </w:r>
      <w:r>
        <w:rPr>
          <w:rFonts w:hint="eastAsia" w:ascii="仿宋_GB2312" w:hAnsi="仿宋_GB2312" w:eastAsia="仿宋_GB2312" w:cs="仿宋_GB2312"/>
          <w:b/>
          <w:bCs/>
          <w:sz w:val="32"/>
          <w:szCs w:val="32"/>
          <w:highlight w:val="none"/>
          <w:lang w:eastAsia="zh-CN"/>
        </w:rPr>
        <w:t>）服务</w:t>
      </w:r>
      <w:r>
        <w:rPr>
          <w:rFonts w:hint="eastAsia" w:ascii="仿宋_GB2312" w:hAnsi="仿宋_GB2312" w:eastAsia="仿宋_GB2312" w:cs="仿宋_GB2312"/>
          <w:b/>
          <w:bCs/>
          <w:sz w:val="32"/>
          <w:szCs w:val="32"/>
          <w:highlight w:val="none"/>
        </w:rPr>
        <w:t>成效</w:t>
      </w:r>
      <w:r>
        <w:rPr>
          <w:rFonts w:hint="eastAsia" w:ascii="仿宋_GB2312" w:hAnsi="仿宋_GB2312" w:eastAsia="仿宋_GB2312" w:cs="仿宋_GB2312"/>
          <w:b/>
          <w:bCs/>
          <w:sz w:val="32"/>
          <w:szCs w:val="32"/>
          <w:highlight w:val="none"/>
          <w:lang w:eastAsia="zh-CN"/>
        </w:rPr>
        <w:t>和服务监测</w:t>
      </w:r>
      <w:r>
        <w:rPr>
          <w:rFonts w:hint="eastAsia" w:ascii="仿宋_GB2312" w:hAnsi="仿宋_GB2312" w:eastAsia="仿宋_GB2312" w:cs="仿宋_GB2312"/>
          <w:b/>
          <w:bCs/>
          <w:sz w:val="32"/>
          <w:szCs w:val="32"/>
          <w:highlight w:val="none"/>
        </w:rPr>
        <w:t>情况</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1.值得肯定的地方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经评估小组收集服务对象满意度、核查服务</w:t>
      </w:r>
      <w:r>
        <w:rPr>
          <w:rFonts w:ascii="仿宋_GB2312" w:hAnsi="仿宋_GB2312" w:eastAsia="仿宋_GB2312" w:cs="仿宋_GB2312"/>
          <w:color w:val="auto"/>
          <w:sz w:val="32"/>
          <w:szCs w:val="32"/>
          <w:lang w:eastAsia="zh-CN"/>
        </w:rPr>
        <w:t>数据</w:t>
      </w:r>
      <w:r>
        <w:rPr>
          <w:rFonts w:hint="eastAsia" w:ascii="仿宋_GB2312" w:hAnsi="仿宋_GB2312" w:eastAsia="仿宋_GB2312" w:cs="仿宋_GB2312"/>
          <w:color w:val="auto"/>
          <w:sz w:val="32"/>
          <w:szCs w:val="32"/>
          <w:lang w:eastAsia="zh-CN"/>
        </w:rPr>
        <w:t>，评</w:t>
      </w:r>
      <w:r>
        <w:rPr>
          <w:rFonts w:hint="eastAsia" w:ascii="仿宋_GB2312" w:hAnsi="仿宋_GB2312" w:eastAsia="仿宋_GB2312" w:cs="仿宋_GB2312"/>
          <w:sz w:val="32"/>
          <w:szCs w:val="32"/>
        </w:rPr>
        <w:t>委评估分析访谈情况和查阅项目调研、服务方案等各类服务工作痕迹记录资料，项目执行和成效总体情况有以下几方面值得肯定：</w:t>
      </w:r>
      <w:bookmarkStart w:id="32" w:name="bookmark40"/>
      <w:bookmarkEnd w:id="32"/>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社工站参与街道党组织活动积极，协助宣传党的民生政策有力。社工站现有党员社工4人，能定期与村居党委沟通互动、合作宣传党的政策，能积极围绕困难群众和特殊群体的服务需求探索党群企联动的服务模式，在居家微改造和“一心两牵手”结对帮扶工作中较好地发挥了社工站和共建党组织的先锋作用，值得肯定。</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社工站协助筹集社区慈善基金的成效较为突出。社工站依托“安心暖心亮心”专项行动，积极协助辖内12个社区慈善基金筹集了68万元资金，困难群众特殊群体的居住安全、物资短缺等急难需求得到了精准帮扶，值得肯定。</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社工站打造慈善项目的“益站”和“益站合伙人”思路较为创新。社工站积极引导居民认知、信任并参与公益，通过“益站”阵地、慈善义卖和公益市集等多样方式，联动社区合伙人，促进“人人可公益”，撬动慈善资源为“常态+应急”双重守护织密关爱网，值得肯定。</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社区培育方面，联动了3个社区社会组织，新培育2支志愿者队伍，共开展17次困难群众和特殊群体服务，服务共649人次；服务对象评价方面，通过调查问卷、走访等方式调查满意度，共106人接受调查评价，满意度95%以上。</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2.需要关注的地方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经评委评估分析访谈情况和查阅项目调研、服务方案等各类服务工作痕迹记录资料，项目执行和成效总体情况有以下几方面需关注：</w:t>
      </w:r>
      <w:bookmarkStart w:id="33" w:name="bookmark43"/>
      <w:bookmarkEnd w:id="33"/>
      <w:bookmarkStart w:id="34" w:name="bookmark44"/>
      <w:bookmarkEnd w:id="34"/>
      <w:bookmarkStart w:id="35" w:name="bookmark45"/>
      <w:bookmarkEnd w:id="35"/>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需求焦点和设计重点有待明晰。建议社工站重视不同对象不同需求的交叉分析，着力筛查需求和问题切入的焦点。建议结合新评估体系，对标明确党建资源、慈善力量和“五社联动”等项目的服务重心，以细化服务目标、理顺项目逻辑，需持续做好广州社工“红棉守护”热线后台的服务记录。</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（2）服务特色和亮点有待挖掘。建议社工站结合辖区特色和群体实际，紧扣“健康管理”或“安全教育”等主题服务，全力挖掘社工的特色做法和服务亮点，以更快更好地打造在地特色鲜明的品牌服务。</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自主链接社会资源的力度有待加强，建议社工站灵活转变链接社会资源的思路方法，结合辖内企业资源丰富、邻里文化浓厚等优势或特色，加快街道商会、工业园区等社会慈善资源的挖掘与联动进程，以全面推动慈善服务的可持续性和创新性。</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（4）在服务成效中发挥的社工专业优势和作用有待突出。建议社工站在兜底性、基础性、普惠性三大服务中，在党建项目、特色项目、五社联动项目等，</w:t>
      </w:r>
      <w:r>
        <w:rPr>
          <w:rFonts w:hint="eastAsia" w:ascii="仿宋_GB2312" w:hAnsi="仿宋_GB2312" w:eastAsia="仿宋_GB2312" w:cs="仿宋_GB2312"/>
          <w:sz w:val="32"/>
          <w:szCs w:val="32"/>
          <w:lang w:val="en-US" w:eastAsia="zh-CN"/>
        </w:rPr>
        <w:t>注重</w:t>
      </w:r>
      <w:r>
        <w:rPr>
          <w:rFonts w:hint="eastAsia" w:ascii="仿宋_GB2312" w:hAnsi="仿宋_GB2312" w:eastAsia="仿宋_GB2312" w:cs="仿宋_GB2312"/>
          <w:sz w:val="32"/>
          <w:szCs w:val="32"/>
          <w:lang w:eastAsia="zh-CN"/>
        </w:rPr>
        <w:t>不同对象和不同问题解决带来的影响，</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lang w:eastAsia="zh-CN"/>
        </w:rPr>
        <w:t>成效梳理总结，</w:t>
      </w:r>
      <w:r>
        <w:rPr>
          <w:rFonts w:hint="eastAsia" w:ascii="仿宋_GB2312" w:hAnsi="仿宋_GB2312" w:eastAsia="仿宋_GB2312" w:cs="仿宋_GB2312"/>
          <w:sz w:val="32"/>
          <w:szCs w:val="32"/>
          <w:lang w:val="en-US" w:eastAsia="zh-CN"/>
        </w:rPr>
        <w:t>发挥</w:t>
      </w:r>
      <w:r>
        <w:rPr>
          <w:rFonts w:hint="eastAsia" w:ascii="仿宋_GB2312" w:hAnsi="仿宋_GB2312" w:eastAsia="仿宋_GB2312" w:cs="仿宋_GB2312"/>
          <w:sz w:val="32"/>
          <w:szCs w:val="32"/>
          <w:lang w:eastAsia="zh-CN"/>
        </w:rPr>
        <w:t>社工在探索服务模式、打造经验亮点和拓展主题成效中的专业优势，以全面提升服务的成果和社会影响。</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（三）服务质量情况</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第一片区包括蔡一村、蔡二村、蔡三村、甘棠村、龙美村、江南社区</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1.值得肯定的地方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经评委评估分析访谈情况和查阅项目调研、服务方案等各类服务工作痕迹记录资料，项目执行和成效总体情况有以下几方面值得肯定：</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auto"/>
          <w:sz w:val="32"/>
          <w:szCs w:val="32"/>
          <w:lang w:eastAsia="zh-CN"/>
        </w:rPr>
      </w:pPr>
      <w:bookmarkStart w:id="36" w:name="bookmark48"/>
      <w:bookmarkEnd w:id="36"/>
      <w:bookmarkStart w:id="37" w:name="bookmark46"/>
      <w:bookmarkEnd w:id="37"/>
      <w:bookmarkStart w:id="38" w:name="bookmark47"/>
      <w:bookmarkEnd w:id="38"/>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服务指标完成情况良好，项目总体工时进度合理，符合中期评估要求。建档及服务覆盖面100%，累计建档253户/284人，其中一级服务对象0人，二级服务对象2人，三级服务对象104人，四级服务对象4人，五级服务对象171人，六级服务对象13人。三图一表完备，基本按照一户一档要求分类；困难群众和特殊群体的探访、电访</w:t>
      </w:r>
      <w:r>
        <w:rPr>
          <w:rFonts w:hint="eastAsia" w:ascii="仿宋_GB2312" w:hAnsi="仿宋_GB2312" w:eastAsia="仿宋_GB2312" w:cs="仿宋_GB2312"/>
          <w:color w:val="auto"/>
          <w:sz w:val="32"/>
          <w:szCs w:val="32"/>
          <w:lang w:val="en-US" w:eastAsia="zh-CN"/>
        </w:rPr>
        <w:t>指标完成</w:t>
      </w:r>
      <w:r>
        <w:rPr>
          <w:rFonts w:hint="eastAsia" w:ascii="仿宋_GB2312" w:hAnsi="仿宋_GB2312" w:eastAsia="仿宋_GB2312" w:cs="仿宋_GB2312"/>
          <w:color w:val="auto"/>
          <w:sz w:val="32"/>
          <w:szCs w:val="32"/>
          <w:lang w:eastAsia="zh-CN"/>
        </w:rPr>
        <w:t>率符合新指标要求；重大节日有落实各种形式的慰问，文字及影像资料齐全；上半周期累计电访962人次，探访491人次，发展个案服务6人，开展不同规模的活动28次，小组3个。困难群众和特殊群体的服务覆盖面基本达到100%。</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）建立了双工联动及跟踪回访机制，落实情况较好。经查，片区保留了较</w:t>
      </w:r>
      <w:r>
        <w:rPr>
          <w:rFonts w:hint="eastAsia" w:ascii="仿宋_GB2312" w:hAnsi="仿宋_GB2312" w:eastAsia="仿宋_GB2312" w:cs="仿宋_GB2312"/>
          <w:color w:val="auto"/>
          <w:sz w:val="32"/>
          <w:szCs w:val="32"/>
          <w:lang w:val="en-US" w:eastAsia="zh-CN"/>
        </w:rPr>
        <w:t>详细真实</w:t>
      </w:r>
      <w:r>
        <w:rPr>
          <w:rFonts w:hint="eastAsia" w:ascii="仿宋_GB2312" w:hAnsi="仿宋_GB2312" w:eastAsia="仿宋_GB2312" w:cs="仿宋_GB2312"/>
          <w:color w:val="auto"/>
          <w:sz w:val="32"/>
          <w:szCs w:val="32"/>
          <w:lang w:eastAsia="zh-CN"/>
        </w:rPr>
        <w:t xml:space="preserve">的回访记录，落实情况与机制要求保持较好的一致性；兜底民生政策宣传次数为14次，已超出指标要求，双岗联动情况较好。 </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第一片区能通过入户、相关利益方访谈、社区调查等多样化的调查方式，摸清困难群众和特殊群体、社区居民的问题和需求，也能结合《社区资产地图》《社区问题地图》分别形成6个村居的社区导向报告，并以此形成较为具体、可行的年度服务计划。</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）该片区能结合辖区内困难群众和特殊群体的疑难问题和重点需求，运用五社联动</w:t>
      </w:r>
      <w:r>
        <w:rPr>
          <w:rFonts w:hint="eastAsia" w:ascii="仿宋_GB2312" w:hAnsi="仿宋_GB2312" w:eastAsia="仿宋_GB2312" w:cs="仿宋_GB2312"/>
          <w:color w:val="auto"/>
          <w:sz w:val="32"/>
          <w:szCs w:val="32"/>
          <w:lang w:val="en-US" w:eastAsia="zh-CN"/>
        </w:rPr>
        <w:t>机制</w:t>
      </w:r>
      <w:r>
        <w:rPr>
          <w:rFonts w:hint="eastAsia" w:ascii="仿宋_GB2312" w:hAnsi="仿宋_GB2312" w:eastAsia="仿宋_GB2312" w:cs="仿宋_GB2312"/>
          <w:color w:val="auto"/>
          <w:sz w:val="32"/>
          <w:szCs w:val="32"/>
          <w:lang w:eastAsia="zh-CN"/>
        </w:rPr>
        <w:t>回应服务对象的困难解决和自我价值的提升，并梳理独居老人房屋微改造的典型个案案例和“安康相伴”项目式服务案例，体现团队较扎实的服务态度和专业能力。</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zh-CN" w:eastAsia="zh-CN" w:bidi="zh-CN"/>
        </w:rPr>
        <w:t>2</w:t>
      </w:r>
      <w:r>
        <w:rPr>
          <w:rFonts w:hint="eastAsia" w:ascii="仿宋_GB2312" w:hAnsi="仿宋_GB2312" w:eastAsia="仿宋_GB2312" w:cs="仿宋_GB2312"/>
          <w:b/>
          <w:bCs/>
          <w:sz w:val="32"/>
          <w:szCs w:val="32"/>
        </w:rPr>
        <w:t>.需要关注的地方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经评委评估分析访谈情况和查阅项目调研、服务方案等各类服务工作痕迹记录资料，项目执行和成效总体情况有以下几方面需关注：</w:t>
      </w:r>
    </w:p>
    <w:p>
      <w:pPr>
        <w:pStyle w:val="13"/>
        <w:keepNext w:val="0"/>
        <w:keepLines w:val="0"/>
        <w:pageBreakBefore w:val="0"/>
        <w:numPr>
          <w:ilvl w:val="0"/>
          <w:numId w:val="3"/>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建议进一步完善专业服务流程的规范性，关注规范的落实情况。经查，部分义诊服务有初步的疾病筛查，后续服务未呈现筛查结果及跟进情况（如眼科义诊活动ZY3241），建议完善服务流程；同时，入户探访代理签名同意书有代签情况，代签文本格式不妥。建议规范签名，建议服务对象本人或监护人亲自签名，或需载明代签人身份和姓名，以降低服务对象知情权缺失的专业伦理风险。</w:t>
      </w:r>
    </w:p>
    <w:p>
      <w:pPr>
        <w:pStyle w:val="13"/>
        <w:keepNext w:val="0"/>
        <w:keepLines w:val="0"/>
        <w:pageBreakBefore w:val="0"/>
        <w:numPr>
          <w:ilvl w:val="0"/>
          <w:numId w:val="3"/>
        </w:numPr>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关注困难群众和特殊群体分级评估的准确性，加强探访服务与服务计划、《广州市社工站购买服务项目服务清单（民政领域社会工作）》的一致性。抽查到PYDH-GT-029所在家庭中困境儿童经济状况栏目、PYDH-CY-071支持网络栏目的分级评估结论准确性有待商榷。需视评估级别确定服务频次，该结论的准确性非常重要，建议团队关注。另外，部分对象的探访记录所载内容与服务清单要求存在一些差异，如三级重残老人PYDH-CE-037对照清单14-1的清单的服务内容较少；对患有抑郁症及休学、升学情况的困境儿童PYDH-CY-062服务中，直接接触困境儿童的服务痕迹较少，建议关注针对不同群体服务清单内容的落实情况。</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对困难群众和特殊群体的服务精准度还有提升的空间。如在抽查的部分小组、社区活动文书中，较多是对老年人的慢性疾病、健康方面的普惠性服务，在活动背景中虽强调服务困难群众，但是在参与成员的构成上，如何区别困难群众和特殊群体与一般群体的比例和数据，需要社工在服务记录和总结反思上有所呈现；在部分健康排查社区服务中也需要关注进一步跟进服务的形式，以及部分困难个案是否需转介及更适切的衔接服务。</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片区包括东沙村、左边村、榄塘村、富豪社区、金山谷社区、东环社区</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1.值得肯定的地方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经评委评估分析访谈情况和查阅项目调研、服务方案等各类服务工作痕迹记录资料，该项目</w:t>
      </w:r>
      <w:r>
        <w:rPr>
          <w:rFonts w:hint="eastAsia" w:ascii="仿宋_GB2312" w:hAnsi="仿宋_GB2312" w:eastAsia="仿宋_GB2312" w:cs="仿宋_GB2312"/>
          <w:sz w:val="32"/>
          <w:szCs w:val="32"/>
          <w:lang w:eastAsia="zh-CN"/>
        </w:rPr>
        <w:t>有</w:t>
      </w:r>
      <w:r>
        <w:rPr>
          <w:rFonts w:hint="eastAsia" w:ascii="仿宋_GB2312" w:hAnsi="仿宋_GB2312" w:eastAsia="仿宋_GB2312" w:cs="仿宋_GB2312"/>
          <w:sz w:val="32"/>
          <w:szCs w:val="32"/>
        </w:rPr>
        <w:t>以下几方面值得肯定：</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bookmarkStart w:id="39" w:name="bookmark53"/>
      <w:bookmarkEnd w:id="39"/>
      <w:bookmarkStart w:id="40" w:name="bookmark52"/>
      <w:bookmarkEnd w:id="40"/>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）社工站建立个案、小组、社区服务流程和指引、建立服务跟踪回访机制，流程指引具有可操作性和指导性，查阅档案可见社工能够按照指引落实执行。</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第二片区社工通过相关方访谈、社区导向报告分析、过往服务数据资料分析、困难群众和特殊群体重新建档和评估分析，绘制社区资产地图、社区问题地图、服务对象社区分布地图，形成需求分析报告，并制定了年度工作计划。</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第二片区社工评估周期内共开展建档262户290人，实现“一户一档”，抽查建档资料可见社工基本能够按照《困难群众和特殊群体兜底保障社工服务机制》进行分级，制定《服务对象家庭信息汇总表》，动态服务信息及时更新呈现。</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评估周期内，联动事务岗社工94次，开展兜底民生政策宣传18场。开展电访、探访、重大节日慰问等工作1565人次。在服务产出方面开展个案7个，跟进38节；开展小组4个，共12节；社区活动19场，服务598人次。通过跟踪回访和满意度反馈，第二片区所开展的服务得到参与者的肯定，专业服务在提供资源、志愿者服务组织、情绪心理压力缓解等方面发挥了作用。片区链接资源开展微心愿6场，公益市集3场，通过“五社暖善行”社区公益慈善项目等筹集资源及款项，并培育1支“银龄互助”长者志愿者队伍，开展志愿服务10场，所开展的服务获得国家、省、市、区多级媒体报道36次，有效扩大了项目的影响力。</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2.需要关注的地方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经评委评估分析访谈情况和查阅项目调研、服务方案等各类服务工作痕迹记录资料，该项目以下几方面需关注：</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）在服务对象建档资料中，</w:t>
      </w:r>
      <w:r>
        <w:rPr>
          <w:rFonts w:hint="eastAsia" w:ascii="仿宋_GB2312" w:hAnsi="仿宋_GB2312" w:eastAsia="仿宋_GB2312" w:cs="仿宋_GB2312"/>
          <w:sz w:val="32"/>
          <w:szCs w:val="32"/>
          <w:lang w:val="en-US" w:eastAsia="zh-CN"/>
        </w:rPr>
        <w:t>建议</w:t>
      </w:r>
      <w:r>
        <w:rPr>
          <w:rFonts w:hint="eastAsia" w:ascii="仿宋_GB2312" w:hAnsi="仿宋_GB2312" w:eastAsia="仿宋_GB2312" w:cs="仿宋_GB2312"/>
          <w:sz w:val="32"/>
          <w:szCs w:val="32"/>
          <w:lang w:eastAsia="zh-CN"/>
        </w:rPr>
        <w:t>针对服务对象的背景信息尽可能精确的描述，避免过多使用概括性的语言描述和判断，如“靠着微薄的村分红和老人金维持看病、吃药、生活，经济较为窘迫”，如能够详细了解收入和支出信息，在分级评估中能够更准确的判断家庭收支等级。</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对困境儿童“一人一案”，建议在服务分析时能够结合困境儿童的个别化情况及需求进行描述分析，避免在困境儿童的需求分析和服务提供中出现较多相似的描述。同时在“一人一案”服务计划执行方面，在日常跟进中</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lang w:eastAsia="zh-CN"/>
        </w:rPr>
        <w:t>落实服务目标的设定和具体内容，提供更加优质的服务。</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服务计划执行的逻辑分析可进一步加强，如在活动的提供方面“安全童行，守护成长”防溺水安全宣传活动，目标设定的主体是儿童，实际服务执行中40名参与者以中老年人为主，儿童2至9岁仅7人参加，活动总结报告可对参与对象及成效与计划的差异进行进一步分析。如“益路同行，安全成长”儿童安全教育小组，在背景资料中针对金山谷13名困境儿童进行了需求分析，但小组实际执行仅2名困境儿童参与。查阅服务对象家庭信息汇总表，显示并未针对该社区困境儿童进行广泛的小组宣传和动员，建议在总结报告中对参与对象的差异原因和表现进行分析说明。在个案服务的跟踪回访中，建议对服务目标达成后的巩固情况进行了解，以便了解服务对象动态，如个案PYDH-DS-C02-202507(ZY3301）针对服务目标中学习压力缓解情况可在回访中了解压力缓解办法的使用情况及效果。</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（四）购买方反馈</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1.值得肯定的地方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bookmarkStart w:id="41" w:name="bookmark75"/>
      <w:bookmarkEnd w:id="41"/>
      <w:bookmarkStart w:id="42" w:name="bookmark74"/>
      <w:bookmarkEnd w:id="42"/>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）社工站能较好地配合街道完成各项工作，服务态度保持良好，服务主动性强。</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）能</w:t>
      </w:r>
      <w:r>
        <w:rPr>
          <w:rFonts w:hint="eastAsia" w:ascii="仿宋_GB2312" w:hAnsi="仿宋_GB2312" w:eastAsia="仿宋_GB2312" w:cs="仿宋_GB2312"/>
          <w:sz w:val="32"/>
          <w:szCs w:val="32"/>
          <w:lang w:val="en-US" w:eastAsia="zh-CN"/>
        </w:rPr>
        <w:t>做好</w:t>
      </w:r>
      <w:r>
        <w:rPr>
          <w:rFonts w:hint="eastAsia" w:ascii="仿宋_GB2312" w:hAnsi="仿宋_GB2312" w:eastAsia="仿宋_GB2312" w:cs="仿宋_GB2312"/>
          <w:sz w:val="32"/>
          <w:szCs w:val="32"/>
          <w:lang w:eastAsia="zh-CN"/>
        </w:rPr>
        <w:t>服务管理和日常业务，</w:t>
      </w:r>
      <w:r>
        <w:rPr>
          <w:rFonts w:hint="eastAsia" w:ascii="仿宋_GB2312" w:hAnsi="仿宋_GB2312" w:eastAsia="仿宋_GB2312" w:cs="仿宋_GB2312"/>
          <w:sz w:val="32"/>
          <w:szCs w:val="32"/>
          <w:lang w:val="en-US" w:eastAsia="zh-CN"/>
        </w:rPr>
        <w:t>形成</w:t>
      </w:r>
      <w:r>
        <w:rPr>
          <w:rFonts w:hint="eastAsia" w:ascii="仿宋_GB2312" w:hAnsi="仿宋_GB2312" w:eastAsia="仿宋_GB2312" w:cs="仿宋_GB2312"/>
          <w:sz w:val="32"/>
          <w:szCs w:val="32"/>
          <w:lang w:eastAsia="zh-CN"/>
        </w:rPr>
        <w:t>动态汇报机制，</w:t>
      </w:r>
      <w:r>
        <w:rPr>
          <w:rFonts w:hint="eastAsia" w:ascii="仿宋_GB2312" w:hAnsi="仿宋_GB2312" w:eastAsia="仿宋_GB2312" w:cs="仿宋_GB2312"/>
          <w:sz w:val="32"/>
          <w:szCs w:val="32"/>
          <w:lang w:val="en-US" w:eastAsia="zh-CN"/>
        </w:rPr>
        <w:t>建立</w:t>
      </w:r>
      <w:r>
        <w:rPr>
          <w:rFonts w:hint="eastAsia" w:ascii="仿宋_GB2312" w:hAnsi="仿宋_GB2312" w:eastAsia="仿宋_GB2312" w:cs="仿宋_GB2312"/>
          <w:sz w:val="32"/>
          <w:szCs w:val="32"/>
          <w:lang w:eastAsia="zh-CN"/>
        </w:rPr>
        <w:t>良好的沟通渠道。</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）能</w:t>
      </w:r>
      <w:r>
        <w:rPr>
          <w:rFonts w:hint="eastAsia" w:ascii="仿宋_GB2312" w:hAnsi="仿宋_GB2312" w:eastAsia="仿宋_GB2312" w:cs="仿宋_GB2312"/>
          <w:sz w:val="32"/>
          <w:szCs w:val="32"/>
          <w:lang w:val="en-US" w:eastAsia="zh-CN"/>
        </w:rPr>
        <w:t>注重</w:t>
      </w:r>
      <w:r>
        <w:rPr>
          <w:rFonts w:hint="eastAsia" w:ascii="仿宋_GB2312" w:hAnsi="仿宋_GB2312" w:eastAsia="仿宋_GB2312" w:cs="仿宋_GB2312"/>
          <w:sz w:val="32"/>
          <w:szCs w:val="32"/>
          <w:lang w:eastAsia="zh-CN"/>
        </w:rPr>
        <w:t>服务成效，具有一定的品牌影响力。</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2.需要关注的地方</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）党建工作方面有需要整改提升的空间。</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）服务宣传方面需进一步扩大覆盖面。</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2" w:firstLineChars="200"/>
        <w:jc w:val="both"/>
        <w:rPr>
          <w:rFonts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（五）市督导中心反馈</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2" w:firstLineChars="200"/>
        <w:jc w:val="both"/>
        <w:rPr>
          <w:rFonts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1.值得肯定的地方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经评委评估分析访谈情况和查阅项目调研、服务方案等各类服务工作痕迹记录资料，该项目</w:t>
      </w:r>
      <w:r>
        <w:rPr>
          <w:rFonts w:hint="eastAsia" w:ascii="仿宋_GB2312" w:hAnsi="仿宋_GB2312" w:eastAsia="仿宋_GB2312" w:cs="仿宋_GB2312"/>
          <w:sz w:val="32"/>
          <w:szCs w:val="32"/>
          <w:lang w:eastAsia="zh-CN"/>
        </w:rPr>
        <w:t>有</w:t>
      </w:r>
      <w:r>
        <w:rPr>
          <w:rFonts w:hint="eastAsia" w:ascii="仿宋_GB2312" w:hAnsi="仿宋_GB2312" w:eastAsia="仿宋_GB2312" w:cs="仿宋_GB2312"/>
          <w:sz w:val="32"/>
          <w:szCs w:val="32"/>
        </w:rPr>
        <w:t>以下几方面值得肯定：</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在能力提升体系建设方面有一定成效。项目团队整合行业资源、机构支持和内部社工力量，依托培训、督导与共学计划常态化推进社工能力提升，特别是在培训方面，坚持内外联动，除行业培训外，机构还定期聘请专业讲师为员工提供专题培训；在内部共学方面也有效整合了机构和项目自身资源。同时，项目积极吸纳上期评估意见，对内部督导制度进行了系统完善，涵盖选拔、培养、使用、评价与激励等内容，并通过机构培训加强内部督导队伍建设，通过邀请参与核心会议、共商发展规划等方式落实激励措施。</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在人员协同方面表现突出。项目团队积极总结前期“双工”协同经验，进一步优化《人员协同联动方案》，明确沟通频次、服务联动与共学安排，有效推动项目社工紧密对接社区、直聘社工，协作性强，为工作协同奠定坚实基础。“双工”联动执行效果良好，双工联动持续深化，有效形成服务合力，共同落实社区的兜底民生服务，特别在精准对接困难群众和特殊群体的需求，并为其匹配相应资源方面成效显著。此外，项目定期开展联动情况检视，形成《人员协同联动成效报告》，有助于优化下一步“双工”联动工作，推动社工站兜底民生服务的精准性和实效性。</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重视服务经验总结与宣传推广。项目制作了宣传单张、宣传手册、困难群众和特殊群体服务手册、服务案例汇编及宣传视频等多类宣传物料，内容全面且针对性强。线下通过项目宣传栏、村（居）宣传栏以及社区活动推广，线上充分利用公众号、视频号、抖音号等自媒体平台，及时推送项目动态、服务成效，形成线上线下联动的宣传网络，多渠道提升项目知晓度。此外，还积极书写产出6篇服务案例，对接国家、省、市级宣传平台，主动分享项目服务模式与实践经验，有效扩大项目影响力。</w:t>
      </w:r>
    </w:p>
    <w:p>
      <w:pPr>
        <w:pStyle w:val="13"/>
        <w:keepNext w:val="0"/>
        <w:keepLines w:val="0"/>
        <w:pageBreakBefore w:val="0"/>
        <w:kinsoku/>
        <w:wordWrap/>
        <w:overflowPunct/>
        <w:topLinePunct w:val="0"/>
        <w:autoSpaceDE/>
        <w:autoSpaceDN/>
        <w:bidi w:val="0"/>
        <w:adjustRightInd/>
        <w:snapToGrid/>
        <w:spacing w:after="0" w:line="560" w:lineRule="exact"/>
        <w:ind w:left="0" w:leftChars="0" w:firstLine="642" w:firstLineChars="200"/>
        <w:jc w:val="both"/>
        <w:rPr>
          <w:rFonts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2.值得关注的地方</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经评委评估分析访谈情况和查阅项目调研、服务方案等各类</w:t>
      </w:r>
      <w:r>
        <w:rPr>
          <w:rFonts w:hint="eastAsia" w:ascii="仿宋_GB2312" w:hAnsi="仿宋_GB2312" w:eastAsia="仿宋_GB2312" w:cs="仿宋_GB2312"/>
          <w:sz w:val="32"/>
          <w:szCs w:val="32"/>
          <w:lang w:eastAsia="zh-CN"/>
        </w:rPr>
        <w:t>服</w:t>
      </w:r>
      <w:r>
        <w:rPr>
          <w:rFonts w:hint="eastAsia" w:ascii="仿宋_GB2312" w:hAnsi="仿宋_GB2312" w:eastAsia="仿宋_GB2312" w:cs="仿宋_GB2312"/>
          <w:sz w:val="32"/>
          <w:szCs w:val="32"/>
        </w:rPr>
        <w:t>务工作痕迹记录资料，该项目以下几方面需关注：</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能力提升体系建设规划需进一步系统化。建议项目在需求调研基础上，加强归纳分析，设定更具针对性的目标并细化实施计划，增强体系逻辑性，形成“需求分析—目标设定—计划执行—定期检视—成效总结”的闭环管理机制。同时，应健全培训与共学活动的评价反馈机制，定期分析反馈信息以评估实施效果。此外，在厘清内、外部督导职责分工的基础上，应促进双方协同配合，整合督导资源，为社工提供更有效的专业支持。</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研究成果产出质量有待提升。项目虽积极撰写服务案例，但尚未实现有效发表。建议结合能力提升体系规划，加强社工实务研究能力培养，鼓励参与全国性案例征集、论坛征稿及国家级期刊投稿等工作，力争在国家级平台发表实务研究成果，实现突破。</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方正小标宋简体" w:hAnsi="仿宋_GB2312" w:eastAsia="方正小标宋简体" w:cs="仿宋_GB2312"/>
          <w:b/>
          <w:sz w:val="32"/>
          <w:szCs w:val="32"/>
          <w:lang w:val="en-US"/>
        </w:rPr>
      </w:pPr>
      <w:r>
        <w:rPr>
          <w:rFonts w:hint="eastAsia" w:ascii="方正小标宋简体" w:hAnsi="仿宋_GB2312" w:eastAsia="方正小标宋简体" w:cs="仿宋_GB2312"/>
          <w:b/>
          <w:sz w:val="32"/>
          <w:szCs w:val="32"/>
          <w:lang w:val="en-US"/>
        </w:rPr>
        <w:t>三、评估反馈</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评估反馈主要分为两大环节，一是现场反馈环节，二是对评估报告初稿的意见反馈环节。本次</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社工站的反馈如下：</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bookmarkStart w:id="43" w:name="bookmark85"/>
      <w:bookmarkEnd w:id="43"/>
      <w:r>
        <w:rPr>
          <w:rFonts w:hint="eastAsia" w:ascii="仿宋_GB2312" w:hAnsi="仿宋_GB2312" w:eastAsia="仿宋_GB2312" w:cs="仿宋_GB2312"/>
          <w:b/>
          <w:bCs/>
          <w:sz w:val="32"/>
          <w:szCs w:val="32"/>
          <w:lang w:val="en-US"/>
        </w:rPr>
        <w:t>1.</w:t>
      </w:r>
      <w:r>
        <w:rPr>
          <w:rFonts w:hint="eastAsia" w:ascii="仿宋_GB2312" w:hAnsi="仿宋_GB2312" w:eastAsia="仿宋_GB2312" w:cs="仿宋_GB2312"/>
          <w:b/>
          <w:bCs/>
          <w:sz w:val="32"/>
          <w:szCs w:val="32"/>
        </w:rPr>
        <w:t>现场反馈：</w:t>
      </w:r>
      <w:r>
        <w:rPr>
          <w:rFonts w:hint="eastAsia" w:ascii="仿宋_GB2312" w:hAnsi="仿宋_GB2312" w:eastAsia="仿宋_GB2312" w:cs="仿宋_GB2312"/>
          <w:sz w:val="32"/>
          <w:szCs w:val="32"/>
        </w:rPr>
        <w:t>经过为期一天的评估，评委针对</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社工站的情况，进行了现场总结反馈，在总结反馈环节，</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社工站表示对评委们提出的意见和建议无异议。</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2.对评估报告初稿的反馈：</w:t>
      </w:r>
      <w:r>
        <w:rPr>
          <w:rFonts w:hint="eastAsia" w:ascii="仿宋_GB2312" w:hAnsi="仿宋_GB2312" w:eastAsia="仿宋_GB2312" w:cs="仿宋_GB2312"/>
          <w:sz w:val="32"/>
          <w:szCs w:val="32"/>
        </w:rPr>
        <w:t>番禺区民政局、</w:t>
      </w:r>
      <w:r>
        <w:rPr>
          <w:rFonts w:hint="eastAsia" w:ascii="仿宋_GB2312" w:hAnsi="仿宋_GB2312" w:eastAsia="仿宋_GB2312" w:cs="仿宋_GB2312"/>
          <w:sz w:val="32"/>
          <w:szCs w:val="32"/>
          <w:lang w:eastAsia="zh-CN"/>
        </w:rPr>
        <w:t>东环街道办事处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东环街</w:t>
      </w:r>
      <w:r>
        <w:rPr>
          <w:rFonts w:hint="eastAsia" w:ascii="仿宋_GB2312" w:hAnsi="仿宋_GB2312" w:eastAsia="仿宋_GB2312" w:cs="仿宋_GB2312"/>
          <w:sz w:val="32"/>
          <w:szCs w:val="32"/>
        </w:rPr>
        <w:t>社工站对评估报告初稿无异议。</w:t>
      </w:r>
    </w:p>
    <w:p>
      <w:pPr>
        <w:pStyle w:val="13"/>
        <w:keepNext w:val="0"/>
        <w:keepLines w:val="0"/>
        <w:pageBreakBefore w:val="0"/>
        <w:kinsoku/>
        <w:wordWrap/>
        <w:overflowPunct/>
        <w:topLinePunct w:val="0"/>
        <w:autoSpaceDE/>
        <w:autoSpaceDN/>
        <w:bidi w:val="0"/>
        <w:adjustRightInd/>
        <w:snapToGrid/>
        <w:spacing w:after="0" w:line="560" w:lineRule="exact"/>
        <w:ind w:firstLine="642" w:firstLineChars="200"/>
        <w:jc w:val="both"/>
        <w:rPr>
          <w:rFonts w:ascii="方正小标宋简体" w:hAnsi="仿宋_GB2312" w:eastAsia="方正小标宋简体" w:cs="仿宋_GB2312"/>
          <w:b/>
          <w:sz w:val="32"/>
          <w:szCs w:val="32"/>
          <w:lang w:val="en-US"/>
        </w:rPr>
      </w:pPr>
      <w:bookmarkStart w:id="44" w:name="bookmark86"/>
      <w:r>
        <w:rPr>
          <w:rFonts w:hint="eastAsia" w:ascii="方正小标宋简体" w:hAnsi="仿宋_GB2312" w:eastAsia="方正小标宋简体" w:cs="仿宋_GB2312"/>
          <w:b/>
          <w:sz w:val="32"/>
          <w:szCs w:val="32"/>
          <w:lang w:val="en-US"/>
        </w:rPr>
        <w:t>四</w:t>
      </w:r>
      <w:bookmarkEnd w:id="44"/>
      <w:r>
        <w:rPr>
          <w:rFonts w:hint="eastAsia" w:ascii="方正小标宋简体" w:hAnsi="仿宋_GB2312" w:eastAsia="方正小标宋简体" w:cs="仿宋_GB2312"/>
          <w:b/>
          <w:sz w:val="32"/>
          <w:szCs w:val="32"/>
          <w:lang w:val="en-US"/>
        </w:rPr>
        <w:t>、评估等级</w:t>
      </w:r>
    </w:p>
    <w:p>
      <w:pPr>
        <w:pStyle w:val="13"/>
        <w:keepNext w:val="0"/>
        <w:keepLines w:val="0"/>
        <w:pageBreakBefore w:val="0"/>
        <w:kinsoku/>
        <w:wordWrap/>
        <w:overflowPunct/>
        <w:topLinePunct w:val="0"/>
        <w:autoSpaceDE/>
        <w:autoSpaceDN/>
        <w:bidi w:val="0"/>
        <w:adjustRightInd/>
        <w:snapToGrid/>
        <w:spacing w:after="120" w:line="560" w:lineRule="exact"/>
        <w:ind w:firstLine="640" w:firstLineChars="200"/>
        <w:jc w:val="both"/>
        <w:rPr>
          <w:rFonts w:ascii="仿宋_GB2312" w:eastAsia="仿宋_GB2312"/>
          <w:sz w:val="32"/>
          <w:szCs w:val="32"/>
          <w:lang w:val="en-US" w:eastAsia="zh-CN"/>
        </w:rPr>
      </w:pPr>
      <w:bookmarkStart w:id="45" w:name="bookmark87"/>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3"/>
        <w:keepNext w:val="0"/>
        <w:keepLines w:val="0"/>
        <w:pageBreakBefore w:val="0"/>
        <w:kinsoku/>
        <w:wordWrap/>
        <w:overflowPunct/>
        <w:topLinePunct w:val="0"/>
        <w:autoSpaceDE/>
        <w:autoSpaceDN/>
        <w:bidi w:val="0"/>
        <w:adjustRightInd/>
        <w:snapToGrid/>
        <w:spacing w:after="120" w:line="560" w:lineRule="exact"/>
        <w:ind w:firstLine="640" w:firstLineChars="200"/>
        <w:jc w:val="both"/>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，东环街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w:t>
      </w:r>
      <w:r>
        <w:rPr>
          <w:rFonts w:hint="eastAsia" w:ascii="仿宋_GB2312" w:eastAsia="仿宋_GB2312"/>
          <w:color w:val="auto"/>
          <w:sz w:val="32"/>
          <w:szCs w:val="32"/>
          <w:highlight w:val="none"/>
        </w:rPr>
        <w:t>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87.43</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692" w:type="pct"/>
            <w:vAlign w:val="center"/>
          </w:tcPr>
          <w:p>
            <w:pPr>
              <w:pStyle w:val="13"/>
              <w:keepNext w:val="0"/>
              <w:keepLines w:val="0"/>
              <w:pageBreakBefore w:val="0"/>
              <w:kinsoku/>
              <w:wordWrap/>
              <w:overflowPunct/>
              <w:topLinePunct w:val="0"/>
              <w:autoSpaceDE/>
              <w:autoSpaceDN/>
              <w:bidi w:val="0"/>
              <w:adjustRightInd/>
              <w:snapToGrid/>
              <w:spacing w:after="0" w:line="560" w:lineRule="exact"/>
              <w:ind w:firstLine="562" w:firstLineChars="200"/>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vAlign w:val="center"/>
          </w:tcPr>
          <w:p>
            <w:pPr>
              <w:pStyle w:val="13"/>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pPr>
              <w:pStyle w:val="13"/>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pPr>
              <w:pStyle w:val="13"/>
              <w:keepNext w:val="0"/>
              <w:keepLines w:val="0"/>
              <w:pageBreakBefore w:val="0"/>
              <w:kinsoku/>
              <w:wordWrap/>
              <w:overflowPunct/>
              <w:topLinePunct w:val="0"/>
              <w:autoSpaceDE/>
              <w:autoSpaceDN/>
              <w:bidi w:val="0"/>
              <w:adjustRightInd/>
              <w:snapToGrid/>
              <w:spacing w:after="0" w:line="560" w:lineRule="exact"/>
              <w:ind w:left="0" w:leftChars="0" w:firstLine="0" w:firstLineChars="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olor w:val="000000"/>
                <w:kern w:val="0"/>
                <w:sz w:val="32"/>
                <w:szCs w:val="32"/>
                <w:u w:val="none"/>
                <w:lang w:val="en-US" w:eastAsia="zh-CN" w:bidi="ar"/>
              </w:rPr>
              <w:t>8.5</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8.3</w:t>
            </w:r>
          </w:p>
        </w:tc>
        <w:tc>
          <w:tcPr>
            <w:tcW w:w="848"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olor w:val="000000"/>
                <w:kern w:val="0"/>
                <w:sz w:val="32"/>
                <w:szCs w:val="32"/>
                <w:u w:val="none"/>
                <w:lang w:val="en-US" w:eastAsia="zh-CN" w:bidi="ar"/>
              </w:rPr>
              <w:t>20</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14.3</w:t>
            </w:r>
          </w:p>
        </w:tc>
        <w:tc>
          <w:tcPr>
            <w:tcW w:w="848"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Style w:val="30"/>
                <w:rFonts w:ascii="仿宋_GB2312" w:hAnsi="仿宋_GB2312" w:eastAsia="仿宋_GB2312" w:cs="仿宋_GB2312"/>
                <w:sz w:val="28"/>
                <w:szCs w:val="28"/>
                <w:lang w:eastAsia="zh-CN" w:bidi="ar"/>
              </w:rPr>
              <w:t>运营管理</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olor w:val="000000"/>
                <w:kern w:val="0"/>
                <w:sz w:val="32"/>
                <w:szCs w:val="32"/>
                <w:u w:val="none"/>
                <w:lang w:val="en-US" w:eastAsia="zh-CN" w:bidi="ar"/>
              </w:rPr>
              <w:t>8.5</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7.7</w:t>
            </w:r>
          </w:p>
        </w:tc>
        <w:tc>
          <w:tcPr>
            <w:tcW w:w="848"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服务质量（第一片区）</w:t>
            </w:r>
          </w:p>
        </w:tc>
        <w:tc>
          <w:tcPr>
            <w:tcW w:w="728" w:type="pct"/>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18</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5.6</w:t>
            </w:r>
          </w:p>
        </w:tc>
        <w:tc>
          <w:tcPr>
            <w:tcW w:w="848" w:type="pct"/>
            <w:vMerge w:val="restar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服务质量（第二片区）</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i w:val="0"/>
                <w:iCs w:val="0"/>
                <w:color w:val="000000"/>
                <w:kern w:val="0"/>
                <w:sz w:val="32"/>
                <w:szCs w:val="32"/>
                <w:u w:val="none"/>
                <w:lang w:val="en-US" w:eastAsia="zh-CN" w:bidi="ar"/>
              </w:rPr>
              <w:t>18</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5.95</w:t>
            </w:r>
          </w:p>
        </w:tc>
        <w:tc>
          <w:tcPr>
            <w:tcW w:w="848" w:type="pct"/>
            <w:vMerge w:val="continue"/>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Style w:val="30"/>
                <w:rFonts w:ascii="仿宋_GB2312" w:hAnsi="仿宋_GB2312" w:eastAsia="仿宋_GB2312" w:cs="仿宋_GB2312"/>
                <w:sz w:val="28"/>
                <w:szCs w:val="28"/>
                <w:lang w:eastAsia="zh-CN" w:bidi="ar"/>
              </w:rPr>
              <w:t>购买方</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olor w:val="000000"/>
                <w:kern w:val="0"/>
                <w:sz w:val="32"/>
                <w:szCs w:val="32"/>
                <w:u w:val="none"/>
                <w:lang w:val="en-US" w:eastAsia="zh-CN" w:bidi="ar"/>
              </w:rPr>
              <w:t>20</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19.8</w:t>
            </w:r>
          </w:p>
        </w:tc>
        <w:tc>
          <w:tcPr>
            <w:tcW w:w="848"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olor w:val="000000"/>
                <w:kern w:val="0"/>
                <w:sz w:val="32"/>
                <w:szCs w:val="32"/>
                <w:u w:val="none"/>
                <w:lang w:val="en-US" w:eastAsia="zh-CN" w:bidi="ar"/>
              </w:rPr>
              <w:t>15</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12.55</w:t>
            </w:r>
          </w:p>
        </w:tc>
        <w:tc>
          <w:tcPr>
            <w:tcW w:w="848" w:type="pct"/>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692" w:type="pct"/>
            <w:vAlign w:val="center"/>
          </w:tcPr>
          <w:p>
            <w:pPr>
              <w:keepNext w:val="0"/>
              <w:keepLines w:val="0"/>
              <w:pageBreakBefore w:val="0"/>
              <w:widowControl/>
              <w:kinsoku/>
              <w:wordWrap/>
              <w:overflowPunct/>
              <w:topLinePunct w:val="0"/>
              <w:autoSpaceDE/>
              <w:autoSpaceDN/>
              <w:bidi w:val="0"/>
              <w:adjustRightInd/>
              <w:snapToGrid/>
              <w:spacing w:line="560" w:lineRule="exact"/>
              <w:ind w:firstLine="560" w:firstLineChars="200"/>
              <w:jc w:val="center"/>
              <w:textAlignment w:val="center"/>
              <w:rPr>
                <w:rFonts w:ascii="仿宋_GB2312" w:hAnsi="仿宋_GB2312" w:eastAsia="仿宋_GB2312" w:cs="仿宋_GB2312"/>
                <w:sz w:val="28"/>
                <w:szCs w:val="28"/>
                <w:lang w:eastAsia="zh-CN" w:bidi="ar"/>
              </w:rPr>
            </w:pPr>
            <w:r>
              <w:rPr>
                <w:rStyle w:val="30"/>
                <w:rFonts w:ascii="仿宋_GB2312" w:hAnsi="仿宋_GB2312" w:eastAsia="仿宋_GB2312" w:cs="仿宋_GB2312"/>
                <w:sz w:val="28"/>
                <w:szCs w:val="28"/>
                <w:lang w:eastAsia="zh-CN" w:bidi="ar"/>
              </w:rPr>
              <w:t>监督方</w:t>
            </w:r>
          </w:p>
        </w:tc>
        <w:tc>
          <w:tcPr>
            <w:tcW w:w="728" w:type="pct"/>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olor w:val="000000"/>
                <w:kern w:val="0"/>
                <w:sz w:val="32"/>
                <w:szCs w:val="32"/>
                <w:u w:val="none"/>
                <w:lang w:val="en-US" w:eastAsia="zh-CN" w:bidi="ar"/>
              </w:rPr>
              <w:t>10</w:t>
            </w:r>
          </w:p>
        </w:tc>
        <w:tc>
          <w:tcPr>
            <w:tcW w:w="731"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848" w:type="pct"/>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pPr>
              <w:pStyle w:val="13"/>
              <w:keepNext w:val="0"/>
              <w:keepLines w:val="0"/>
              <w:pageBreakBefore w:val="0"/>
              <w:kinsoku/>
              <w:wordWrap/>
              <w:overflowPunct/>
              <w:topLinePunct w:val="0"/>
              <w:autoSpaceDE/>
              <w:autoSpaceDN/>
              <w:bidi w:val="0"/>
              <w:adjustRightInd/>
              <w:snapToGrid/>
              <w:spacing w:after="0" w:line="560" w:lineRule="exact"/>
              <w:ind w:firstLine="562" w:firstLineChars="20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87.43</w:t>
            </w:r>
          </w:p>
        </w:tc>
      </w:tr>
    </w:tbl>
    <w:p>
      <w:pPr>
        <w:pStyle w:val="13"/>
        <w:keepNext w:val="0"/>
        <w:keepLines w:val="0"/>
        <w:pageBreakBefore w:val="0"/>
        <w:kinsoku/>
        <w:wordWrap/>
        <w:overflowPunct/>
        <w:topLinePunct w:val="0"/>
        <w:autoSpaceDE/>
        <w:autoSpaceDN/>
        <w:bidi w:val="0"/>
        <w:adjustRightInd/>
        <w:snapToGrid/>
        <w:spacing w:after="0" w:line="560" w:lineRule="exact"/>
        <w:ind w:left="0" w:leftChars="0" w:firstLine="642" w:firstLineChars="200"/>
        <w:jc w:val="both"/>
        <w:rPr>
          <w:rFonts w:ascii="方正小标宋简体" w:hAnsi="仿宋_GB2312" w:eastAsia="方正小标宋简体" w:cs="仿宋_GB2312"/>
          <w:b/>
          <w:sz w:val="32"/>
          <w:szCs w:val="32"/>
          <w:lang w:val="en-US"/>
        </w:rPr>
      </w:pPr>
      <w:r>
        <w:rPr>
          <w:rFonts w:hint="eastAsia" w:ascii="方正小标宋简体" w:hAnsi="仿宋_GB2312" w:eastAsia="方正小标宋简体" w:cs="仿宋_GB2312"/>
          <w:b/>
          <w:sz w:val="32"/>
          <w:szCs w:val="32"/>
          <w:lang w:val="en-US"/>
        </w:rPr>
        <w:t>五</w:t>
      </w:r>
      <w:bookmarkEnd w:id="45"/>
      <w:r>
        <w:rPr>
          <w:rFonts w:hint="eastAsia" w:ascii="方正小标宋简体" w:hAnsi="仿宋_GB2312" w:eastAsia="方正小标宋简体" w:cs="仿宋_GB2312"/>
          <w:b/>
          <w:sz w:val="32"/>
          <w:szCs w:val="32"/>
          <w:lang w:val="en-US"/>
        </w:rPr>
        <w:t>、结语</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东环街社工服务站在番禺区民政局、东环街道办事处的大力支持下，在广州市番禺区正阳社会工作服务中心的努力下，本运营周期内，设有服务质量内控机制及内部定期反思总结工作机制，服务流程清晰规范，人员配备、专业持证率、队伍稳定性均符合管理办法和协议等相关要求，项目团队整合行业资源、机构支持和内部社工力量，依托培训、督导与共学计划常态化推进社工能力提升；社工站参与街道党组织活动积极，协助宣传党的民生政策有力，协助筹集社区慈善基金的成效较为突出，打造慈善项目的“益站”和“益站合伙人”思路较为创新，常态化运用红棉守护热线的服务手段，持续为困难群体提供服务支持，重视服务宣传推广。</w:t>
      </w:r>
    </w:p>
    <w:p>
      <w:pPr>
        <w:pStyle w:val="13"/>
        <w:keepNext w:val="0"/>
        <w:keepLines w:val="0"/>
        <w:pageBreakBefore w:val="0"/>
        <w:kinsoku/>
        <w:wordWrap/>
        <w:overflowPunct/>
        <w:topLinePunct w:val="0"/>
        <w:autoSpaceDE/>
        <w:autoSpaceDN/>
        <w:bidi w:val="0"/>
        <w:adjustRightInd/>
        <w:snapToGrid/>
        <w:spacing w:after="0" w:line="560" w:lineRule="exact"/>
        <w:ind w:firstLine="640" w:firstLineChars="200"/>
        <w:jc w:val="both"/>
        <w:rPr>
          <w:rFonts w:ascii="仿宋_GB2312" w:hAnsi="仿宋_GB2312" w:eastAsia="仿宋_GB2312" w:cs="仿宋_GB2312"/>
          <w:sz w:val="32"/>
          <w:szCs w:val="32"/>
          <w:highlight w:val="yellow"/>
          <w:lang w:eastAsia="zh-CN"/>
        </w:rPr>
      </w:pPr>
      <w:r>
        <w:rPr>
          <w:rFonts w:hint="eastAsia" w:ascii="仿宋_GB2312" w:hAnsi="仿宋_GB2312" w:eastAsia="仿宋_GB2312" w:cs="仿宋_GB2312"/>
          <w:sz w:val="32"/>
          <w:szCs w:val="32"/>
          <w:highlight w:val="none"/>
          <w:lang w:eastAsia="zh-CN"/>
        </w:rPr>
        <w:t>建议社工站进一步完善专业服务流程的规范性，关注规范的落实情况，关注困难群众和特殊群体分级评估的准确性，加强探访服务与服务计划、《广州市社工站购买服务项目服务清单（民政领域社会工作）》的一致性，对服务计划执行的逻辑分析可进一步加强，结合辖区特色和群体实际，全力挖掘社工的特色做法和服务亮点，</w:t>
      </w:r>
      <w:r>
        <w:rPr>
          <w:rFonts w:hint="eastAsia" w:ascii="仿宋_GB2312" w:hAnsi="仿宋_GB2312" w:eastAsia="仿宋_GB2312" w:cs="仿宋_GB2312"/>
          <w:sz w:val="32"/>
          <w:szCs w:val="32"/>
          <w:lang w:val="en-US" w:eastAsia="zh-CN"/>
        </w:rPr>
        <w:t>发挥</w:t>
      </w:r>
      <w:r>
        <w:rPr>
          <w:rFonts w:hint="eastAsia" w:ascii="仿宋_GB2312" w:hAnsi="仿宋_GB2312" w:eastAsia="仿宋_GB2312" w:cs="仿宋_GB2312"/>
          <w:sz w:val="32"/>
          <w:szCs w:val="32"/>
          <w:lang w:eastAsia="zh-CN"/>
        </w:rPr>
        <w:t>社工在探索服务模式、打造经验亮点和拓展主题成效中的专业优势，以全面提升服务的成果和社会影响</w:t>
      </w:r>
      <w:r>
        <w:rPr>
          <w:rFonts w:hint="eastAsia" w:ascii="仿宋_GB2312" w:hAnsi="仿宋_GB2312" w:eastAsia="仿宋_GB2312" w:cs="仿宋_GB2312"/>
          <w:sz w:val="32"/>
          <w:szCs w:val="32"/>
          <w:highlight w:val="none"/>
          <w:lang w:eastAsia="zh-CN"/>
        </w:rPr>
        <w:t>。</w:t>
      </w:r>
    </w:p>
    <w:p>
      <w:pPr>
        <w:tabs>
          <w:tab w:val="left" w:pos="8054"/>
        </w:tabs>
        <w:ind w:firstLine="5120" w:firstLineChars="1600"/>
        <w:rPr>
          <w:rFonts w:ascii="仿宋_GB2312" w:hAnsi="仿宋_GB2312" w:eastAsia="仿宋_GB2312" w:cs="仿宋_GB2312"/>
          <w:sz w:val="32"/>
          <w:szCs w:val="32"/>
          <w:lang w:eastAsia="zh-CN"/>
        </w:rPr>
      </w:pPr>
    </w:p>
    <w:p>
      <w:pPr>
        <w:tabs>
          <w:tab w:val="left" w:pos="8054"/>
        </w:tabs>
        <w:rPr>
          <w:rFonts w:ascii="仿宋_GB2312" w:hAnsi="仿宋_GB2312" w:eastAsia="仿宋_GB2312" w:cs="仿宋_GB2312"/>
          <w:sz w:val="32"/>
          <w:szCs w:val="32"/>
          <w:lang w:eastAsia="zh-CN"/>
        </w:rPr>
      </w:pPr>
    </w:p>
    <w:p>
      <w:pPr>
        <w:tabs>
          <w:tab w:val="left" w:pos="8054"/>
        </w:tabs>
        <w:rPr>
          <w:rFonts w:ascii="仿宋_GB2312" w:hAnsi="仿宋_GB2312" w:eastAsia="仿宋_GB2312" w:cs="仿宋_GB2312"/>
          <w:sz w:val="32"/>
          <w:szCs w:val="32"/>
          <w:lang w:eastAsia="zh-CN"/>
        </w:rPr>
      </w:pPr>
    </w:p>
    <w:p>
      <w:pPr>
        <w:tabs>
          <w:tab w:val="left" w:pos="8054"/>
        </w:tabs>
        <w:ind w:firstLine="5120" w:firstLineChars="16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广州市番禺区社会组织联合会</w:t>
      </w:r>
    </w:p>
    <w:p>
      <w:pPr>
        <w:tabs>
          <w:tab w:val="left" w:pos="8054"/>
        </w:tabs>
        <w:ind w:firstLine="6080" w:firstLineChars="19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24日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恅隋苤梓冼潠"/>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恅隋苤梓冼潠"/>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23</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vY9gwLAIAAFU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K9j2DAsAgAAVQQAAA4AAAAAAAAAAQAgAAAANQEAAGRy&#10;cy9lMm9Eb2MueG1sUEsFBgAAAAAGAAYAWQEAANMFAAAAAA==&#10;">
              <v:fill on="f" focussize="0,0"/>
              <v:stroke on="f" weight="0.5pt"/>
              <v:imagedata o:title=""/>
              <o:lock v:ext="edit" aspectratio="f"/>
              <v:textbox inset="0mm,0mm,0mm,0mm" style="mso-fit-shape-to-text:t;">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23</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22</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Am1VpzKgIAAFUEAAAOAAAAAAAAAAEAIAAAADUBAABkcnMv&#10;ZTJvRG9jLnhtbFBLBQYAAAAABgAGAFkBAADRBQAAAAA=&#10;">
              <v:fill on="f" focussize="0,0"/>
              <v:stroke on="f" weight="0.5pt"/>
              <v:imagedata o:title=""/>
              <o:lock v:ext="edit" aspectratio="f"/>
              <v:textbox inset="0mm,0mm,0mm,0mm" style="mso-fit-shape-to-text:t;">
                <w:txbxContent>
                  <w:p>
                    <w:pPr>
                      <w:pStyle w:val="6"/>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22</w:t>
                    </w:r>
                    <w:r>
                      <w:rPr>
                        <w:rFonts w:hint="eastAsia" w:eastAsia="宋体"/>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1">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29BD8A94"/>
    <w:multiLevelType w:val="singleLevel"/>
    <w:tmpl w:val="29BD8A94"/>
    <w:lvl w:ilvl="0" w:tentative="0">
      <w:start w:val="1"/>
      <w:numFmt w:val="decimal"/>
      <w:suff w:val="nothing"/>
      <w:lvlText w:val="（%1）"/>
      <w:lvlJc w:val="left"/>
      <w:rPr>
        <w:rFonts w:hint="default" w:ascii="仿宋_GB2312" w:hAnsi="仿宋_GB2312" w:eastAsia="仿宋_GB2312" w:cs="仿宋_GB2312"/>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FF72E3"/>
    <w:rsid w:val="000F7B24"/>
    <w:rsid w:val="001F1720"/>
    <w:rsid w:val="001F2BB5"/>
    <w:rsid w:val="00205075"/>
    <w:rsid w:val="002C00D3"/>
    <w:rsid w:val="00376042"/>
    <w:rsid w:val="003A021A"/>
    <w:rsid w:val="003C0710"/>
    <w:rsid w:val="004158EF"/>
    <w:rsid w:val="00416480"/>
    <w:rsid w:val="004444F4"/>
    <w:rsid w:val="004843D6"/>
    <w:rsid w:val="00520CAE"/>
    <w:rsid w:val="00524EB8"/>
    <w:rsid w:val="006314E2"/>
    <w:rsid w:val="006B0F8D"/>
    <w:rsid w:val="006C1349"/>
    <w:rsid w:val="006C6170"/>
    <w:rsid w:val="007321BE"/>
    <w:rsid w:val="00737CBC"/>
    <w:rsid w:val="007968A3"/>
    <w:rsid w:val="007C1E62"/>
    <w:rsid w:val="007E448C"/>
    <w:rsid w:val="00800535"/>
    <w:rsid w:val="0086434C"/>
    <w:rsid w:val="00A43BE8"/>
    <w:rsid w:val="00B513A6"/>
    <w:rsid w:val="00BA6081"/>
    <w:rsid w:val="00BE19B0"/>
    <w:rsid w:val="00C514E1"/>
    <w:rsid w:val="00C541FB"/>
    <w:rsid w:val="00C87EC6"/>
    <w:rsid w:val="00CA0003"/>
    <w:rsid w:val="00D24B9C"/>
    <w:rsid w:val="00D5093B"/>
    <w:rsid w:val="00D745B1"/>
    <w:rsid w:val="00DA7660"/>
    <w:rsid w:val="00DD2542"/>
    <w:rsid w:val="00E16653"/>
    <w:rsid w:val="00F43823"/>
    <w:rsid w:val="00FD65B2"/>
    <w:rsid w:val="00FD6729"/>
    <w:rsid w:val="00FF72E3"/>
    <w:rsid w:val="01DF6CC0"/>
    <w:rsid w:val="02494095"/>
    <w:rsid w:val="078223F3"/>
    <w:rsid w:val="08101B26"/>
    <w:rsid w:val="08256902"/>
    <w:rsid w:val="087F10C0"/>
    <w:rsid w:val="09E73E43"/>
    <w:rsid w:val="0BA92DF2"/>
    <w:rsid w:val="0CD7229F"/>
    <w:rsid w:val="0CF603EF"/>
    <w:rsid w:val="10C20BDE"/>
    <w:rsid w:val="12DE535A"/>
    <w:rsid w:val="134E256C"/>
    <w:rsid w:val="145C6CA6"/>
    <w:rsid w:val="17C46B41"/>
    <w:rsid w:val="1807554D"/>
    <w:rsid w:val="188925B1"/>
    <w:rsid w:val="1B3F63D2"/>
    <w:rsid w:val="1EBE3B80"/>
    <w:rsid w:val="2121438A"/>
    <w:rsid w:val="214510C5"/>
    <w:rsid w:val="226C1D80"/>
    <w:rsid w:val="22DA7262"/>
    <w:rsid w:val="242B3FE6"/>
    <w:rsid w:val="2661061D"/>
    <w:rsid w:val="2D7D6145"/>
    <w:rsid w:val="2E9A0686"/>
    <w:rsid w:val="2F066741"/>
    <w:rsid w:val="32007960"/>
    <w:rsid w:val="32AD6639"/>
    <w:rsid w:val="34525525"/>
    <w:rsid w:val="34E064AA"/>
    <w:rsid w:val="35C47435"/>
    <w:rsid w:val="36A046D3"/>
    <w:rsid w:val="38BC73D9"/>
    <w:rsid w:val="39F24B10"/>
    <w:rsid w:val="3A2B0CF2"/>
    <w:rsid w:val="3C1F5400"/>
    <w:rsid w:val="3C74109D"/>
    <w:rsid w:val="3CE14E10"/>
    <w:rsid w:val="4144689B"/>
    <w:rsid w:val="41B634F6"/>
    <w:rsid w:val="42800618"/>
    <w:rsid w:val="468616E7"/>
    <w:rsid w:val="47423AE6"/>
    <w:rsid w:val="482B163C"/>
    <w:rsid w:val="483128EA"/>
    <w:rsid w:val="4938684F"/>
    <w:rsid w:val="4A7809EC"/>
    <w:rsid w:val="4CC33DFC"/>
    <w:rsid w:val="50E315F9"/>
    <w:rsid w:val="51744477"/>
    <w:rsid w:val="51850890"/>
    <w:rsid w:val="51EE32A6"/>
    <w:rsid w:val="532C5D47"/>
    <w:rsid w:val="5350123C"/>
    <w:rsid w:val="54262AF4"/>
    <w:rsid w:val="57DA73A0"/>
    <w:rsid w:val="5B0B1A70"/>
    <w:rsid w:val="5B9B400F"/>
    <w:rsid w:val="5C21057F"/>
    <w:rsid w:val="5C60266C"/>
    <w:rsid w:val="5DB51EE0"/>
    <w:rsid w:val="60555C01"/>
    <w:rsid w:val="608C3DB0"/>
    <w:rsid w:val="624502F4"/>
    <w:rsid w:val="62E24D01"/>
    <w:rsid w:val="63425675"/>
    <w:rsid w:val="63974B7F"/>
    <w:rsid w:val="63B75375"/>
    <w:rsid w:val="63FFA83B"/>
    <w:rsid w:val="64AF414A"/>
    <w:rsid w:val="6504378B"/>
    <w:rsid w:val="666B61BB"/>
    <w:rsid w:val="66CB5705"/>
    <w:rsid w:val="68C57D3D"/>
    <w:rsid w:val="68C76600"/>
    <w:rsid w:val="69EC742C"/>
    <w:rsid w:val="6A4F6BDB"/>
    <w:rsid w:val="6FA02D4D"/>
    <w:rsid w:val="6FC523EA"/>
    <w:rsid w:val="709E056B"/>
    <w:rsid w:val="70F572FD"/>
    <w:rsid w:val="74145AF7"/>
    <w:rsid w:val="742D34EF"/>
    <w:rsid w:val="74971EBD"/>
    <w:rsid w:val="767B0848"/>
    <w:rsid w:val="768C58D0"/>
    <w:rsid w:val="792D2A8E"/>
    <w:rsid w:val="7B5E4CBD"/>
    <w:rsid w:val="7E361070"/>
    <w:rsid w:val="7F799BD2"/>
    <w:rsid w:val="7FFF69D1"/>
    <w:rsid w:val="FF7E5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widowControl w:val="0"/>
      <w:ind w:firstLine="420" w:firstLineChars="200"/>
      <w:jc w:val="both"/>
    </w:pPr>
    <w:rPr>
      <w:rFonts w:ascii="Calibri" w:hAnsi="Calibri" w:eastAsia="宋体" w:cs="Times New Roman"/>
      <w:kern w:val="2"/>
      <w:sz w:val="28"/>
      <w:lang w:val="en-US" w:eastAsia="zh-CN" w:bidi="ar-SA"/>
    </w:rPr>
  </w:style>
  <w:style w:type="paragraph" w:styleId="4">
    <w:name w:val="annotation text"/>
    <w:basedOn w:val="1"/>
    <w:qFormat/>
    <w:uiPriority w:val="0"/>
  </w:style>
  <w:style w:type="paragraph" w:styleId="5">
    <w:name w:val="Body Text"/>
    <w:basedOn w:val="1"/>
    <w:link w:val="29"/>
    <w:qFormat/>
    <w:uiPriority w:val="0"/>
    <w:pPr>
      <w:spacing w:after="120"/>
    </w:pPr>
  </w:style>
  <w:style w:type="paragraph" w:styleId="6">
    <w:name w:val="footer"/>
    <w:basedOn w:val="1"/>
    <w:qFormat/>
    <w:uiPriority w:val="0"/>
    <w:pP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paragraph" w:customStyle="1" w:styleId="28">
    <w:name w:val="NOTE_Normal"/>
    <w:basedOn w:val="1"/>
    <w:next w:val="5"/>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29">
    <w:name w:val="正文文本 Char"/>
    <w:basedOn w:val="9"/>
    <w:link w:val="5"/>
    <w:qFormat/>
    <w:uiPriority w:val="0"/>
    <w:rPr>
      <w:rFonts w:eastAsia="Times New Roman"/>
      <w:color w:val="000000"/>
      <w:sz w:val="24"/>
      <w:szCs w:val="24"/>
      <w:lang w:eastAsia="en-US" w:bidi="en-US"/>
    </w:rPr>
  </w:style>
  <w:style w:type="character" w:customStyle="1" w:styleId="30">
    <w:name w:val="font1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10293</Words>
  <Characters>10702</Characters>
  <Lines>81</Lines>
  <Paragraphs>23</Paragraphs>
  <TotalTime>23</TotalTime>
  <ScaleCrop>false</ScaleCrop>
  <LinksUpToDate>false</LinksUpToDate>
  <CharactersWithSpaces>10721</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2023-11-01T23:31:00Z</dcterms:created>
  <dc:creator>WPS Office</dc:creator>
  <cp:lastModifiedBy>局办公室（公文审核）</cp:lastModifiedBy>
  <cp:lastPrinted>2022-09-09T02:10:00Z</cp:lastPrinted>
  <dcterms:modified xsi:type="dcterms:W3CDTF">2025-11-07T16:41:29Z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0EAB245CE42B4A209087C64CDA5C3956_13</vt:lpwstr>
  </property>
  <property fmtid="{D5CDD505-2E9C-101B-9397-08002B2CF9AE}" pid="4" name="KSOTemplateDocerSaveRecord">
    <vt:lpwstr>eyJoZGlkIjoiZDZhZGYwNTVjNmEwZDlmYmM0M2UzYmUxZTMyY2ZhNTgiLCJ1c2VySWQiOiIyOTU1NTMyNTMifQ==</vt:lpwstr>
  </property>
</Properties>
</file>