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22ACB9">
      <w:pPr>
        <w:adjustRightInd w:val="0"/>
        <w:snapToGrid w:val="0"/>
        <w:spacing w:line="560" w:lineRule="exact"/>
        <w:rPr>
          <w:rFonts w:ascii="黑体" w:hAnsi="黑体" w:eastAsia="黑体" w:cs="仿宋_GB2312"/>
          <w:szCs w:val="32"/>
        </w:rPr>
      </w:pPr>
      <w:r>
        <w:rPr>
          <w:rFonts w:hint="eastAsia" w:ascii="黑体" w:hAnsi="黑体" w:eastAsia="黑体" w:cs="仿宋_GB2312"/>
          <w:szCs w:val="32"/>
        </w:rPr>
        <w:t>附件</w:t>
      </w:r>
    </w:p>
    <w:p w14:paraId="3A54C2C2">
      <w:pPr>
        <w:adjustRightInd w:val="0"/>
        <w:snapToGrid w:val="0"/>
        <w:spacing w:line="560" w:lineRule="exact"/>
        <w:jc w:val="center"/>
        <w:rPr>
          <w:rFonts w:ascii="方正小标宋_GBK" w:eastAsia="方正小标宋_GBK"/>
          <w:sz w:val="44"/>
          <w:szCs w:val="44"/>
        </w:rPr>
      </w:pPr>
    </w:p>
    <w:p w14:paraId="2DC5DBD4">
      <w:pPr>
        <w:adjustRightInd w:val="0"/>
        <w:snapToGrid w:val="0"/>
        <w:spacing w:line="560" w:lineRule="exact"/>
        <w:jc w:val="center"/>
        <w:rPr>
          <w:rFonts w:ascii="方正小标宋简体" w:eastAsia="方正小标宋简体"/>
          <w:sz w:val="44"/>
          <w:szCs w:val="44"/>
        </w:rPr>
      </w:pPr>
      <w:r>
        <w:rPr>
          <w:rFonts w:hint="eastAsia" w:ascii="方正小标宋简体" w:eastAsia="方正小标宋简体"/>
          <w:sz w:val="44"/>
          <w:szCs w:val="44"/>
        </w:rPr>
        <w:t>番禺区见义勇为人员奖励和保障实施细则</w:t>
      </w:r>
    </w:p>
    <w:p w14:paraId="21BA0AB4">
      <w:pPr>
        <w:adjustRightInd w:val="0"/>
        <w:snapToGrid w:val="0"/>
        <w:spacing w:line="560" w:lineRule="exact"/>
        <w:jc w:val="center"/>
        <w:rPr>
          <w:rFonts w:ascii="仿宋_GB2312"/>
          <w:szCs w:val="32"/>
        </w:rPr>
      </w:pPr>
      <w:r>
        <w:rPr>
          <w:rFonts w:hint="eastAsia" w:ascii="仿宋_GB2312" w:hAnsi="仿宋_GB2312" w:cs="仿宋_GB2312"/>
          <w:bCs/>
          <w:szCs w:val="32"/>
        </w:rPr>
        <w:t>（征求意见稿）</w:t>
      </w:r>
      <w:bookmarkStart w:id="0" w:name="_GoBack"/>
      <w:bookmarkEnd w:id="0"/>
    </w:p>
    <w:p w14:paraId="3FA4C35D"/>
    <w:p w14:paraId="2412B5C8">
      <w:pPr>
        <w:numPr>
          <w:ilvl w:val="0"/>
          <w:numId w:val="1"/>
        </w:num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napToGrid w:val="0"/>
          <w:szCs w:val="32"/>
        </w:rPr>
        <w:t>为弘扬社会正气，鼓励见义勇为并保障见义勇为人员的合法权益</w:t>
      </w:r>
      <w:r>
        <w:rPr>
          <w:rFonts w:hint="eastAsia" w:ascii="仿宋_GB2312" w:hAnsi="仿宋_GB2312" w:cs="仿宋_GB2312"/>
          <w:szCs w:val="32"/>
        </w:rPr>
        <w:t>，根据《广州市见义勇为人员奖励和保障实施办法》，结合本区实际，制定本细则。</w:t>
      </w:r>
    </w:p>
    <w:p w14:paraId="60299412">
      <w:pPr>
        <w:numPr>
          <w:ilvl w:val="0"/>
          <w:numId w:val="1"/>
        </w:num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本细则适用于本区行政区域内实施见义勇为人员的奖励保障工作。</w:t>
      </w:r>
    </w:p>
    <w:p w14:paraId="28CC9D7F">
      <w:pPr>
        <w:numPr>
          <w:ilvl w:val="0"/>
          <w:numId w:val="1"/>
        </w:numPr>
        <w:adjustRightInd w:val="0"/>
        <w:snapToGrid w:val="0"/>
        <w:spacing w:line="560" w:lineRule="exact"/>
        <w:ind w:firstLine="640" w:firstLineChars="200"/>
        <w:rPr>
          <w:rFonts w:ascii="仿宋_GB2312" w:hAnsi="仿宋_GB2312" w:cs="仿宋_GB2312"/>
          <w:szCs w:val="32"/>
          <w:lang w:val="zh-CN"/>
        </w:rPr>
      </w:pPr>
      <w:r>
        <w:rPr>
          <w:rFonts w:hint="eastAsia" w:ascii="仿宋_GB2312" w:hAnsi="仿宋_GB2312" w:cs="仿宋_GB2312"/>
          <w:szCs w:val="32"/>
          <w:lang w:val="zh-CN"/>
        </w:rPr>
        <w:t>不负有法定职责、法定义务的人员，具有下列情形之一的，可以确认为见义勇为：</w:t>
      </w:r>
    </w:p>
    <w:p w14:paraId="19DE4DEB">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（一）制止正在危害国家安全、公共安全或者扰乱社会秩序的违法犯罪行为；</w:t>
      </w:r>
    </w:p>
    <w:p w14:paraId="71DC2244">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（二）制止正在侵害国家、集体财产或者他人人身、财产安全的违法犯罪行为；</w:t>
      </w:r>
    </w:p>
    <w:p w14:paraId="313F2D10">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（三）实施救人、抢险、救灾等行为；</w:t>
      </w:r>
    </w:p>
    <w:p w14:paraId="6A839DD7">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（四）法律法规以及国家和省、市有关规定明确可以确认为见义勇为的其他行为。</w:t>
      </w:r>
    </w:p>
    <w:p w14:paraId="2E49BB3C">
      <w:pPr>
        <w:numPr>
          <w:ilvl w:val="0"/>
          <w:numId w:val="1"/>
        </w:numPr>
        <w:adjustRightInd w:val="0"/>
        <w:snapToGrid w:val="0"/>
        <w:spacing w:line="560" w:lineRule="exact"/>
        <w:ind w:firstLine="640" w:firstLineChars="200"/>
        <w:rPr>
          <w:rFonts w:ascii="仿宋_GB2312" w:hAnsi="仿宋_GB2312" w:cs="仿宋_GB2312"/>
          <w:szCs w:val="32"/>
          <w:lang w:val="zh-CN"/>
        </w:rPr>
      </w:pPr>
      <w:r>
        <w:rPr>
          <w:rFonts w:hint="eastAsia" w:ascii="仿宋_GB2312" w:hAnsi="仿宋_GB2312" w:cs="仿宋_GB2312"/>
          <w:szCs w:val="32"/>
        </w:rPr>
        <w:t>区人民政府成立见义勇为评定委员会，由区委宣传部、区公安分局、区财政局、区教育局、区民政局、区司法局、区人力资源和社会保障局、区住房和城乡建设局、区卫生健康局、区见义勇为基金会组成，负责组织实施本细则。</w:t>
      </w:r>
    </w:p>
    <w:p w14:paraId="1220B263">
      <w:pPr>
        <w:adjustRightInd w:val="0"/>
        <w:snapToGrid w:val="0"/>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rPr>
        <w:t>评定委员会办公室设在区公安分局，负责对见义勇为事迹的审核、确认和奖励，定期整理和分析评估工作中存在的问题，组织、协调、指导各成员单位开展工作，根据实际工作需要提请召开评委会议。</w:t>
      </w:r>
    </w:p>
    <w:p w14:paraId="5F9EC413">
      <w:pPr>
        <w:numPr>
          <w:ilvl w:val="0"/>
          <w:numId w:val="1"/>
        </w:numPr>
        <w:adjustRightInd w:val="0"/>
        <w:snapToGrid w:val="0"/>
        <w:spacing w:line="560" w:lineRule="exact"/>
        <w:ind w:firstLine="640" w:firstLineChars="200"/>
        <w:rPr>
          <w:rFonts w:ascii="仿宋_GB2312" w:hAnsi="仿宋_GB2312" w:cs="仿宋_GB2312"/>
          <w:szCs w:val="32"/>
          <w:lang w:val="zh-CN"/>
        </w:rPr>
      </w:pPr>
      <w:r>
        <w:rPr>
          <w:rFonts w:hint="eastAsia" w:ascii="仿宋_GB2312" w:hAnsi="仿宋_GB2312" w:cs="仿宋_GB2312"/>
          <w:szCs w:val="32"/>
        </w:rPr>
        <w:t>发生在本区行政区域内的见义勇为行为，行为人及其近亲属可以向区见义勇为评定委员会申请确认见义勇为行为。有关单位和个人也可以举荐见义勇为人员</w:t>
      </w:r>
      <w:r>
        <w:rPr>
          <w:rFonts w:hint="eastAsia" w:ascii="仿宋_GB2312" w:hAnsi="仿宋_GB2312" w:cs="仿宋_GB2312"/>
          <w:szCs w:val="32"/>
          <w:lang w:val="zh-CN"/>
        </w:rPr>
        <w:t>。</w:t>
      </w:r>
    </w:p>
    <w:p w14:paraId="2E7CC380">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申请、举荐确认</w:t>
      </w:r>
      <w:r>
        <w:rPr>
          <w:rFonts w:hint="eastAsia" w:ascii="仿宋_GB2312" w:hAnsi="仿宋_GB2312" w:cs="仿宋_GB2312"/>
          <w:snapToGrid w:val="0"/>
          <w:szCs w:val="32"/>
        </w:rPr>
        <w:t>见义勇为的，应当自行为发生之日起6个月内提出。</w:t>
      </w:r>
      <w:r>
        <w:rPr>
          <w:rFonts w:hint="eastAsia" w:ascii="仿宋_GB2312" w:hAnsi="仿宋_GB2312" w:cs="仿宋_GB2312"/>
          <w:snapToGrid w:val="0"/>
          <w:szCs w:val="32"/>
          <w:lang w:val="zh-CN"/>
        </w:rPr>
        <w:t>确有特殊原因逾期申请、举荐的，可以延期至三年。</w:t>
      </w:r>
    </w:p>
    <w:p w14:paraId="537BED5E">
      <w:pPr>
        <w:adjustRightInd w:val="0"/>
        <w:snapToGrid w:val="0"/>
        <w:spacing w:line="560" w:lineRule="exact"/>
        <w:ind w:firstLine="640" w:firstLineChars="200"/>
        <w:rPr>
          <w:rFonts w:ascii="仿宋_GB2312" w:hAnsi="仿宋_GB2312" w:cs="仿宋_GB2312"/>
          <w:snapToGrid w:val="0"/>
          <w:szCs w:val="32"/>
        </w:rPr>
      </w:pPr>
      <w:r>
        <w:rPr>
          <w:rFonts w:hint="eastAsia" w:ascii="仿宋_GB2312" w:hAnsi="仿宋_GB2312" w:cs="仿宋_GB2312"/>
          <w:snapToGrid w:val="0"/>
          <w:szCs w:val="32"/>
        </w:rPr>
        <w:t>没有申请人、举荐人的，区见义勇为评定委员会可以依照职权</w:t>
      </w:r>
      <w:r>
        <w:rPr>
          <w:rFonts w:hint="eastAsia" w:ascii="仿宋_GB2312" w:hAnsi="仿宋_GB2312" w:cs="仿宋_GB2312"/>
          <w:szCs w:val="32"/>
        </w:rPr>
        <w:t>予以确认</w:t>
      </w:r>
      <w:r>
        <w:rPr>
          <w:rFonts w:hint="eastAsia" w:ascii="仿宋_GB2312" w:hAnsi="仿宋_GB2312" w:cs="仿宋_GB2312"/>
          <w:snapToGrid w:val="0"/>
          <w:szCs w:val="32"/>
        </w:rPr>
        <w:t>。</w:t>
      </w:r>
    </w:p>
    <w:p w14:paraId="749659F2">
      <w:pPr>
        <w:numPr>
          <w:ilvl w:val="0"/>
          <w:numId w:val="1"/>
        </w:numPr>
        <w:adjustRightInd w:val="0"/>
        <w:snapToGrid w:val="0"/>
        <w:spacing w:line="560" w:lineRule="exact"/>
        <w:ind w:firstLine="640" w:firstLineChars="200"/>
        <w:rPr>
          <w:rFonts w:ascii="仿宋_GB2312" w:hAnsi="仿宋_GB2312" w:cs="仿宋_GB2312"/>
          <w:szCs w:val="32"/>
          <w:lang w:val="zh-CN"/>
        </w:rPr>
      </w:pPr>
      <w:r>
        <w:rPr>
          <w:rFonts w:hint="eastAsia" w:ascii="仿宋_GB2312" w:hAnsi="仿宋_GB2312" w:cs="仿宋_GB2312"/>
          <w:szCs w:val="32"/>
        </w:rPr>
        <w:t>申请确认见义勇为行为的，可以向行为发生地的镇街提出申请，并提交以下材料</w:t>
      </w:r>
      <w:r>
        <w:rPr>
          <w:rFonts w:hint="eastAsia" w:ascii="仿宋_GB2312" w:hAnsi="仿宋_GB2312" w:cs="仿宋_GB2312"/>
          <w:szCs w:val="32"/>
          <w:lang w:val="zh-CN"/>
        </w:rPr>
        <w:t>：</w:t>
      </w:r>
    </w:p>
    <w:p w14:paraId="653512A7">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（一）行为人的身份等有关基本情况；</w:t>
      </w:r>
    </w:p>
    <w:p w14:paraId="42DABD4C">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（二）行为人受伤、残疾或者死亡的，提交法医鉴定、司法鉴定机构证明、评残证明或者死亡证明；</w:t>
      </w:r>
    </w:p>
    <w:p w14:paraId="5D31E692">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（三）行为发生的时间、地点、经过材料或者公安机关的询（讯）问材料；</w:t>
      </w:r>
    </w:p>
    <w:p w14:paraId="5015B560">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（四）有关单位、人员的见证材料。</w:t>
      </w:r>
    </w:p>
    <w:p w14:paraId="749B6EEA">
      <w:pPr>
        <w:numPr>
          <w:ilvl w:val="0"/>
          <w:numId w:val="1"/>
        </w:num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镇街收到见义勇为书面确认申请或者举荐后，应当会同属地公安机关在3个工作日内组织调查、取证并将相关情况及材料报见义勇为评定委员会办公室，评定委员会办公室应当于镇街受理之日起30日内组织评定并作出书面决定；因申请举荐材料不足或情况复杂需要延期的，经评定委员会负责人批准，可以延长15日，并告知申请人或者举荐人。对未确认为见义勇为的，应当书面告知申请人或者举荐人并说明理由。</w:t>
      </w:r>
    </w:p>
    <w:p w14:paraId="5CBF3663">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遇有重大、疑难问题的，区见义勇为评定委员会办公室组织召开全体成员会议，由全体成员进行投票表决，并按照少数服从多数的原则作出决定。当出现票数相同的，由见义勇为评定委员会办公室再次召开全体成员会议进行表决，作出决定。</w:t>
      </w:r>
    </w:p>
    <w:p w14:paraId="642E8685">
      <w:pPr>
        <w:numPr>
          <w:ilvl w:val="0"/>
          <w:numId w:val="1"/>
        </w:num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shd w:val="clear" w:color="auto" w:fill="FFFFFF"/>
        </w:rPr>
        <w:t>对拟确认为见义勇为的人员，除《广东省见义勇为人员奖励和保障条例》第二十八条第一款规定的情形外，应当将其事迹在番禺区政府网站予以公示并征求公众意见。公示时间不得少于7个工作日，不计入确认工作时间</w:t>
      </w:r>
      <w:r>
        <w:rPr>
          <w:rFonts w:hint="eastAsia" w:ascii="仿宋_GB2312" w:hAnsi="仿宋_GB2312" w:cs="仿宋_GB2312"/>
          <w:szCs w:val="32"/>
        </w:rPr>
        <w:t>。</w:t>
      </w:r>
    </w:p>
    <w:p w14:paraId="45363923">
      <w:pPr>
        <w:numPr>
          <w:ilvl w:val="0"/>
          <w:numId w:val="1"/>
        </w:num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对见义勇为人员的奖励，实行精神奖励、物质奖励和社会保障相结合的原则。见义勇为评定委员会对确认的见义勇为人员可以给予下列单项或者多项奖励：</w:t>
      </w:r>
    </w:p>
    <w:p w14:paraId="60E7884E">
      <w:pPr>
        <w:spacing w:line="560" w:lineRule="exact"/>
        <w:ind w:firstLine="640" w:firstLineChars="200"/>
        <w:rPr>
          <w:rFonts w:ascii="仿宋_GB2312" w:hAnsi="仿宋_GB2312" w:cs="仿宋_GB2312"/>
          <w:snapToGrid w:val="0"/>
          <w:szCs w:val="32"/>
        </w:rPr>
      </w:pPr>
      <w:r>
        <w:rPr>
          <w:rFonts w:hint="eastAsia" w:ascii="仿宋_GB2312" w:hAnsi="仿宋_GB2312" w:cs="仿宋_GB2312"/>
          <w:snapToGrid w:val="0"/>
          <w:szCs w:val="32"/>
        </w:rPr>
        <w:t>（一）通报嘉奖；</w:t>
      </w:r>
    </w:p>
    <w:p w14:paraId="3B7733E5">
      <w:pPr>
        <w:spacing w:line="560" w:lineRule="exact"/>
        <w:ind w:firstLine="640" w:firstLineChars="200"/>
        <w:rPr>
          <w:rFonts w:ascii="仿宋_GB2312" w:hAnsi="仿宋_GB2312" w:cs="仿宋_GB2312"/>
          <w:snapToGrid w:val="0"/>
          <w:szCs w:val="32"/>
        </w:rPr>
      </w:pPr>
      <w:r>
        <w:rPr>
          <w:rFonts w:hint="eastAsia" w:ascii="仿宋_GB2312" w:hAnsi="仿宋_GB2312" w:cs="仿宋_GB2312"/>
          <w:snapToGrid w:val="0"/>
          <w:szCs w:val="32"/>
        </w:rPr>
        <w:t>（二）颁发奖金；</w:t>
      </w:r>
    </w:p>
    <w:p w14:paraId="0DF4558B">
      <w:pPr>
        <w:spacing w:line="560" w:lineRule="exact"/>
        <w:ind w:firstLine="640" w:firstLineChars="200"/>
        <w:rPr>
          <w:rFonts w:ascii="仿宋_GB2312" w:hAnsi="仿宋_GB2312" w:cs="仿宋_GB2312"/>
          <w:snapToGrid w:val="0"/>
          <w:szCs w:val="32"/>
        </w:rPr>
      </w:pPr>
      <w:r>
        <w:rPr>
          <w:rFonts w:hint="eastAsia" w:ascii="仿宋_GB2312" w:hAnsi="仿宋_GB2312" w:cs="仿宋_GB2312"/>
          <w:snapToGrid w:val="0"/>
          <w:szCs w:val="32"/>
        </w:rPr>
        <w:t>（三）授予见义勇为称号；</w:t>
      </w:r>
    </w:p>
    <w:p w14:paraId="31C8FF16">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（四）其他奖励。</w:t>
      </w:r>
    </w:p>
    <w:p w14:paraId="63AE0F69">
      <w:pPr>
        <w:numPr>
          <w:ilvl w:val="0"/>
          <w:numId w:val="1"/>
        </w:numPr>
        <w:adjustRightInd w:val="0"/>
        <w:snapToGrid w:val="0"/>
        <w:spacing w:line="560" w:lineRule="exact"/>
        <w:ind w:firstLine="640" w:firstLineChars="200"/>
        <w:rPr>
          <w:rFonts w:ascii="仿宋_GB2312" w:hAnsi="仿宋_GB2312" w:cs="仿宋_GB2312"/>
          <w:szCs w:val="32"/>
          <w:shd w:val="clear" w:color="auto" w:fill="FFFFFF"/>
        </w:rPr>
      </w:pPr>
      <w:r>
        <w:rPr>
          <w:rFonts w:hint="eastAsia" w:ascii="仿宋_GB2312" w:hAnsi="仿宋_GB2312" w:cs="仿宋_GB2312"/>
          <w:szCs w:val="32"/>
          <w:shd w:val="clear" w:color="auto" w:fill="FFFFFF"/>
        </w:rPr>
        <w:t>经审核确认的见义勇为人员，由区见义勇为基金会颁发一次性抚恤奖金：</w:t>
      </w:r>
    </w:p>
    <w:p w14:paraId="129EFC30">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（一）牺牲的，颁发30万元抚恤奖金。</w:t>
      </w:r>
    </w:p>
    <w:p w14:paraId="29FBC7A5">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二）按照最高人民法院等发布的《人体损伤程度鉴定标准》，构成重伤的，根据受伤程度颁发5万元至10万元抚恤奖金；构成轻伤的，根据受伤程度颁发3万元至5万元抚恤奖金；构成轻微伤的，根据受伤程度颁发1万元至3万元抚恤奖金。情节特别突出的，酌情增加。</w:t>
      </w:r>
    </w:p>
    <w:p w14:paraId="59495D21">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（三）对未达到轻微伤标准，但是见义勇为行为事迹突出，社会影响较大的，颁发3000元至1万元抚恤奖金，情节特别突出的，酌情增加。</w:t>
      </w:r>
    </w:p>
    <w:p w14:paraId="2661990B">
      <w:pPr>
        <w:numPr>
          <w:ilvl w:val="0"/>
          <w:numId w:val="1"/>
        </w:numPr>
        <w:adjustRightInd w:val="0"/>
        <w:snapToGrid w:val="0"/>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zCs w:val="32"/>
          <w:lang w:val="zh-CN"/>
        </w:rPr>
        <w:t>见义勇为人员奖励保障所需经费实施专项管理，从区见义勇为基金会基金支出。</w:t>
      </w:r>
      <w:r>
        <w:rPr>
          <w:rFonts w:hint="eastAsia" w:ascii="仿宋_GB2312" w:hAnsi="仿宋_GB2312" w:cs="仿宋_GB2312"/>
          <w:szCs w:val="32"/>
        </w:rPr>
        <w:t>区见义勇为基金会的基金来源包括募集收入、捐赠收入以及其他合法收入。鼓励社会力量向见义勇为基金会捐赠。</w:t>
      </w:r>
      <w:r>
        <w:rPr>
          <w:rFonts w:hint="eastAsia" w:ascii="仿宋_GB2312" w:hAnsi="仿宋_GB2312" w:cs="仿宋_GB2312"/>
          <w:snapToGrid w:val="0"/>
          <w:szCs w:val="32"/>
          <w:lang w:val="zh-CN"/>
        </w:rPr>
        <w:t>见义勇为专项经费用于下列事项：</w:t>
      </w:r>
    </w:p>
    <w:p w14:paraId="032179AD">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（一）救治、表彰、奖励见义勇为人员；</w:t>
      </w:r>
    </w:p>
    <w:p w14:paraId="043270DC">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（二）抚恤、补助、救助、资助、慰问见义勇为人员及其家属；</w:t>
      </w:r>
    </w:p>
    <w:p w14:paraId="41C76905">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（三）宣传见义勇为事迹；</w:t>
      </w:r>
    </w:p>
    <w:p w14:paraId="36E2630D">
      <w:pPr>
        <w:spacing w:line="560" w:lineRule="exact"/>
        <w:ind w:firstLine="640" w:firstLineChars="200"/>
        <w:rPr>
          <w:rFonts w:ascii="仿宋_GB2312" w:hAnsi="仿宋_GB2312" w:cs="仿宋_GB2312"/>
          <w:snapToGrid w:val="0"/>
          <w:szCs w:val="32"/>
          <w:lang w:val="zh-CN"/>
        </w:rPr>
      </w:pPr>
      <w:r>
        <w:rPr>
          <w:rFonts w:hint="eastAsia" w:ascii="仿宋_GB2312" w:hAnsi="仿宋_GB2312" w:cs="仿宋_GB2312"/>
          <w:snapToGrid w:val="0"/>
          <w:szCs w:val="32"/>
          <w:lang w:val="zh-CN"/>
        </w:rPr>
        <w:t>（四）法律法规以及国家和省、市、区有关规定明确的其他支出。</w:t>
      </w:r>
    </w:p>
    <w:p w14:paraId="40081022">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区见义勇为基金会应当制定经费使用管理办法，并视经费使用情况及时调整，专款专用</w:t>
      </w:r>
      <w:r>
        <w:rPr>
          <w:rFonts w:hint="eastAsia" w:ascii="仿宋_GB2312" w:hAnsi="仿宋_GB2312" w:cs="仿宋_GB2312"/>
          <w:szCs w:val="32"/>
          <w:lang w:val="zh-CN"/>
        </w:rPr>
        <w:t>，依法接受各级财政、审计</w:t>
      </w:r>
      <w:r>
        <w:rPr>
          <w:rFonts w:hint="eastAsia" w:ascii="仿宋_GB2312" w:hAnsi="仿宋_GB2312" w:cs="仿宋_GB2312"/>
          <w:szCs w:val="32"/>
        </w:rPr>
        <w:t>等</w:t>
      </w:r>
      <w:r>
        <w:rPr>
          <w:rFonts w:hint="eastAsia" w:ascii="仿宋_GB2312" w:hAnsi="仿宋_GB2312" w:cs="仿宋_GB2312"/>
          <w:szCs w:val="32"/>
          <w:lang w:val="zh-CN"/>
        </w:rPr>
        <w:t>部门监督</w:t>
      </w:r>
      <w:r>
        <w:rPr>
          <w:rFonts w:hint="eastAsia" w:ascii="仿宋_GB2312" w:hAnsi="仿宋_GB2312" w:cs="仿宋_GB2312"/>
          <w:szCs w:val="32"/>
        </w:rPr>
        <w:t>和社会监督。</w:t>
      </w:r>
    </w:p>
    <w:p w14:paraId="3F5DF5BC">
      <w:pPr>
        <w:numPr>
          <w:ilvl w:val="0"/>
          <w:numId w:val="1"/>
        </w:num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napToGrid w:val="0"/>
          <w:szCs w:val="32"/>
        </w:rPr>
        <w:t>区见义勇为评定委员会对见义勇为人员进行确认后，向市见义勇为基金会通报。</w:t>
      </w:r>
      <w:r>
        <w:rPr>
          <w:rFonts w:hint="eastAsia" w:ascii="仿宋_GB2312" w:hAnsi="仿宋_GB2312" w:cs="仿宋_GB2312"/>
          <w:szCs w:val="32"/>
        </w:rPr>
        <w:t>对符合《广州市见义勇为人员奖励和保障实施办法》有关规定的，向市见义勇为评定委员会</w:t>
      </w:r>
      <w:r>
        <w:rPr>
          <w:rFonts w:hint="eastAsia" w:ascii="仿宋_GB2312" w:hAnsi="仿宋_GB2312" w:cs="仿宋_GB2312"/>
          <w:snapToGrid w:val="0"/>
          <w:szCs w:val="32"/>
        </w:rPr>
        <w:t>举荐</w:t>
      </w:r>
      <w:r>
        <w:rPr>
          <w:rFonts w:hint="eastAsia" w:ascii="仿宋_GB2312" w:hAnsi="仿宋_GB2312" w:cs="仿宋_GB2312"/>
          <w:szCs w:val="32"/>
        </w:rPr>
        <w:t>。</w:t>
      </w:r>
    </w:p>
    <w:p w14:paraId="4FD568A4">
      <w:pPr>
        <w:numPr>
          <w:ilvl w:val="0"/>
          <w:numId w:val="1"/>
        </w:numPr>
        <w:adjustRightInd w:val="0"/>
        <w:snapToGrid w:val="0"/>
        <w:spacing w:line="560" w:lineRule="exact"/>
        <w:ind w:firstLine="640" w:firstLineChars="200"/>
        <w:rPr>
          <w:rFonts w:ascii="仿宋_GB2312" w:hAnsi="仿宋_GB2312" w:cs="仿宋_GB2312"/>
          <w:szCs w:val="32"/>
          <w:shd w:val="clear" w:color="auto" w:fill="FFFFFF"/>
        </w:rPr>
      </w:pPr>
      <w:r>
        <w:rPr>
          <w:rFonts w:hint="eastAsia" w:ascii="仿宋_GB2312" w:hAnsi="仿宋_GB2312" w:cs="仿宋_GB2312"/>
          <w:szCs w:val="32"/>
          <w:shd w:val="clear" w:color="auto" w:fill="FFFFFF"/>
        </w:rPr>
        <w:t>因见义勇为而遭受人身损害并有侵权人的，侵权人或者侵权人的监护人应当依法承担侵权责任。导致见义勇为人员牺牲的，其丧葬费由侵权人或者侵权人的监护人依法承担。</w:t>
      </w:r>
    </w:p>
    <w:p w14:paraId="63FC6B6E">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侵权人或者侵权人的监护人确实无力承担、暂未抓获侵权人或不存在侵权人的，相关费用由区见义勇为专项经费垫付。</w:t>
      </w:r>
    </w:p>
    <w:p w14:paraId="59BFB9A9">
      <w:p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rPr>
        <w:t>因见义勇为而遭受人身损害并有受益人的，有关费用可以由受益人或者受益人的监护人适当承担。</w:t>
      </w:r>
    </w:p>
    <w:p w14:paraId="4023D38A">
      <w:pPr>
        <w:numPr>
          <w:ilvl w:val="0"/>
          <w:numId w:val="1"/>
        </w:numPr>
        <w:adjustRightInd w:val="0"/>
        <w:snapToGrid w:val="0"/>
        <w:spacing w:line="560" w:lineRule="exact"/>
        <w:ind w:firstLine="640" w:firstLineChars="200"/>
        <w:rPr>
          <w:rFonts w:ascii="仿宋_GB2312" w:hAnsi="仿宋_GB2312" w:cs="仿宋_GB2312"/>
          <w:szCs w:val="32"/>
          <w:shd w:val="clear" w:color="auto" w:fill="FFFFFF"/>
        </w:rPr>
      </w:pPr>
      <w:r>
        <w:rPr>
          <w:rFonts w:hint="eastAsia" w:ascii="仿宋_GB2312" w:hAnsi="仿宋_GB2312" w:cs="仿宋_GB2312"/>
          <w:szCs w:val="32"/>
          <w:shd w:val="clear" w:color="auto" w:fill="FFFFFF"/>
        </w:rPr>
        <w:t>因实施见义勇为行为而造成他人财产损失，依法应当承担赔偿责任的，由区见义勇为评定委员会在见义勇为专项经费中给予适当的经济补助。</w:t>
      </w:r>
    </w:p>
    <w:p w14:paraId="6FAF5605">
      <w:pPr>
        <w:numPr>
          <w:ilvl w:val="0"/>
          <w:numId w:val="1"/>
        </w:numPr>
        <w:adjustRightInd w:val="0"/>
        <w:snapToGrid w:val="0"/>
        <w:spacing w:line="560" w:lineRule="exact"/>
        <w:ind w:firstLine="640" w:firstLineChars="200"/>
        <w:rPr>
          <w:rFonts w:ascii="仿宋_GB2312" w:hAnsi="仿宋_GB2312" w:cs="仿宋_GB2312"/>
          <w:szCs w:val="32"/>
          <w:shd w:val="clear" w:color="auto" w:fill="FFFFFF"/>
        </w:rPr>
      </w:pPr>
      <w:r>
        <w:rPr>
          <w:rFonts w:hint="eastAsia" w:ascii="仿宋_GB2312" w:hAnsi="仿宋_GB2312" w:cs="仿宋_GB2312"/>
          <w:szCs w:val="32"/>
          <w:shd w:val="clear" w:color="auto" w:fill="FFFFFF"/>
        </w:rPr>
        <w:t>虚构事实或者隐瞒真相骗取见义勇为荣誉或者奖励的，由区见义勇为评定委员会撤销其荣誉称号，追回所获奖金、抚恤金和其他补助费，取消相关待遇；构成违反治安管理规定行为的，由公安机关依法予以处罚；构成犯罪的，依法追究刑事责任。</w:t>
      </w:r>
    </w:p>
    <w:p w14:paraId="72E50CE6">
      <w:pPr>
        <w:numPr>
          <w:ilvl w:val="0"/>
          <w:numId w:val="1"/>
        </w:numPr>
        <w:adjustRightInd w:val="0"/>
        <w:snapToGrid w:val="0"/>
        <w:spacing w:line="560" w:lineRule="exact"/>
        <w:ind w:firstLine="640" w:firstLineChars="200"/>
        <w:rPr>
          <w:rFonts w:ascii="仿宋_GB2312" w:hAnsi="仿宋_GB2312" w:cs="仿宋_GB2312"/>
          <w:snapToGrid w:val="0"/>
          <w:szCs w:val="32"/>
        </w:rPr>
      </w:pPr>
      <w:r>
        <w:rPr>
          <w:rFonts w:hint="eastAsia" w:ascii="仿宋_GB2312" w:hAnsi="仿宋_GB2312" w:cs="仿宋_GB2312"/>
          <w:snapToGrid w:val="0"/>
          <w:szCs w:val="32"/>
        </w:rPr>
        <w:t>区人民政府有关部门应当按照各自职责，建立健全相关配套制度，落实对见义勇为人员及其家庭基本生活、积分落户、助学升学、住房优待、就业援助、社会救助、医疗救治、抚恤补助、法律援助等方面的保障措施。</w:t>
      </w:r>
    </w:p>
    <w:p w14:paraId="090CEB76">
      <w:pPr>
        <w:numPr>
          <w:ilvl w:val="0"/>
          <w:numId w:val="1"/>
        </w:numPr>
        <w:adjustRightInd w:val="0"/>
        <w:snapToGrid w:val="0"/>
        <w:spacing w:line="560" w:lineRule="exact"/>
        <w:ind w:firstLine="640" w:firstLineChars="200"/>
        <w:rPr>
          <w:rFonts w:ascii="仿宋_GB2312" w:hAnsi="仿宋_GB2312" w:cs="仿宋_GB2312"/>
          <w:szCs w:val="32"/>
        </w:rPr>
      </w:pPr>
      <w:r>
        <w:rPr>
          <w:rFonts w:hint="eastAsia" w:ascii="仿宋_GB2312" w:hAnsi="仿宋_GB2312" w:cs="仿宋_GB2312"/>
          <w:szCs w:val="32"/>
          <w:shd w:val="clear" w:color="auto" w:fill="FFFFFF"/>
        </w:rPr>
        <w:t>本细则自印发之日起施行，有效期5年。</w:t>
      </w:r>
    </w:p>
    <w:p w14:paraId="2F53DB98"/>
    <w:sectPr>
      <w:headerReference r:id="rId5" w:type="default"/>
      <w:footerReference r:id="rId6" w:type="default"/>
      <w:footerReference r:id="rId7" w:type="even"/>
      <w:pgSz w:w="11907" w:h="16840"/>
      <w:pgMar w:top="1701" w:right="1588" w:bottom="1134" w:left="1588" w:header="737" w:footer="1191" w:gutter="0"/>
      <w:cols w:space="720" w:num="1"/>
      <w:titlePg/>
      <w:docGrid w:linePitch="574" w:charSpace="-36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wiss"/>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5A53B">
    <w:pPr>
      <w:pStyle w:val="3"/>
      <w:framePr w:w="1100" w:h="298" w:hRule="exact" w:wrap="around" w:vAnchor="text" w:hAnchor="page" w:x="9489" w:y="-52"/>
      <w:rPr>
        <w:rStyle w:val="7"/>
        <w:rFonts w:ascii="宋体" w:hAnsi="宋体" w:eastAsia="宋体"/>
        <w:sz w:val="28"/>
        <w:szCs w:val="28"/>
      </w:rPr>
    </w:pPr>
    <w:r>
      <w:rPr>
        <w:rStyle w:val="7"/>
        <w:rFonts w:hint="eastAsia" w:ascii="宋体" w:hAnsi="宋体" w:eastAsia="宋体"/>
        <w:sz w:val="28"/>
        <w:szCs w:val="28"/>
      </w:rPr>
      <w:t>―</w:t>
    </w:r>
    <w:r>
      <w:rPr>
        <w:rFonts w:ascii="宋体" w:hAnsi="宋体" w:eastAsia="宋体"/>
        <w:sz w:val="28"/>
        <w:szCs w:val="28"/>
      </w:rPr>
      <w:fldChar w:fldCharType="begin"/>
    </w:r>
    <w:r>
      <w:rPr>
        <w:rStyle w:val="7"/>
        <w:rFonts w:ascii="宋体" w:hAnsi="宋体" w:eastAsia="宋体"/>
        <w:sz w:val="28"/>
        <w:szCs w:val="28"/>
      </w:rPr>
      <w:instrText xml:space="preserve">PAGE  </w:instrText>
    </w:r>
    <w:r>
      <w:rPr>
        <w:rFonts w:ascii="宋体" w:hAnsi="宋体" w:eastAsia="宋体"/>
        <w:sz w:val="28"/>
        <w:szCs w:val="28"/>
      </w:rPr>
      <w:fldChar w:fldCharType="separate"/>
    </w:r>
    <w:r>
      <w:rPr>
        <w:rStyle w:val="7"/>
        <w:rFonts w:ascii="宋体" w:hAnsi="宋体" w:eastAsia="宋体"/>
        <w:sz w:val="28"/>
        <w:szCs w:val="28"/>
      </w:rPr>
      <w:t>2</w:t>
    </w:r>
    <w:r>
      <w:rPr>
        <w:rFonts w:ascii="宋体" w:hAnsi="宋体" w:eastAsia="宋体"/>
        <w:sz w:val="28"/>
        <w:szCs w:val="28"/>
      </w:rPr>
      <w:fldChar w:fldCharType="end"/>
    </w:r>
    <w:r>
      <w:rPr>
        <w:rStyle w:val="7"/>
        <w:rFonts w:hint="eastAsia" w:ascii="宋体" w:hAnsi="宋体" w:eastAsia="宋体"/>
        <w:sz w:val="28"/>
        <w:szCs w:val="28"/>
      </w:rPr>
      <w:t>―</w:t>
    </w:r>
  </w:p>
  <w:p w14:paraId="378502B6">
    <w:pPr>
      <w:pStyle w:val="3"/>
      <w:wordWrap w:val="0"/>
      <w:ind w:right="360" w:firstLine="360"/>
      <w:jc w:val="right"/>
      <w:rPr>
        <w:rFonts w:ascii="Arial" w:hAnsi="Arial" w:cs="Arial"/>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23CE5">
    <w:pPr>
      <w:pStyle w:val="3"/>
      <w:ind w:right="360" w:firstLine="360"/>
      <w:rPr>
        <w:sz w:val="28"/>
        <w:szCs w:val="28"/>
      </w:rPr>
    </w:pPr>
    <w:r>
      <w:rPr>
        <w:rStyle w:val="7"/>
        <w:rFonts w:hint="eastAsia" w:ascii="宋体" w:hAnsi="宋体" w:eastAsia="宋体"/>
        <w:sz w:val="28"/>
        <w:szCs w:val="28"/>
      </w:rPr>
      <w:t>―</w:t>
    </w:r>
    <w:r>
      <w:rPr>
        <w:rFonts w:ascii="宋体" w:hAnsi="宋体" w:eastAsia="宋体"/>
        <w:sz w:val="28"/>
        <w:szCs w:val="28"/>
      </w:rPr>
      <w:fldChar w:fldCharType="begin"/>
    </w:r>
    <w:r>
      <w:rPr>
        <w:rStyle w:val="7"/>
        <w:rFonts w:ascii="宋体" w:hAnsi="宋体" w:eastAsia="宋体"/>
        <w:sz w:val="28"/>
        <w:szCs w:val="28"/>
      </w:rPr>
      <w:instrText xml:space="preserve">PAGE  </w:instrText>
    </w:r>
    <w:r>
      <w:rPr>
        <w:rFonts w:ascii="宋体" w:hAnsi="宋体" w:eastAsia="宋体"/>
        <w:sz w:val="28"/>
        <w:szCs w:val="28"/>
      </w:rPr>
      <w:fldChar w:fldCharType="separate"/>
    </w:r>
    <w:r>
      <w:rPr>
        <w:rStyle w:val="7"/>
        <w:rFonts w:ascii="宋体" w:hAnsi="宋体" w:eastAsia="宋体"/>
        <w:sz w:val="28"/>
        <w:szCs w:val="28"/>
      </w:rPr>
      <w:t>4</w:t>
    </w:r>
    <w:r>
      <w:rPr>
        <w:rFonts w:ascii="宋体" w:hAnsi="宋体" w:eastAsia="宋体"/>
        <w:sz w:val="28"/>
        <w:szCs w:val="28"/>
      </w:rPr>
      <w:fldChar w:fldCharType="end"/>
    </w:r>
    <w:r>
      <w:rPr>
        <w:rStyle w:val="7"/>
        <w:rFonts w:hint="eastAsia" w:ascii="宋体" w:hAnsi="宋体" w:eastAsia="宋体"/>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35A36">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125A44"/>
    <w:multiLevelType w:val="singleLevel"/>
    <w:tmpl w:val="25125A44"/>
    <w:lvl w:ilvl="0" w:tentative="0">
      <w:start w:val="1"/>
      <w:numFmt w:val="chineseCounting"/>
      <w:suff w:val="space"/>
      <w:lvlText w:val="第%1条"/>
      <w:lvlJc w:val="left"/>
      <w:rPr>
        <w:rFonts w:hint="eastAsia" w:eastAsia="黑体"/>
        <w:b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47E8F"/>
    <w:rsid w:val="00254CDE"/>
    <w:rsid w:val="00434B60"/>
    <w:rsid w:val="006C6937"/>
    <w:rsid w:val="007A4712"/>
    <w:rsid w:val="00BC6EBB"/>
    <w:rsid w:val="00CE407E"/>
    <w:rsid w:val="00E04837"/>
    <w:rsid w:val="00EA0465"/>
    <w:rsid w:val="00F300FF"/>
    <w:rsid w:val="00F47E8F"/>
    <w:rsid w:val="00FA64B5"/>
    <w:rsid w:val="00FE48BE"/>
    <w:rsid w:val="5D0B7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autoRedefine/>
    <w:semiHidden/>
    <w:unhideWhenUsed/>
    <w:qFormat/>
    <w:uiPriority w:val="39"/>
    <w:pPr>
      <w:ind w:left="420" w:leftChars="200"/>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脚 Char"/>
    <w:basedOn w:val="6"/>
    <w:link w:val="3"/>
    <w:qFormat/>
    <w:uiPriority w:val="0"/>
    <w:rPr>
      <w:rFonts w:ascii="Times New Roman" w:hAnsi="Times New Roman" w:eastAsia="仿宋_GB2312" w:cs="Times New Roman"/>
      <w:sz w:val="18"/>
      <w:szCs w:val="18"/>
    </w:rPr>
  </w:style>
  <w:style w:type="character" w:customStyle="1" w:styleId="9">
    <w:name w:val="页眉 Char"/>
    <w:basedOn w:val="6"/>
    <w:link w:val="4"/>
    <w:qFormat/>
    <w:uiPriority w:val="0"/>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346</Words>
  <Characters>1973</Characters>
  <Lines>16</Lines>
  <Paragraphs>4</Paragraphs>
  <TotalTime>8</TotalTime>
  <ScaleCrop>false</ScaleCrop>
  <LinksUpToDate>false</LinksUpToDate>
  <CharactersWithSpaces>2315</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2025-10-16T09:00:00Z</dcterms:created>
  <dc:creator>Administrator</dc:creator>
  <cp:lastModifiedBy>郭泳仪</cp:lastModifiedBy>
  <dcterms:modified xsi:type="dcterms:W3CDTF">2025-11-07T02:42:07Z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B0B0934897A748098DDF65892C2DB2A0_12</vt:lpwstr>
  </property>
</Properties>
</file>