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color w:val="000000"/>
          <w:sz w:val="24"/>
        </w:rPr>
      </w:pPr>
      <w:bookmarkStart w:id="0" w:name="_Hlk110948188"/>
      <w:r>
        <w:rPr>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eastAsia="华文中宋"/>
                                <w:sz w:val="16"/>
                                <w:szCs w:val="16"/>
                              </w:rPr>
                              <w:t>电子邮箱：</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SUmWkw4CAAAFBAAADgAAAAAAAAAB&#10;ACAAAAAlAQAAZHJzL2Uyb0RvYy54bWxQSwUGAAAAAAYABgBZAQAApQUAAAAA&#10;">
                <v:fill on="f" focussize="0,0"/>
                <v:stroke on="f"/>
                <v:imagedata o:title=""/>
                <o:lock v:ext="edit" aspectratio="f"/>
                <v:textbox inset="0mm,0mm,0mm,0mm">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eastAsia="华文中宋"/>
                          <w:sz w:val="16"/>
                          <w:szCs w:val="16"/>
                        </w:rPr>
                        <w:t>电子邮箱：</w:t>
                      </w:r>
                      <w:r>
                        <w:rPr>
                          <w:rFonts w:eastAsia="楷体_GB2312"/>
                          <w:sz w:val="16"/>
                          <w:szCs w:val="16"/>
                        </w:rPr>
                        <w:t>gzyeqin@vip.163.com</w:t>
                      </w:r>
                    </w:p>
                  </w:txbxContent>
                </v:textbox>
              </v:shape>
            </w:pict>
          </mc:Fallback>
        </mc:AlternateContent>
      </w:r>
      <w:r>
        <w:rPr>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D4edgC&#10;5QEAAKsDAAAOAAAAAAAAAAEAIAAAACYBAABkcnMvZTJvRG9jLnhtbFBLBQYAAAAABgAGAFkBAAB9&#10;BQAAAAA=&#10;">
                <v:fill on="f" focussize="0,0"/>
                <v:stroke weight="1pt" color="#000000" joinstyle="round"/>
                <v:imagedata o:title=""/>
                <o:lock v:ext="edit" aspectratio="f"/>
              </v:line>
            </w:pict>
          </mc:Fallback>
        </mc:AlternateContent>
      </w:r>
      <w:r>
        <w:rPr>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DVKVTWAAAACAEAAA8AAAAAAAAAAQAgAAAA&#10;IgAAAGRycy9kb3ducmV2LnhtbFBLAQIUABQAAAAIAIdO4kA+Whm9DQIAAAUEAAAOAAAAAAAAAAEA&#10;IAAAACUBAABkcnMvZTJvRG9jLnhtbFBLBQYAAAAABgAGAFkBAACk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9Tr762AAAAAkBAAAPAAAAAAAAAAEAIAAA&#10;ACIAAABkcnMvZG93bnJldi54bWxQSwECFAAUAAAACACHTuJApe5q+AwCAAAFBAAADgAAAAAAAAAB&#10;ACAAAAAnAQAAZHJzL2Uyb0RvYy54bWxQSwUGAAAAAAYABgBZAQAApQU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3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318</w:t>
      </w:r>
      <w:r>
        <w:rPr>
          <w:rFonts w:ascii="Times New Roman" w:hAnsi="Times New Roman" w:eastAsia="仿宋_GB2312" w:cs="Times New Roman"/>
          <w:color w:val="000000"/>
          <w:sz w:val="28"/>
          <w:szCs w:val="28"/>
        </w:rPr>
        <w:t>号</w:t>
      </w:r>
    </w:p>
    <w:bookmarkEnd w:id="0"/>
    <w:bookmarkEnd w:id="1"/>
    <w:p>
      <w:pPr>
        <w:spacing w:line="500" w:lineRule="exact"/>
        <w:ind w:left="6300" w:leftChars="3000" w:right="15" w:rightChars="7" w:firstLine="117" w:firstLineChars="42"/>
        <w:jc w:val="right"/>
        <w:rPr>
          <w:rFonts w:ascii="Times New Roman" w:hAnsi="Times New Roman" w:eastAsia="仿宋_GB2312" w:cs="Times New Roman"/>
          <w:color w:val="000000"/>
          <w:sz w:val="28"/>
          <w:szCs w:val="28"/>
        </w:rPr>
      </w:pPr>
    </w:p>
    <w:p>
      <w:pPr>
        <w:spacing w:line="500" w:lineRule="exact"/>
        <w:jc w:val="center"/>
        <w:rPr>
          <w:rFonts w:ascii="Times New Roman" w:hAnsi="Times New Roman" w:eastAsia="宋体" w:cs="Times New Roman"/>
          <w:b/>
          <w:sz w:val="28"/>
          <w:szCs w:val="30"/>
        </w:rPr>
      </w:pPr>
      <w:r>
        <w:rPr>
          <w:rFonts w:ascii="Times New Roman" w:hAnsi="Times New Roman" w:eastAsia="宋体" w:cs="Times New Roman"/>
          <w:b/>
          <w:sz w:val="28"/>
          <w:szCs w:val="30"/>
        </w:rPr>
        <w:t>关于对</w:t>
      </w:r>
      <w:r>
        <w:rPr>
          <w:rFonts w:hint="eastAsia" w:ascii="Times New Roman" w:hAnsi="Times New Roman" w:eastAsia="宋体" w:cs="Times New Roman"/>
          <w:b/>
          <w:sz w:val="28"/>
          <w:szCs w:val="30"/>
        </w:rPr>
        <w:t>广州市番禺区新造镇社工服务站</w:t>
      </w:r>
    </w:p>
    <w:p>
      <w:pPr>
        <w:spacing w:line="500" w:lineRule="exact"/>
        <w:jc w:val="center"/>
        <w:rPr>
          <w:rFonts w:ascii="Times New Roman" w:hAnsi="Times New Roman" w:eastAsia="宋体" w:cs="Times New Roman"/>
          <w:b/>
          <w:sz w:val="28"/>
          <w:szCs w:val="30"/>
        </w:rPr>
      </w:pPr>
      <w:r>
        <w:rPr>
          <w:rFonts w:hint="eastAsia" w:ascii="Times New Roman" w:hAnsi="Times New Roman" w:eastAsia="宋体" w:cs="Times New Roman"/>
          <w:b/>
          <w:sz w:val="28"/>
          <w:szCs w:val="30"/>
        </w:rPr>
        <w:t>2025年3月1日至2025年8月31日</w:t>
      </w:r>
      <w:r>
        <w:rPr>
          <w:rFonts w:ascii="Times New Roman" w:hAnsi="Times New Roman" w:eastAsia="宋体" w:cs="Times New Roman"/>
          <w:b/>
          <w:sz w:val="28"/>
          <w:szCs w:val="30"/>
        </w:rPr>
        <w:t>财务管理情况评估报告</w:t>
      </w:r>
    </w:p>
    <w:p>
      <w:pPr>
        <w:spacing w:line="360" w:lineRule="auto"/>
        <w:jc w:val="center"/>
        <w:rPr>
          <w:rFonts w:ascii="仿宋_GB2312" w:eastAsia="仿宋_GB2312"/>
          <w:sz w:val="28"/>
          <w:szCs w:val="28"/>
        </w:rPr>
      </w:pPr>
    </w:p>
    <w:p>
      <w:pPr>
        <w:spacing w:line="600" w:lineRule="exact"/>
        <w:ind w:right="-8"/>
        <w:rPr>
          <w:rFonts w:ascii="楷体" w:hAnsi="楷体" w:eastAsia="楷体" w:cs="Times New Roman"/>
          <w:b/>
          <w:spacing w:val="-10"/>
          <w:sz w:val="28"/>
          <w:szCs w:val="28"/>
        </w:rPr>
      </w:pPr>
      <w:r>
        <w:rPr>
          <w:rFonts w:hint="eastAsia" w:ascii="楷体" w:hAnsi="楷体" w:eastAsia="楷体" w:cs="Times New Roman"/>
          <w:b/>
          <w:spacing w:val="-10"/>
          <w:sz w:val="28"/>
          <w:szCs w:val="28"/>
        </w:rPr>
        <w:t>广州市番禺区社区建设指导中心：</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我们接受委托，对</w:t>
      </w:r>
      <w:r>
        <w:rPr>
          <w:rFonts w:hint="eastAsia" w:ascii="Times New Roman" w:hAnsi="Times New Roman" w:eastAsia="仿宋_GB2312" w:cs="Times New Roman"/>
          <w:sz w:val="28"/>
          <w:szCs w:val="28"/>
        </w:rPr>
        <w:t>广州市番禺区新造镇社工服务站（以下简称</w:t>
      </w:r>
      <w:r>
        <w:rPr>
          <w:rFonts w:hint="eastAsia" w:ascii="Times New Roman" w:hAnsi="Times New Roman" w:eastAsia="仿宋_GB2312"/>
          <w:sz w:val="28"/>
          <w:szCs w:val="28"/>
        </w:rPr>
        <w:t>新造社工站</w:t>
      </w:r>
      <w:r>
        <w:rPr>
          <w:rFonts w:hint="eastAsia" w:ascii="Times New Roman" w:hAnsi="Times New Roman" w:eastAsia="仿宋_GB2312" w:cs="Times New Roman"/>
          <w:sz w:val="28"/>
          <w:szCs w:val="28"/>
        </w:rPr>
        <w:t>）2025年3月1日至2025年8月31日财务管理情况进行财务评估。提供真实、合法、完整的会计资料和评估相关资料是新造社工站及其承接机构的责任，我们的责任是依据《中国注册会计师执业准则》、《中华人民共和国会计法》、《会计基础工作规范》、《民间非营利组织会计制度》、</w:t>
      </w:r>
      <w:r>
        <w:rPr>
          <w:rFonts w:hint="eastAsia" w:ascii="Times New Roman" w:hAnsi="Times New Roman" w:eastAsia="仿宋" w:cs="Times New Roman"/>
          <w:color w:val="000000" w:themeColor="text1"/>
          <w:sz w:val="28"/>
          <w:szCs w:val="28"/>
          <w14:textFill>
            <w14:solidFill>
              <w14:schemeClr w14:val="tx1"/>
            </w14:solidFill>
          </w14:textFill>
        </w:rPr>
        <w:t>《广州市人民政府办公厅关于印发广州市社工服务站管理办法的通知》（穗府办〔2023〕7号）及</w:t>
      </w:r>
      <w:r>
        <w:rPr>
          <w:rFonts w:hint="eastAsia" w:ascii="Times New Roman" w:hAnsi="Times New Roman" w:eastAsia="仿宋_GB2312" w:cs="Times New Roman"/>
          <w:sz w:val="28"/>
          <w:szCs w:val="28"/>
        </w:rPr>
        <w:t>广州市番禺区新造镇人民政府与社工服务站承接机构签订的购买服务协议中相关约定，对新造社工站的财务管理情况进行审核，并出具财务评估报告。</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按照中国注册会计师职业道德守则，我们独立于新造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一、新造社工站基本情况</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w:t>
      </w:r>
      <w:r>
        <w:rPr>
          <w:rFonts w:hint="eastAsia" w:ascii="Times New Roman" w:hAnsi="Times New Roman" w:eastAsia="仿宋_GB2312" w:cs="Times New Roman"/>
          <w:sz w:val="28"/>
          <w:szCs w:val="28"/>
        </w:rPr>
        <w:t>广州市洋城社会工作服务中心</w:t>
      </w:r>
      <w:r>
        <w:rPr>
          <w:rFonts w:ascii="Times New Roman" w:hAnsi="Times New Roman" w:eastAsia="仿宋_GB2312" w:cs="Times New Roman"/>
          <w:sz w:val="28"/>
          <w:szCs w:val="28"/>
        </w:rPr>
        <w:t>。</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w:t>
      </w:r>
      <w:r>
        <w:rPr>
          <w:rFonts w:hint="eastAsia" w:ascii="Times New Roman" w:hAnsi="Times New Roman" w:eastAsia="仿宋_GB2312" w:cs="Times New Roman"/>
          <w:sz w:val="28"/>
          <w:szCs w:val="28"/>
        </w:rPr>
        <w:t>罗延贤</w:t>
      </w:r>
      <w:r>
        <w:rPr>
          <w:rFonts w:ascii="Times New Roman" w:hAnsi="Times New Roman" w:eastAsia="仿宋_GB2312" w:cs="Times New Roman"/>
          <w:sz w:val="28"/>
          <w:szCs w:val="28"/>
        </w:rPr>
        <w:t>。</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w:t>
      </w:r>
      <w:r>
        <w:rPr>
          <w:rFonts w:hint="eastAsia" w:ascii="Times New Roman" w:hAnsi="Times New Roman" w:eastAsia="仿宋_GB2312" w:cs="Times New Roman"/>
          <w:sz w:val="28"/>
          <w:szCs w:val="28"/>
        </w:rPr>
        <w:t>2024年9月1日</w:t>
      </w:r>
      <w:r>
        <w:rPr>
          <w:rFonts w:hint="eastAsia" w:ascii="Times New Roman" w:hAnsi="Times New Roman" w:eastAsia="仿宋_GB2312"/>
          <w:sz w:val="28"/>
          <w:szCs w:val="28"/>
        </w:rPr>
        <w:t>至2027年8月31日</w:t>
      </w:r>
      <w:r>
        <w:rPr>
          <w:rFonts w:ascii="Times New Roman" w:hAnsi="Times New Roman" w:eastAsia="仿宋_GB2312" w:cs="Times New Roman"/>
          <w:sz w:val="28"/>
          <w:szCs w:val="28"/>
        </w:rPr>
        <w:t>。</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年9月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年8月31日。</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ascii="Times New Roman" w:hAnsi="Times New Roman" w:eastAsia="仿宋_GB2312" w:cs="Times New Roman"/>
          <w:sz w:val="28"/>
          <w:szCs w:val="28"/>
        </w:rPr>
        <w:t>政府购买服务经费：本服务协议期限202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年9月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年8月31日的服务经费总计</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601</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096</w:t>
      </w:r>
      <w:r>
        <w:rPr>
          <w:rFonts w:ascii="Times New Roman" w:hAnsi="Times New Roman" w:eastAsia="仿宋_GB2312" w:cs="Times New Roman"/>
          <w:sz w:val="28"/>
          <w:szCs w:val="28"/>
        </w:rPr>
        <w:t>.00元</w:t>
      </w:r>
      <w:r>
        <w:rPr>
          <w:rFonts w:hint="eastAsia" w:ascii="Times New Roman" w:hAnsi="Times New Roman" w:eastAsia="仿宋_GB2312" w:cs="Times New Roman"/>
          <w:sz w:val="28"/>
          <w:szCs w:val="28"/>
        </w:rPr>
        <w:t>，</w:t>
      </w:r>
      <w:r>
        <w:rPr>
          <w:rFonts w:ascii="Times New Roman" w:hAnsi="Times New Roman" w:eastAsia="仿宋_GB2312"/>
          <w:color w:val="000000" w:themeColor="text1"/>
          <w:sz w:val="28"/>
          <w:szCs w:val="28"/>
          <w14:textFill>
            <w14:solidFill>
              <w14:schemeClr w14:val="tx1"/>
            </w14:solidFill>
          </w14:textFill>
        </w:rPr>
        <w:t>其中</w:t>
      </w:r>
      <w:r>
        <w:rPr>
          <w:rFonts w:hint="eastAsia" w:ascii="Times New Roman" w:hAnsi="Times New Roman" w:eastAsia="仿宋_GB2312"/>
          <w:color w:val="000000" w:themeColor="text1"/>
          <w:sz w:val="28"/>
          <w:szCs w:val="28"/>
          <w14:textFill>
            <w14:solidFill>
              <w14:schemeClr w14:val="tx1"/>
            </w14:solidFill>
          </w14:textFill>
        </w:rPr>
        <w:t>协议签订生效之日起30个工作日内拨付第一期经费1</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320</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000.00元</w:t>
      </w:r>
      <w:r>
        <w:rPr>
          <w:rFonts w:ascii="Times New Roman" w:hAnsi="Times New Roman" w:eastAsia="仿宋_GB2312"/>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年度中期评估为合格以上的，自申请之日起30个工作日内拨付第二期经费201</w:t>
      </w:r>
      <w:r>
        <w:rPr>
          <w:rFonts w:ascii="Times New Roman" w:hAnsi="Times New Roman" w:eastAsia="仿宋_GB2312"/>
          <w:color w:val="000000" w:themeColor="text1"/>
          <w:sz w:val="28"/>
          <w:szCs w:val="28"/>
          <w14:textFill>
            <w14:solidFill>
              <w14:schemeClr w14:val="tx1"/>
            </w14:solidFill>
          </w14:textFill>
        </w:rPr>
        <w:t>,0</w:t>
      </w:r>
      <w:r>
        <w:rPr>
          <w:rFonts w:hint="eastAsia" w:ascii="Times New Roman" w:hAnsi="Times New Roman" w:eastAsia="仿宋_GB2312"/>
          <w:color w:val="000000" w:themeColor="text1"/>
          <w:sz w:val="28"/>
          <w:szCs w:val="28"/>
          <w14:textFill>
            <w14:solidFill>
              <w14:schemeClr w14:val="tx1"/>
            </w14:solidFill>
          </w14:textFill>
        </w:rPr>
        <w:t>96</w:t>
      </w:r>
      <w:r>
        <w:rPr>
          <w:rFonts w:ascii="Times New Roman" w:hAnsi="Times New Roman" w:eastAsia="仿宋_GB2312"/>
          <w:color w:val="000000" w:themeColor="text1"/>
          <w:sz w:val="28"/>
          <w:szCs w:val="28"/>
          <w14:textFill>
            <w14:solidFill>
              <w14:schemeClr w14:val="tx1"/>
            </w14:solidFill>
          </w14:textFill>
        </w:rPr>
        <w:t>.00</w:t>
      </w:r>
      <w:r>
        <w:rPr>
          <w:rFonts w:hint="eastAsia" w:ascii="Times New Roman" w:hAnsi="Times New Roman" w:eastAsia="仿宋_GB2312"/>
          <w:color w:val="000000" w:themeColor="text1"/>
          <w:sz w:val="28"/>
          <w:szCs w:val="28"/>
          <w14:textFill>
            <w14:solidFill>
              <w14:schemeClr w14:val="tx1"/>
            </w14:solidFill>
          </w14:textFill>
        </w:rPr>
        <w:t>元；年度末期评估为合格以上的，自申请之日起30个工作日内拨付第三期经费8</w:t>
      </w:r>
      <w:r>
        <w:rPr>
          <w:rFonts w:ascii="Times New Roman" w:hAnsi="Times New Roman" w:eastAsia="仿宋_GB2312"/>
          <w:color w:val="000000" w:themeColor="text1"/>
          <w:sz w:val="28"/>
          <w:szCs w:val="28"/>
          <w14:textFill>
            <w14:solidFill>
              <w14:schemeClr w14:val="tx1"/>
            </w14:solidFill>
          </w14:textFill>
        </w:rPr>
        <w:t>0,000.00</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二、新造社工站财务管理制度执行情况</w:t>
      </w:r>
    </w:p>
    <w:p>
      <w:pPr>
        <w:spacing w:line="61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㈠非营利组织会计制度的执行情况</w:t>
      </w:r>
    </w:p>
    <w:p>
      <w:pPr>
        <w:spacing w:line="610" w:lineRule="exact"/>
        <w:ind w:firstLine="560" w:firstLineChars="200"/>
        <w:rPr>
          <w:rFonts w:ascii="仿宋" w:hAnsi="仿宋" w:eastAsia="仿宋"/>
          <w:sz w:val="28"/>
          <w:szCs w:val="28"/>
        </w:rPr>
      </w:pPr>
      <w:r>
        <w:rPr>
          <w:rFonts w:hint="eastAsia" w:ascii="仿宋" w:hAnsi="仿宋" w:eastAsia="仿宋"/>
          <w:sz w:val="28"/>
          <w:szCs w:val="28"/>
        </w:rPr>
        <w:t>经审核，新造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1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㈡财务监管、风控制度的执行情况</w:t>
      </w:r>
    </w:p>
    <w:p>
      <w:pPr>
        <w:spacing w:line="610" w:lineRule="exact"/>
        <w:ind w:firstLine="560" w:firstLineChars="200"/>
        <w:rPr>
          <w:rFonts w:ascii="仿宋" w:hAnsi="仿宋" w:eastAsia="仿宋"/>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w:t>
      </w:r>
      <w:r>
        <w:rPr>
          <w:rFonts w:hint="eastAsia" w:ascii="Times New Roman" w:hAnsi="Times New Roman" w:eastAsia="仿宋_GB2312" w:cs="Times New Roman"/>
          <w:sz w:val="28"/>
          <w:szCs w:val="28"/>
        </w:rPr>
        <w:t>承接机构广州市洋城社会工作服务中心根据自身特点建立了《财务管理制度》《岗位职责》《报销制度》《重大事项报告制度》等财务监管、风险方面控制制度，新造社工站在实际工作中按相关规定编制“经费预算明细表”，除本报告第十点“存在问题及建议”披露的问题外，在经费报销和物资采购等方面基本能执行承接机构制度规定的程序、权限</w:t>
      </w:r>
      <w:r>
        <w:rPr>
          <w:rFonts w:hint="eastAsia" w:ascii="仿宋" w:hAnsi="仿宋" w:eastAsia="仿宋"/>
          <w:sz w:val="28"/>
          <w:szCs w:val="28"/>
        </w:rPr>
        <w:t>。</w:t>
      </w:r>
    </w:p>
    <w:p>
      <w:pPr>
        <w:spacing w:line="61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２、承接机构广州市洋城社会工作服务中心除建立上述管理制度外，还建立了《资产管理制度》，新造社工站按区域对固定资产进行管理，定期盘点。</w:t>
      </w:r>
    </w:p>
    <w:p>
      <w:pPr>
        <w:spacing w:line="60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３、承接机构广州市洋城社会工作服务中心已按要求编制服务期内新造社工站的财务自评报告；中心2</w:t>
      </w:r>
      <w:r>
        <w:rPr>
          <w:rFonts w:ascii="Times New Roman" w:hAnsi="Times New Roman" w:eastAsia="仿宋_GB2312"/>
          <w:sz w:val="28"/>
          <w:szCs w:val="28"/>
        </w:rPr>
        <w:t>02</w:t>
      </w:r>
      <w:r>
        <w:rPr>
          <w:rFonts w:hint="eastAsia" w:ascii="Times New Roman" w:hAnsi="Times New Roman" w:eastAsia="仿宋_GB2312"/>
          <w:sz w:val="28"/>
          <w:szCs w:val="28"/>
        </w:rPr>
        <w:t>4年度财务报表已经广东中煜会计师事务所（普通合伙）审计，并取得粤中煜审字</w:t>
      </w:r>
      <w:r>
        <w:rPr>
          <w:rFonts w:hint="eastAsia" w:ascii="Times New Roman" w:hAnsi="Times New Roman" w:eastAsia="仿宋_GB2312" w:cs="Times New Roman"/>
          <w:sz w:val="28"/>
          <w:szCs w:val="28"/>
        </w:rPr>
        <w:t>[2025</w:t>
      </w:r>
      <w:r>
        <w:rPr>
          <w:rFonts w:ascii="Times New Roman" w:hAnsi="Times New Roman" w:eastAsia="仿宋_GB2312" w:cs="Times New Roman"/>
          <w:sz w:val="28"/>
          <w:szCs w:val="28"/>
        </w:rPr>
        <w:t>]</w:t>
      </w:r>
      <w:r>
        <w:rPr>
          <w:rFonts w:hint="eastAsia" w:ascii="Times New Roman" w:hAnsi="Times New Roman" w:eastAsia="仿宋_GB2312"/>
          <w:sz w:val="28"/>
          <w:szCs w:val="28"/>
        </w:rPr>
        <w:t>1063号无保留意见审计报告；</w:t>
      </w:r>
      <w:r>
        <w:rPr>
          <w:rFonts w:hint="eastAsia" w:ascii="Times New Roman" w:hAnsi="Times New Roman" w:eastAsia="仿宋_GB2312" w:cs="Times New Roman"/>
          <w:sz w:val="28"/>
          <w:szCs w:val="28"/>
        </w:rPr>
        <w:t>2024</w:t>
      </w:r>
      <w:r>
        <w:rPr>
          <w:rFonts w:hint="eastAsia" w:ascii="Times New Roman" w:hAnsi="Times New Roman" w:eastAsia="仿宋_GB2312"/>
          <w:sz w:val="28"/>
          <w:szCs w:val="28"/>
        </w:rPr>
        <w:t>年度</w:t>
      </w:r>
      <w:r>
        <w:rPr>
          <w:rFonts w:hint="eastAsia" w:ascii="仿宋" w:hAnsi="仿宋" w:eastAsia="仿宋"/>
          <w:sz w:val="28"/>
          <w:szCs w:val="28"/>
        </w:rPr>
        <w:t>企业所得税纳税情况已经广州信德税务师事务所有限公司复核，</w:t>
      </w:r>
      <w:r>
        <w:rPr>
          <w:rFonts w:hint="eastAsia" w:ascii="Times New Roman" w:hAnsi="Times New Roman" w:eastAsia="仿宋_GB2312"/>
          <w:sz w:val="28"/>
          <w:szCs w:val="28"/>
        </w:rPr>
        <w:t>并取得信德税鉴字</w:t>
      </w:r>
      <w:r>
        <w:rPr>
          <w:rFonts w:hint="eastAsia" w:ascii="Times New Roman" w:hAnsi="Times New Roman" w:eastAsia="仿宋_GB2312" w:cs="Times New Roman"/>
          <w:sz w:val="28"/>
          <w:szCs w:val="28"/>
        </w:rPr>
        <w:t>[2025</w:t>
      </w:r>
      <w:r>
        <w:rPr>
          <w:rFonts w:ascii="Times New Roman" w:hAnsi="Times New Roman" w:eastAsia="仿宋_GB2312" w:cs="Times New Roman"/>
          <w:sz w:val="28"/>
          <w:szCs w:val="28"/>
        </w:rPr>
        <w:t>]</w:t>
      </w:r>
      <w:r>
        <w:rPr>
          <w:rFonts w:hint="eastAsia" w:ascii="Times New Roman" w:hAnsi="Times New Roman" w:eastAsia="仿宋_GB2312"/>
          <w:sz w:val="28"/>
          <w:szCs w:val="28"/>
        </w:rPr>
        <w:t>第</w:t>
      </w:r>
      <w:r>
        <w:rPr>
          <w:rFonts w:hint="eastAsia" w:ascii="Times New Roman" w:hAnsi="Times New Roman" w:eastAsia="仿宋_GB2312" w:cs="Times New Roman"/>
          <w:sz w:val="28"/>
          <w:szCs w:val="28"/>
        </w:rPr>
        <w:t>A134</w:t>
      </w:r>
      <w:r>
        <w:rPr>
          <w:rFonts w:hint="eastAsia" w:ascii="Times New Roman" w:hAnsi="Times New Roman" w:eastAsia="仿宋_GB2312"/>
          <w:sz w:val="28"/>
          <w:szCs w:val="28"/>
        </w:rPr>
        <w:t>号汇算清缴纳税调整报告。</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三、新造社工站人员配备情况</w:t>
      </w:r>
    </w:p>
    <w:p>
      <w:pPr>
        <w:spacing w:line="600" w:lineRule="exact"/>
        <w:ind w:firstLine="560" w:firstLineChars="200"/>
        <w:rPr>
          <w:rFonts w:ascii="Times New Roman" w:hAnsi="Times New Roman" w:eastAsia="仿宋_GB2312"/>
          <w:sz w:val="28"/>
          <w:szCs w:val="28"/>
        </w:rPr>
      </w:pPr>
      <w:r>
        <w:rPr>
          <w:rFonts w:hint="eastAsia" w:ascii="Times New Roman" w:hAnsi="Times New Roman" w:eastAsia="仿宋_GB2312" w:cs="Times New Roman"/>
          <w:sz w:val="28"/>
          <w:szCs w:val="28"/>
        </w:rPr>
        <w:t>承接机构广州市洋城社会工作服务中心严格贯彻不相容职务分离原则，配置财务人员2名，分别担任财务负责人及出纳岗位，负责包括新造社工站在内的中心财务工作，其中财务负责人黄娟已取得会计初级专业技术资格证</w:t>
      </w:r>
      <w:r>
        <w:rPr>
          <w:rFonts w:hint="eastAsia" w:ascii="Times New Roman" w:hAnsi="Times New Roman" w:eastAsia="仿宋_GB2312"/>
          <w:sz w:val="28"/>
          <w:szCs w:val="28"/>
        </w:rPr>
        <w:t>。</w:t>
      </w:r>
    </w:p>
    <w:p>
      <w:pPr>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经查阅，财务负责人黄娟和出纳陈钰莹均已完成2024年度会计专业技术人员继续教育学习任务，且相应工资、五险一金等薪金支出在机构作为运营管理费用项目核算，未计入社工人员经费支出，符合要求。</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四、新造社工站经费支出情况</w:t>
      </w:r>
    </w:p>
    <w:p>
      <w:pPr>
        <w:spacing w:line="580" w:lineRule="atLeas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承接机构广州市洋城社会工作服务中心根据</w:t>
      </w:r>
      <w:r>
        <w:rPr>
          <w:rFonts w:hint="eastAsia" w:ascii="Times New Roman" w:hAnsi="Times New Roman" w:eastAsia="仿宋" w:cs="Times New Roman"/>
          <w:color w:val="000000" w:themeColor="text1"/>
          <w:sz w:val="28"/>
          <w:szCs w:val="28"/>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广州市人民政府办公厅关于印发广州市社工服务站管理办法的通知》（穗府办〔2023〕7号）</w:t>
      </w:r>
      <w:r>
        <w:rPr>
          <w:rFonts w:hint="eastAsia" w:ascii="仿宋_GB2312" w:hAnsi="仿宋_GB2312" w:eastAsia="仿宋_GB2312" w:cs="仿宋_GB2312"/>
          <w:sz w:val="28"/>
          <w:szCs w:val="28"/>
        </w:rPr>
        <w:t>等</w:t>
      </w:r>
      <w:r>
        <w:rPr>
          <w:rFonts w:hint="eastAsia" w:ascii="Times New Roman" w:hAnsi="Times New Roman" w:eastAsia="仿宋_GB2312" w:cs="Times New Roman"/>
          <w:sz w:val="28"/>
          <w:szCs w:val="28"/>
        </w:rPr>
        <w:t>相关规定，结合实际情况建立了《财务管理制度》、《报销制度》及《财务内控制度》，明确了财务经费支出的审核程序及支出权限。财务制度规定：300.00元以下由项目主管审批支用，300.00元—500.00元由中心主任审批支用，500.00元以上由机构总干事审批，3,000.00元以上由理事长审批。本评估期内新造社工站经费支出具体情况如下：</w:t>
      </w:r>
    </w:p>
    <w:p>
      <w:pPr>
        <w:spacing w:line="580" w:lineRule="atLeas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财务支出的合规性</w:t>
      </w:r>
    </w:p>
    <w:p>
      <w:pPr>
        <w:spacing w:line="620" w:lineRule="atLeas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新造社工站经费使用的范围、比例基本能按</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广州市社工服务站管理办法</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有关规定执行。新造社工站（每年）有制定“项目预算表”，明确规划了协议期内的收入和支出预算计划，经费支出预算表基本能符合《民间非营利组织会计制度》和广州市番禺区新造镇人民政府与社工服务站承接机构签订的购买服务协议中人员费用、服务质量保障费用和运营管理费用规定的使用范围，活动经费预算表有机构理事会负责人签名确认</w:t>
      </w:r>
      <w:r>
        <w:rPr>
          <w:rFonts w:ascii="Times New Roman" w:hAnsi="Times New Roman" w:eastAsia="仿宋_GB2312" w:cs="Times New Roman"/>
          <w:sz w:val="28"/>
          <w:szCs w:val="28"/>
        </w:rPr>
        <w:t>。</w:t>
      </w:r>
    </w:p>
    <w:p>
      <w:pPr>
        <w:spacing w:line="620" w:lineRule="atLeas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经审核，新造社工站财务支出的事由、票据、标准基本合理。新造社工站有经费预算程序，财务支出根据经费预算计划执行、基本能按预算标准支出，并有财务支出票据</w:t>
      </w:r>
      <w:r>
        <w:rPr>
          <w:rFonts w:ascii="Times New Roman" w:hAnsi="Times New Roman" w:eastAsia="仿宋_GB2312" w:cs="Times New Roman"/>
          <w:sz w:val="28"/>
          <w:szCs w:val="28"/>
        </w:rPr>
        <w:t>。</w:t>
      </w:r>
    </w:p>
    <w:p>
      <w:pPr>
        <w:spacing w:line="620" w:lineRule="atLeas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审批情况</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经审核，新造社工站基本能按承接机构广州市洋城社会工作服务中心财务制度规定的审批权限进行审批</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经费支出由经办人、证明人、审核人签名</w:t>
      </w:r>
      <w:r>
        <w:rPr>
          <w:rFonts w:ascii="Times New Roman" w:hAnsi="Times New Roman" w:eastAsia="仿宋_GB2312" w:cs="Times New Roman"/>
          <w:sz w:val="28"/>
          <w:szCs w:val="28"/>
        </w:rPr>
        <w:t>。</w:t>
      </w:r>
    </w:p>
    <w:p>
      <w:pPr>
        <w:spacing w:line="620" w:lineRule="atLeas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监控情况</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经审核，承接机构广州市洋城社会工作服务中心已建立财务支出管理的监控机制，并基本在新造社工站得到执行</w:t>
      </w:r>
      <w:r>
        <w:rPr>
          <w:rFonts w:ascii="Times New Roman" w:hAnsi="Times New Roman" w:eastAsia="仿宋_GB2312" w:cs="Times New Roman"/>
          <w:sz w:val="28"/>
          <w:szCs w:val="28"/>
        </w:rPr>
        <w:t>。</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承接机构广州市洋城社会工作服务中心能按规定开设银行基本账户，按规定对该新造社工站开设了银行一般账户，日常财务支出采用专户支付和基本户代付后专户转回结合的方式。</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为确保政府购买服务经费用于指定用途，承接机构广州市洋城社会工作服务中心有定期向购买方提交新造社工站服务经费使用情况报告，对经费预算及使用情况作比对分析</w:t>
      </w:r>
      <w:r>
        <w:rPr>
          <w:rFonts w:ascii="Times New Roman" w:hAnsi="Times New Roman" w:eastAsia="仿宋_GB2312" w:cs="Times New Roman"/>
          <w:sz w:val="28"/>
          <w:szCs w:val="28"/>
        </w:rPr>
        <w:t>。</w:t>
      </w:r>
    </w:p>
    <w:p>
      <w:pPr>
        <w:spacing w:line="620" w:lineRule="atLeas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w:t>
      </w:r>
      <w:r>
        <w:rPr>
          <w:rFonts w:ascii="Times New Roman" w:hAnsi="Times New Roman" w:eastAsia="仿宋_GB2312" w:cs="Times New Roman"/>
          <w:sz w:val="28"/>
          <w:szCs w:val="28"/>
        </w:rPr>
        <w:t>财务支出票据的完整性、规范性</w:t>
      </w:r>
    </w:p>
    <w:p>
      <w:pPr>
        <w:spacing w:line="620" w:lineRule="atLeas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经审核，除本报告第十点“存在问题及建议”披露的问题外，新造社工站财务支出票据、凭证填制基本完整，账目设置、票据管理较规范</w:t>
      </w:r>
      <w:r>
        <w:rPr>
          <w:rFonts w:ascii="Times New Roman" w:hAnsi="Times New Roman" w:eastAsia="仿宋_GB2312"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五、新造社工站会计核算情况</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㈠是否设置会计科目，编制完整会计报表</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cs="Times New Roman"/>
          <w:sz w:val="28"/>
          <w:szCs w:val="28"/>
        </w:rPr>
        <w:t>经审核，承接机构广州市洋城社会工作服务中心对新造社工站会计科目设置合理，所有服务业务均编制了记账凭证、登记了明细分类账簿和总账，核算做到账证、账账、账表相符，编制了会计报表，并依据相关会计制度独立核算</w:t>
      </w:r>
      <w:r>
        <w:rPr>
          <w:rFonts w:hint="eastAsia" w:ascii="Times New Roman" w:hAnsi="Times New Roman" w:eastAsia="仿宋_GB2312"/>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㈡是否分项目核算</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经审核，承接机构广州市洋城社会工作服务中心对承接的新造社工站政府购买服务资金的服务经费支出，能按要求做到分项目核算</w:t>
      </w:r>
      <w:r>
        <w:rPr>
          <w:rFonts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cs="Times New Roman"/>
          <w:sz w:val="28"/>
          <w:szCs w:val="28"/>
        </w:rPr>
        <w:t>经审核，承接机构广州市洋城社会工作服务中心对承接的新造社工站政府购买服务资金的服务经费支出，能按要求做到领域服务经费分开归集</w:t>
      </w:r>
      <w:r>
        <w:rPr>
          <w:rFonts w:hint="eastAsia" w:ascii="Times New Roman" w:hAnsi="Times New Roman" w:eastAsia="仿宋_GB2312"/>
          <w:sz w:val="28"/>
          <w:szCs w:val="28"/>
        </w:rPr>
        <w:t>。</w:t>
      </w:r>
    </w:p>
    <w:p>
      <w:pPr>
        <w:spacing w:line="590" w:lineRule="exact"/>
        <w:ind w:right="-569" w:rightChars="-271"/>
        <w:outlineLvl w:val="0"/>
        <w:rPr>
          <w:rFonts w:ascii="Times New Roman" w:hAnsi="Times New Roman" w:eastAsia="仿宋_GB2312" w:cs="Times New Roman"/>
          <w:b/>
          <w:sz w:val="28"/>
          <w:szCs w:val="28"/>
        </w:rPr>
      </w:pPr>
      <w:bookmarkStart w:id="2" w:name="_Hlk110777849"/>
      <w:r>
        <w:rPr>
          <w:rFonts w:hint="eastAsia" w:ascii="Times New Roman" w:hAnsi="Times New Roman" w:eastAsia="仿宋_GB2312" w:cs="Times New Roman"/>
          <w:b/>
          <w:sz w:val="28"/>
          <w:szCs w:val="28"/>
        </w:rPr>
        <w:t>六、</w:t>
      </w:r>
      <w:bookmarkEnd w:id="2"/>
      <w:r>
        <w:rPr>
          <w:rFonts w:hint="eastAsia" w:ascii="Times New Roman" w:hAnsi="Times New Roman" w:eastAsia="仿宋_GB2312" w:cs="Times New Roman"/>
          <w:b/>
          <w:sz w:val="28"/>
          <w:szCs w:val="28"/>
        </w:rPr>
        <w:t>本评估期服务经费拨入、支出、结余情况</w:t>
      </w:r>
    </w:p>
    <w:p>
      <w:pPr>
        <w:spacing w:line="590" w:lineRule="exact"/>
        <w:ind w:right="-2" w:firstLine="560" w:firstLineChars="200"/>
        <w:outlineLvl w:val="0"/>
        <w:rPr>
          <w:rFonts w:ascii="Times New Roman" w:hAnsi="Times New Roman" w:eastAsia="仿宋_GB2312" w:cs="Times New Roman"/>
          <w:spacing w:val="-4"/>
          <w:sz w:val="28"/>
          <w:szCs w:val="28"/>
        </w:rPr>
      </w:pPr>
      <w:r>
        <w:rPr>
          <w:rFonts w:hint="eastAsia" w:ascii="Times New Roman" w:hAnsi="Times New Roman" w:eastAsia="仿宋_GB2312" w:cs="Times New Roman"/>
          <w:sz w:val="28"/>
          <w:szCs w:val="28"/>
        </w:rPr>
        <w:t>2025年3月1日至2025年8月31日期间（以下简称本评估期）</w:t>
      </w:r>
      <w:r>
        <w:rPr>
          <w:rFonts w:ascii="Times New Roman" w:hAnsi="Times New Roman" w:eastAsia="仿宋_GB2312" w:cs="Times New Roman"/>
          <w:sz w:val="28"/>
          <w:szCs w:val="28"/>
        </w:rPr>
        <w:t>，新造社工站收到本</w:t>
      </w:r>
      <w:r>
        <w:rPr>
          <w:rFonts w:hint="eastAsia" w:ascii="Times New Roman" w:hAnsi="Times New Roman" w:eastAsia="仿宋_GB2312" w:cs="Times New Roman"/>
          <w:sz w:val="28"/>
          <w:szCs w:val="28"/>
        </w:rPr>
        <w:t>协议期</w:t>
      </w:r>
      <w:r>
        <w:rPr>
          <w:rFonts w:ascii="Times New Roman" w:hAnsi="Times New Roman" w:eastAsia="仿宋_GB2312" w:cs="Times New Roman"/>
          <w:sz w:val="28"/>
          <w:szCs w:val="28"/>
        </w:rPr>
        <w:t>政府购买服务</w:t>
      </w:r>
      <w:bookmarkStart w:id="3" w:name="_Hlk110687493"/>
      <w:r>
        <w:rPr>
          <w:rFonts w:ascii="Times New Roman" w:hAnsi="Times New Roman" w:eastAsia="仿宋_GB2312" w:cs="Times New Roman"/>
          <w:sz w:val="28"/>
          <w:szCs w:val="28"/>
        </w:rPr>
        <w:t>经费</w:t>
      </w:r>
      <w:bookmarkEnd w:id="3"/>
      <w:r>
        <w:rPr>
          <w:rFonts w:hint="eastAsia" w:ascii="Times New Roman" w:hAnsi="Times New Roman" w:eastAsia="仿宋_GB2312" w:cs="Times New Roman"/>
          <w:sz w:val="28"/>
          <w:szCs w:val="28"/>
        </w:rPr>
        <w:t>1,421,096.00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归属于本评估期的服务经费支出累计</w:t>
      </w:r>
      <w:r>
        <w:rPr>
          <w:rFonts w:hint="eastAsia" w:ascii="Times New Roman" w:hAnsi="Times New Roman" w:eastAsia="仿宋_GB2312" w:cs="Times New Roman"/>
          <w:sz w:val="28"/>
          <w:szCs w:val="28"/>
        </w:rPr>
        <w:t>674,896.74</w:t>
      </w:r>
      <w:bookmarkStart w:id="4" w:name="_Hlk110687647"/>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本评估期结余金额</w:t>
      </w:r>
      <w:r>
        <w:rPr>
          <w:rFonts w:hint="eastAsia" w:ascii="Times New Roman" w:hAnsi="Times New Roman" w:eastAsia="仿宋_GB2312" w:cs="Times New Roman"/>
          <w:sz w:val="28"/>
          <w:szCs w:val="28"/>
        </w:rPr>
        <w:t>746</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199</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6元</w:t>
      </w:r>
      <w:bookmarkEnd w:id="4"/>
      <w:r>
        <w:rPr>
          <w:rFonts w:ascii="Times New Roman" w:hAnsi="Times New Roman" w:eastAsia="仿宋_GB2312" w:cs="Times New Roman"/>
          <w:sz w:val="28"/>
          <w:szCs w:val="28"/>
        </w:rPr>
        <w:t>，占实际拨入经费的</w:t>
      </w:r>
      <w:r>
        <w:rPr>
          <w:rFonts w:hint="eastAsia" w:ascii="Times New Roman" w:hAnsi="Times New Roman" w:eastAsia="仿宋_GB2312" w:cs="Times New Roman"/>
          <w:sz w:val="28"/>
          <w:szCs w:val="28"/>
        </w:rPr>
        <w:t>52.51%</w:t>
      </w:r>
      <w:r>
        <w:rPr>
          <w:rFonts w:ascii="Times New Roman" w:hAnsi="Times New Roman" w:eastAsia="仿宋_GB2312" w:cs="Times New Roman"/>
          <w:spacing w:val="-4"/>
          <w:sz w:val="28"/>
          <w:szCs w:val="28"/>
        </w:rPr>
        <w:t>。</w:t>
      </w:r>
      <w:r>
        <w:rPr>
          <w:rFonts w:ascii="仿宋" w:hAnsi="仿宋" w:eastAsia="仿宋" w:cs="Times New Roman"/>
          <w:sz w:val="28"/>
          <w:szCs w:val="28"/>
        </w:rPr>
        <w:t>具体经费支出情况如下：</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㈠用于人员费用支出</w:t>
      </w:r>
      <w:r>
        <w:rPr>
          <w:rFonts w:hint="eastAsia" w:ascii="Times New Roman" w:hAnsi="Times New Roman" w:eastAsia="仿宋_GB2312" w:cs="Times New Roman"/>
          <w:color w:val="000000" w:themeColor="text1"/>
          <w:sz w:val="28"/>
          <w:szCs w:val="28"/>
          <w14:textFill>
            <w14:solidFill>
              <w14:schemeClr w14:val="tx1"/>
            </w14:solidFill>
          </w14:textFill>
        </w:rPr>
        <w:t>521</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623</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01</w:t>
      </w:r>
      <w:r>
        <w:rPr>
          <w:rFonts w:ascii="Times New Roman" w:hAnsi="Times New Roman" w:eastAsia="仿宋_GB2312" w:cs="Times New Roman"/>
          <w:color w:val="000000" w:themeColor="text1"/>
          <w:sz w:val="28"/>
          <w:szCs w:val="28"/>
          <w14:textFill>
            <w14:solidFill>
              <w14:schemeClr w14:val="tx1"/>
            </w14:solidFill>
          </w14:textFill>
        </w:rPr>
        <w:t>元，</w:t>
      </w:r>
      <w:r>
        <w:rPr>
          <w:rFonts w:ascii="Times New Roman" w:hAnsi="Times New Roman" w:eastAsia="仿宋" w:cs="Times New Roman"/>
          <w:sz w:val="28"/>
          <w:szCs w:val="28"/>
        </w:rPr>
        <w:t>占本评估期实收服务总经费的</w:t>
      </w:r>
      <w:r>
        <w:rPr>
          <w:rFonts w:hint="eastAsia" w:ascii="Times New Roman" w:hAnsi="Times New Roman" w:eastAsia="仿宋" w:cs="Times New Roman"/>
          <w:sz w:val="28"/>
          <w:szCs w:val="28"/>
        </w:rPr>
        <w:t>36.71%，</w:t>
      </w:r>
      <w:r>
        <w:rPr>
          <w:rFonts w:ascii="Times New Roman" w:hAnsi="Times New Roman" w:eastAsia="仿宋_GB2312" w:cs="Times New Roman"/>
          <w:color w:val="000000" w:themeColor="text1"/>
          <w:sz w:val="28"/>
          <w:szCs w:val="28"/>
          <w14:textFill>
            <w14:solidFill>
              <w14:schemeClr w14:val="tx1"/>
            </w14:solidFill>
          </w14:textFill>
        </w:rPr>
        <w:t>其中：</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１、工资总额支出</w:t>
      </w:r>
      <w:r>
        <w:rPr>
          <w:rFonts w:hint="eastAsia" w:ascii="Times New Roman" w:hAnsi="Times New Roman" w:eastAsia="仿宋_GB2312" w:cs="Times New Roman"/>
          <w:color w:val="000000" w:themeColor="text1"/>
          <w:sz w:val="28"/>
          <w:szCs w:val="28"/>
          <w14:textFill>
            <w14:solidFill>
              <w14:schemeClr w14:val="tx1"/>
            </w14:solidFill>
          </w14:textFill>
        </w:rPr>
        <w:t>438,005.21</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２、五险金支出</w:t>
      </w:r>
      <w:r>
        <w:rPr>
          <w:rFonts w:hint="eastAsia" w:ascii="Times New Roman" w:hAnsi="Times New Roman" w:eastAsia="仿宋_GB2312" w:cs="Times New Roman"/>
          <w:color w:val="000000" w:themeColor="text1"/>
          <w:sz w:val="28"/>
          <w:szCs w:val="28"/>
          <w14:textFill>
            <w14:solidFill>
              <w14:schemeClr w14:val="tx1"/>
            </w14:solidFill>
          </w14:textFill>
        </w:rPr>
        <w:t>74,617.80</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３、公积金支出</w:t>
      </w:r>
      <w:r>
        <w:rPr>
          <w:rFonts w:hint="eastAsia" w:ascii="Times New Roman" w:hAnsi="Times New Roman" w:eastAsia="仿宋_GB2312" w:cs="Times New Roman"/>
          <w:color w:val="000000" w:themeColor="text1"/>
          <w:sz w:val="28"/>
          <w:szCs w:val="28"/>
          <w14:textFill>
            <w14:solidFill>
              <w14:schemeClr w14:val="tx1"/>
            </w14:solidFill>
          </w14:textFill>
        </w:rPr>
        <w:t>9,000.00</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59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㈡用于服务质量保障费用的支出合计</w:t>
      </w:r>
      <w:r>
        <w:rPr>
          <w:rFonts w:hint="eastAsia" w:ascii="Times New Roman" w:hAnsi="Times New Roman" w:eastAsia="仿宋_GB2312" w:cs="Times New Roman"/>
          <w:color w:val="000000" w:themeColor="text1"/>
          <w:sz w:val="28"/>
          <w:szCs w:val="28"/>
          <w14:textFill>
            <w14:solidFill>
              <w14:schemeClr w14:val="tx1"/>
            </w14:solidFill>
          </w14:textFill>
        </w:rPr>
        <w:t>85,380.96</w:t>
      </w:r>
      <w:r>
        <w:rPr>
          <w:rFonts w:ascii="Times New Roman" w:hAnsi="Times New Roman" w:eastAsia="仿宋_GB2312" w:cs="Times New Roman"/>
          <w:color w:val="000000" w:themeColor="text1"/>
          <w:sz w:val="28"/>
          <w:szCs w:val="28"/>
          <w14:textFill>
            <w14:solidFill>
              <w14:schemeClr w14:val="tx1"/>
            </w14:solidFill>
          </w14:textFill>
        </w:rPr>
        <w:t>元，</w:t>
      </w:r>
      <w:r>
        <w:rPr>
          <w:rFonts w:ascii="Times New Roman" w:hAnsi="Times New Roman" w:eastAsia="仿宋" w:cs="Times New Roman"/>
          <w:sz w:val="28"/>
          <w:szCs w:val="28"/>
        </w:rPr>
        <w:t>占本评估期实收服务总经费的</w:t>
      </w:r>
      <w:r>
        <w:rPr>
          <w:rFonts w:hint="eastAsia" w:ascii="Times New Roman" w:hAnsi="Times New Roman" w:eastAsia="仿宋" w:cs="Times New Roman"/>
          <w:sz w:val="28"/>
          <w:szCs w:val="28"/>
        </w:rPr>
        <w:t>6.01%</w:t>
      </w:r>
      <w:r>
        <w:rPr>
          <w:rFonts w:ascii="Times New Roman" w:hAnsi="Times New Roman" w:eastAsia="仿宋" w:cs="Times New Roman"/>
          <w:sz w:val="28"/>
          <w:szCs w:val="28"/>
        </w:rPr>
        <w:t>，其中：</w:t>
      </w:r>
    </w:p>
    <w:p>
      <w:pPr>
        <w:spacing w:line="61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w:t>
      </w:r>
      <w:r>
        <w:rPr>
          <w:rFonts w:hint="eastAsia" w:ascii="Times New Roman" w:hAnsi="Times New Roman" w:eastAsia="仿宋_GB2312"/>
          <w:color w:val="000000" w:themeColor="text1"/>
          <w:sz w:val="28"/>
          <w:szCs w:val="28"/>
          <w14:textFill>
            <w14:solidFill>
              <w14:schemeClr w14:val="tx1"/>
            </w14:solidFill>
          </w14:textFill>
        </w:rPr>
        <w:t>用于开展与专业服务和活动的支出3,327.91元，占本评估实收服务总经费的0.23%。</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⑴服务和活动物料支出438.66元；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⑵宣传费支出2,692.00元；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⑶交通费支出197.25元。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２、</w:t>
      </w:r>
      <w:r>
        <w:rPr>
          <w:rFonts w:hint="eastAsia" w:ascii="Times New Roman" w:hAnsi="Times New Roman" w:eastAsia="仿宋_GB2312"/>
          <w:color w:val="000000" w:themeColor="text1"/>
          <w:spacing w:val="-8"/>
          <w:sz w:val="28"/>
          <w:szCs w:val="28"/>
          <w14:textFill>
            <w14:solidFill>
              <w14:schemeClr w14:val="tx1"/>
            </w14:solidFill>
          </w14:textFill>
        </w:rPr>
        <w:t>用于日常办公费用支出18,447.29元，占本评估期实收服务总经费的1.30%。</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⑴办公费耗材支出13,739.94元；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⑵水电费支出1,248.82元；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⑶电话费支出3,458.53元。</w:t>
      </w:r>
    </w:p>
    <w:p>
      <w:pPr>
        <w:spacing w:line="610" w:lineRule="exact"/>
        <w:ind w:firstLine="528"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３、</w:t>
      </w:r>
      <w:r>
        <w:rPr>
          <w:rFonts w:hint="eastAsia" w:ascii="Times New Roman" w:hAnsi="Times New Roman" w:eastAsia="仿宋_GB2312"/>
          <w:color w:val="000000" w:themeColor="text1"/>
          <w:sz w:val="28"/>
          <w:szCs w:val="28"/>
          <w14:textFill>
            <w14:solidFill>
              <w14:schemeClr w14:val="tx1"/>
            </w14:solidFill>
          </w14:textFill>
        </w:rPr>
        <w:t>用于机构年度相关税费支出63,605.76元，占本评估期实收服务总经费的4.48%。</w:t>
      </w:r>
    </w:p>
    <w:p>
      <w:pPr>
        <w:spacing w:line="61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color w:val="000000" w:themeColor="text1"/>
          <w:sz w:val="28"/>
          <w:szCs w:val="28"/>
          <w14:textFill>
            <w14:solidFill>
              <w14:schemeClr w14:val="tx1"/>
            </w14:solidFill>
          </w14:textFill>
        </w:rPr>
        <w:t>㈢用于运营管理费用支出67,892.77元，占本评估期实收服务总经费的4.78%</w:t>
      </w:r>
      <w:r>
        <w:rPr>
          <w:rFonts w:hint="eastAsia" w:ascii="Times New Roman" w:hAnsi="Times New Roman" w:eastAsia="仿宋" w:cs="Times New Roman"/>
          <w:sz w:val="28"/>
          <w:szCs w:val="28"/>
        </w:rPr>
        <w:t>，其中：</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、分摊机构人员工资</w:t>
      </w:r>
      <w:r>
        <w:rPr>
          <w:rFonts w:hint="eastAsia" w:ascii="Times New Roman" w:hAnsi="Times New Roman" w:eastAsia="仿宋_GB2312" w:cs="Times New Roman"/>
          <w:sz w:val="28"/>
          <w:szCs w:val="28"/>
        </w:rPr>
        <w:t>45,562.11</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、分摊机构人员社保</w:t>
      </w:r>
      <w:r>
        <w:rPr>
          <w:rFonts w:hint="eastAsia" w:ascii="Times New Roman" w:hAnsi="Times New Roman" w:eastAsia="仿宋_GB2312" w:cs="Times New Roman"/>
          <w:sz w:val="28"/>
          <w:szCs w:val="28"/>
        </w:rPr>
        <w:t>8,415.03</w:t>
      </w:r>
      <w:r>
        <w:rPr>
          <w:rFonts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、分摊机构人员公积金</w:t>
      </w:r>
      <w:r>
        <w:rPr>
          <w:rFonts w:hint="eastAsia" w:ascii="Times New Roman" w:hAnsi="Times New Roman" w:eastAsia="仿宋_GB2312" w:cs="Times New Roman"/>
          <w:sz w:val="28"/>
          <w:szCs w:val="28"/>
        </w:rPr>
        <w:t>999.92</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w:t>
      </w:r>
      <w:bookmarkStart w:id="5" w:name="_Hlk136813525"/>
      <w:r>
        <w:rPr>
          <w:rFonts w:ascii="Times New Roman" w:hAnsi="Times New Roman" w:eastAsia="仿宋_GB2312" w:cs="Times New Roman"/>
          <w:sz w:val="28"/>
          <w:szCs w:val="28"/>
        </w:rPr>
        <w:t>分摊机构费用</w:t>
      </w:r>
      <w:r>
        <w:rPr>
          <w:rFonts w:hint="eastAsia" w:ascii="Times New Roman" w:hAnsi="Times New Roman" w:eastAsia="仿宋_GB2312" w:cs="Times New Roman"/>
          <w:sz w:val="28"/>
          <w:szCs w:val="28"/>
        </w:rPr>
        <w:t>12,915.71</w:t>
      </w:r>
      <w:r>
        <w:rPr>
          <w:rFonts w:ascii="Times New Roman" w:hAnsi="Times New Roman" w:eastAsia="仿宋_GB2312" w:cs="Times New Roman"/>
          <w:sz w:val="28"/>
          <w:szCs w:val="28"/>
        </w:rPr>
        <w:t>元</w:t>
      </w:r>
      <w:bookmarkEnd w:id="5"/>
      <w:r>
        <w:rPr>
          <w:rFonts w:hint="eastAsia" w:ascii="Times New Roman" w:hAnsi="Times New Roman" w:eastAsia="仿宋_GB2312" w:cs="Times New Roman"/>
          <w:sz w:val="28"/>
          <w:szCs w:val="28"/>
        </w:rPr>
        <w:t>。</w:t>
      </w:r>
    </w:p>
    <w:p>
      <w:pPr>
        <w:spacing w:line="610" w:lineRule="exact"/>
        <w:ind w:right="-2"/>
        <w:outlineLvl w:val="0"/>
        <w:rPr>
          <w:rFonts w:ascii="Times New Roman" w:hAnsi="Times New Roman" w:eastAsia="仿宋_GB2312"/>
          <w:sz w:val="28"/>
          <w:szCs w:val="28"/>
        </w:rPr>
      </w:pPr>
      <w:r>
        <w:rPr>
          <w:rFonts w:hint="eastAsia" w:ascii="Times New Roman" w:hAnsi="Times New Roman" w:eastAsia="仿宋_GB2312" w:cs="Times New Roman"/>
          <w:b/>
          <w:sz w:val="28"/>
          <w:szCs w:val="28"/>
        </w:rPr>
        <w:t>七、本次服务协议期（2</w:t>
      </w:r>
      <w:r>
        <w:rPr>
          <w:rFonts w:ascii="Times New Roman" w:hAnsi="Times New Roman" w:eastAsia="仿宋_GB2312" w:cs="Times New Roman"/>
          <w:b/>
          <w:sz w:val="28"/>
          <w:szCs w:val="28"/>
        </w:rPr>
        <w:t>02</w:t>
      </w:r>
      <w:r>
        <w:rPr>
          <w:rFonts w:hint="eastAsia" w:ascii="Times New Roman" w:hAnsi="Times New Roman" w:eastAsia="仿宋_GB2312" w:cs="Times New Roman"/>
          <w:b/>
          <w:sz w:val="28"/>
          <w:szCs w:val="28"/>
        </w:rPr>
        <w:t>4年</w:t>
      </w:r>
      <w:r>
        <w:rPr>
          <w:rFonts w:ascii="Times New Roman" w:hAnsi="Times New Roman" w:eastAsia="仿宋_GB2312" w:cs="Times New Roman"/>
          <w:b/>
          <w:sz w:val="28"/>
          <w:szCs w:val="28"/>
        </w:rPr>
        <w:t>9</w:t>
      </w:r>
      <w:r>
        <w:rPr>
          <w:rFonts w:hint="eastAsia" w:ascii="Times New Roman" w:hAnsi="Times New Roman" w:eastAsia="仿宋_GB2312" w:cs="Times New Roman"/>
          <w:b/>
          <w:sz w:val="28"/>
          <w:szCs w:val="28"/>
        </w:rPr>
        <w:t>月1日至2</w:t>
      </w:r>
      <w:r>
        <w:rPr>
          <w:rFonts w:ascii="Times New Roman" w:hAnsi="Times New Roman" w:eastAsia="仿宋_GB2312" w:cs="Times New Roman"/>
          <w:b/>
          <w:sz w:val="28"/>
          <w:szCs w:val="28"/>
        </w:rPr>
        <w:t>02</w:t>
      </w:r>
      <w:r>
        <w:rPr>
          <w:rFonts w:hint="eastAsia" w:ascii="Times New Roman" w:hAnsi="Times New Roman" w:eastAsia="仿宋_GB2312" w:cs="Times New Roman"/>
          <w:b/>
          <w:sz w:val="28"/>
          <w:szCs w:val="28"/>
        </w:rPr>
        <w:t>5年</w:t>
      </w:r>
      <w:r>
        <w:rPr>
          <w:rFonts w:ascii="Times New Roman" w:hAnsi="Times New Roman" w:eastAsia="仿宋_GB2312" w:cs="Times New Roman"/>
          <w:b/>
          <w:sz w:val="28"/>
          <w:szCs w:val="28"/>
        </w:rPr>
        <w:t>8</w:t>
      </w:r>
      <w:r>
        <w:rPr>
          <w:rFonts w:hint="eastAsia" w:ascii="Times New Roman" w:hAnsi="Times New Roman" w:eastAsia="仿宋_GB2312" w:cs="Times New Roman"/>
          <w:b/>
          <w:sz w:val="28"/>
          <w:szCs w:val="28"/>
        </w:rPr>
        <w:t>月</w:t>
      </w:r>
      <w:r>
        <w:rPr>
          <w:rFonts w:ascii="Times New Roman" w:hAnsi="Times New Roman" w:eastAsia="仿宋_GB2312" w:cs="Times New Roman"/>
          <w:b/>
          <w:sz w:val="28"/>
          <w:szCs w:val="28"/>
        </w:rPr>
        <w:t>31</w:t>
      </w:r>
      <w:r>
        <w:rPr>
          <w:rFonts w:hint="eastAsia" w:ascii="Times New Roman" w:hAnsi="Times New Roman" w:eastAsia="仿宋_GB2312" w:cs="Times New Roman"/>
          <w:b/>
          <w:sz w:val="28"/>
          <w:szCs w:val="28"/>
        </w:rPr>
        <w:t>日）经费总拨入、支出、结余情况</w:t>
      </w:r>
    </w:p>
    <w:p>
      <w:pPr>
        <w:spacing w:line="610" w:lineRule="exact"/>
        <w:ind w:firstLine="560" w:firstLineChars="200"/>
        <w:rPr>
          <w:rFonts w:ascii="Times New Roman" w:hAnsi="Times New Roman" w:eastAsia="仿宋_GB2312"/>
          <w:sz w:val="28"/>
          <w:szCs w:val="28"/>
        </w:rPr>
      </w:pPr>
      <w:r>
        <w:rPr>
          <w:rFonts w:ascii="Times New Roman" w:hAnsi="Times New Roman" w:eastAsia="仿宋_GB2312" w:cs="Times New Roman"/>
          <w:sz w:val="28"/>
          <w:szCs w:val="28"/>
        </w:rPr>
        <w:t>根据</w:t>
      </w:r>
      <w:bookmarkStart w:id="6" w:name="_Hlk179395702"/>
      <w:r>
        <w:rPr>
          <w:rFonts w:ascii="Times New Roman" w:hAnsi="Times New Roman" w:eastAsia="仿宋_GB2312" w:cs="Times New Roman"/>
          <w:sz w:val="28"/>
          <w:szCs w:val="28"/>
        </w:rPr>
        <w:t>“业会专审[202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034</w:t>
      </w:r>
      <w:r>
        <w:rPr>
          <w:rFonts w:ascii="Times New Roman" w:hAnsi="Times New Roman" w:eastAsia="仿宋_GB2312" w:cs="Times New Roman"/>
          <w:sz w:val="28"/>
          <w:szCs w:val="28"/>
        </w:rPr>
        <w:t>号”财务管理情况评估报告</w:t>
      </w:r>
      <w:bookmarkEnd w:id="6"/>
      <w:r>
        <w:rPr>
          <w:rFonts w:ascii="Times New Roman" w:hAnsi="Times New Roman" w:eastAsia="仿宋_GB2312" w:cs="Times New Roman"/>
          <w:sz w:val="28"/>
          <w:szCs w:val="28"/>
        </w:rPr>
        <w:t>并结合本次</w:t>
      </w:r>
      <w:r>
        <w:rPr>
          <w:rFonts w:hint="eastAsia" w:ascii="Times New Roman" w:hAnsi="Times New Roman" w:eastAsia="仿宋_GB2312" w:cs="Times New Roman"/>
          <w:sz w:val="28"/>
          <w:szCs w:val="28"/>
        </w:rPr>
        <w:t>2025年3月1日至2025年8月31日</w:t>
      </w:r>
      <w:r>
        <w:rPr>
          <w:rFonts w:ascii="Times New Roman" w:hAnsi="Times New Roman" w:eastAsia="仿宋_GB2312" w:cs="Times New Roman"/>
          <w:sz w:val="28"/>
          <w:szCs w:val="28"/>
        </w:rPr>
        <w:t>财务管理评估情况</w:t>
      </w:r>
      <w:r>
        <w:rPr>
          <w:rFonts w:hint="eastAsia" w:ascii="Times New Roman" w:hAnsi="Times New Roman" w:eastAsia="仿宋_GB2312"/>
          <w:sz w:val="28"/>
          <w:szCs w:val="28"/>
        </w:rPr>
        <w:t>，截至报告日，新造社工站累计已收到本次服务协议期政府采购服务经费1,521,096.00元，累计支出服务经费1,750,474.86元</w:t>
      </w:r>
      <w:r>
        <w:rPr>
          <w:rFonts w:ascii="Times New Roman" w:hAnsi="Times New Roman" w:eastAsia="仿宋_GB2312"/>
          <w:sz w:val="28"/>
          <w:szCs w:val="28"/>
        </w:rPr>
        <w:t>，</w:t>
      </w:r>
      <w:r>
        <w:rPr>
          <w:rFonts w:hint="eastAsia" w:ascii="Times New Roman" w:hAnsi="Times New Roman" w:eastAsia="仿宋_GB2312" w:cs="Times New Roman"/>
          <w:sz w:val="28"/>
          <w:szCs w:val="28"/>
        </w:rPr>
        <w:t>剔除</w:t>
      </w:r>
      <w:bookmarkStart w:id="7" w:name="_Hlk180358541"/>
      <w:r>
        <w:rPr>
          <w:rFonts w:hint="eastAsia" w:ascii="Times New Roman" w:hAnsi="Times New Roman" w:eastAsia="仿宋_GB2312" w:cs="Times New Roman"/>
          <w:color w:val="000000" w:themeColor="text1"/>
          <w:sz w:val="28"/>
          <w:szCs w:val="28"/>
          <w14:textFill>
            <w14:solidFill>
              <w14:schemeClr w14:val="tx1"/>
            </w14:solidFill>
          </w14:textFill>
        </w:rPr>
        <w:t>承接机构管理费用</w:t>
      </w:r>
      <w:r>
        <w:rPr>
          <w:rFonts w:hint="eastAsia" w:ascii="Times New Roman" w:hAnsi="Times New Roman" w:eastAsia="仿宋_GB2312" w:cs="Times New Roman"/>
          <w:sz w:val="28"/>
          <w:szCs w:val="28"/>
        </w:rPr>
        <w:t>超10%部</w:t>
      </w:r>
      <w:bookmarkEnd w:id="7"/>
      <w:r>
        <w:rPr>
          <w:rFonts w:hint="eastAsia" w:ascii="Times New Roman" w:hAnsi="Times New Roman" w:eastAsia="仿宋_GB2312" w:cs="Times New Roman"/>
          <w:sz w:val="28"/>
          <w:szCs w:val="28"/>
        </w:rPr>
        <w:t>19,973.65元后，服务经费实际累计支出1,730,501.21元</w:t>
      </w:r>
      <w:r>
        <w:rPr>
          <w:rFonts w:ascii="Times New Roman" w:hAnsi="Times New Roman" w:eastAsia="仿宋_GB2312" w:cs="Times New Roman"/>
          <w:sz w:val="28"/>
          <w:szCs w:val="28"/>
        </w:rPr>
        <w:t>，</w:t>
      </w:r>
      <w:r>
        <w:rPr>
          <w:rFonts w:ascii="Times New Roman" w:hAnsi="Times New Roman" w:eastAsia="仿宋_GB2312"/>
          <w:sz w:val="28"/>
          <w:szCs w:val="28"/>
        </w:rPr>
        <w:t>结余</w:t>
      </w:r>
      <w:r>
        <w:rPr>
          <w:rFonts w:hint="eastAsia" w:ascii="Times New Roman" w:hAnsi="Times New Roman" w:eastAsia="仿宋_GB2312"/>
          <w:sz w:val="28"/>
          <w:szCs w:val="28"/>
        </w:rPr>
        <w:t>金额为-209,405.21元（不含未拨入的 80,000.00元）。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经评估，用于新造社工站的人员费用支出占服务总经费的88.27%，</w:t>
      </w:r>
      <w:bookmarkStart w:id="8" w:name="_Hlk169527383"/>
      <w:r>
        <w:rPr>
          <w:rFonts w:hint="eastAsia" w:ascii="Times New Roman" w:hAnsi="Times New Roman" w:eastAsia="仿宋_GB2312" w:cs="Times New Roman"/>
          <w:sz w:val="28"/>
          <w:szCs w:val="28"/>
        </w:rPr>
        <w:t>服务质量保障费用及承接机构管理费用占服务总经费的</w:t>
      </w:r>
      <w:bookmarkEnd w:id="8"/>
      <w:r>
        <w:rPr>
          <w:rFonts w:hint="eastAsia" w:ascii="Times New Roman" w:hAnsi="Times New Roman" w:eastAsia="仿宋_GB2312" w:cs="Times New Roman"/>
          <w:sz w:val="28"/>
          <w:szCs w:val="28"/>
        </w:rPr>
        <w:t>21.06%，其中承接机构管理费用占服务总经费的11.25%，</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按广州市社工服务站管理办法的通知“承接机构管理费用应当不高于项目经费总额的10%”，承接机构管理费用应剔除金额19,973.65元，剔除后，服务质量保障费用及承接机构管理费用占服务总经费的19.81%，其中承接机构管理费用占服务总经费的10.00%。具体经费支出情况如下：</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㈠用于新造社工站人员费用支出1,413,312.10元，占服务总经费的88.27%，预算执行率109.14%。其中：</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１、工资总额支出1,193,068.87元；</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２、五险金支出196,093.23元；</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３、公积金支出24,150.00元；</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㈡用于新造社工站服务质量保障费用的支出合计157,079.51元，占服务总经费的9.81%，预算执行率106.13%，其中：</w:t>
      </w:r>
    </w:p>
    <w:p>
      <w:pPr>
        <w:spacing w:line="590" w:lineRule="exact"/>
        <w:ind w:firstLine="560"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pacing w:val="-6"/>
          <w:sz w:val="28"/>
          <w:szCs w:val="28"/>
        </w:rPr>
        <w:t>用于开展与专业服务和活动的支出29,148.08元，占服务总经费的1.82%。</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⑴</w:t>
      </w:r>
      <w:r>
        <w:rPr>
          <w:rFonts w:hint="eastAsia" w:ascii="Times New Roman" w:hAnsi="Times New Roman" w:eastAsia="仿宋_GB2312" w:cs="Times New Roman"/>
          <w:sz w:val="28"/>
          <w:szCs w:val="28"/>
        </w:rPr>
        <w:t>服务活动及物料</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23,418.41</w:t>
      </w:r>
      <w:r>
        <w:rPr>
          <w:rFonts w:ascii="Times New Roman" w:hAnsi="Times New Roman" w:eastAsia="仿宋_GB2312" w:cs="Times New Roman"/>
          <w:sz w:val="28"/>
          <w:szCs w:val="28"/>
        </w:rPr>
        <w:t>元；</w:t>
      </w:r>
    </w:p>
    <w:p>
      <w:pPr>
        <w:spacing w:line="590" w:lineRule="exact"/>
        <w:ind w:firstLine="560" w:firstLineChars="200"/>
        <w:rPr>
          <w:rFonts w:ascii="宋体" w:hAnsi="宋体" w:eastAsia="宋体" w:cs="宋体"/>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交通费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685.67</w:t>
      </w:r>
      <w:r>
        <w:rPr>
          <w:rFonts w:ascii="Times New Roman" w:hAnsi="Times New Roman" w:eastAsia="仿宋_GB2312" w:cs="Times New Roman"/>
          <w:sz w:val="28"/>
          <w:szCs w:val="28"/>
        </w:rPr>
        <w:t>元；</w:t>
      </w:r>
    </w:p>
    <w:p>
      <w:pPr>
        <w:spacing w:line="590" w:lineRule="exact"/>
        <w:ind w:firstLine="560" w:firstLineChars="200"/>
        <w:rPr>
          <w:rFonts w:ascii="宋体" w:hAnsi="宋体" w:eastAsia="宋体" w:cs="宋体"/>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宣传费支出5,044.00元</w:t>
      </w:r>
      <w:r>
        <w:rPr>
          <w:rFonts w:hint="eastAsia" w:ascii="Times New Roman" w:hAnsi="Times New Roman" w:eastAsia="仿宋_GB2312"/>
          <w:sz w:val="28"/>
          <w:szCs w:val="28"/>
        </w:rPr>
        <w:t>。</w:t>
      </w:r>
    </w:p>
    <w:p>
      <w:pPr>
        <w:spacing w:line="590" w:lineRule="exact"/>
        <w:ind w:firstLine="536" w:firstLineChars="200"/>
        <w:rPr>
          <w:rFonts w:ascii="Times New Roman" w:hAnsi="Times New Roman" w:eastAsia="仿宋_GB2312"/>
          <w:sz w:val="28"/>
          <w:szCs w:val="28"/>
        </w:rPr>
      </w:pPr>
      <w:r>
        <w:rPr>
          <w:rFonts w:hint="eastAsia" w:ascii="Times New Roman" w:hAnsi="Times New Roman" w:eastAsia="仿宋_GB2312" w:cs="Times New Roman"/>
          <w:spacing w:val="-6"/>
          <w:sz w:val="28"/>
          <w:szCs w:val="28"/>
        </w:rPr>
        <w:t>２、</w:t>
      </w:r>
      <w:r>
        <w:rPr>
          <w:rFonts w:hint="eastAsia" w:ascii="Times New Roman" w:hAnsi="Times New Roman" w:eastAsia="仿宋_GB2312"/>
          <w:sz w:val="28"/>
          <w:szCs w:val="28"/>
        </w:rPr>
        <w:t>用于日常办公费用支出37,343.65元，占服务总经费的2.33%。</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⑴办公费支出26,682.45元；</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⑵</w:t>
      </w:r>
      <w:r>
        <w:rPr>
          <w:rFonts w:hint="eastAsia" w:ascii="Times New Roman" w:hAnsi="Times New Roman" w:eastAsia="仿宋_GB2312" w:cs="Times New Roman"/>
          <w:sz w:val="28"/>
          <w:szCs w:val="28"/>
        </w:rPr>
        <w:t>水电</w:t>
      </w:r>
      <w:r>
        <w:rPr>
          <w:rFonts w:ascii="Times New Roman" w:hAnsi="Times New Roman" w:eastAsia="仿宋_GB2312" w:cs="Times New Roman"/>
          <w:sz w:val="28"/>
          <w:szCs w:val="28"/>
        </w:rPr>
        <w:t>费支出</w:t>
      </w:r>
      <w:r>
        <w:rPr>
          <w:rFonts w:hint="eastAsia" w:ascii="Times New Roman" w:hAnsi="Times New Roman" w:eastAsia="仿宋_GB2312" w:cs="Times New Roman"/>
          <w:sz w:val="28"/>
          <w:szCs w:val="28"/>
        </w:rPr>
        <w:t>3,707.95</w:t>
      </w:r>
      <w:r>
        <w:rPr>
          <w:rFonts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⑶</w:t>
      </w:r>
      <w:r>
        <w:rPr>
          <w:rFonts w:hint="eastAsia" w:ascii="Times New Roman" w:hAnsi="Times New Roman" w:eastAsia="仿宋_GB2312" w:cs="Times New Roman"/>
          <w:sz w:val="28"/>
          <w:szCs w:val="28"/>
        </w:rPr>
        <w:t>网络电话费支出6,953.25元。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sz w:val="28"/>
          <w:szCs w:val="28"/>
        </w:rPr>
        <w:t>３、</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90,587.78</w:t>
      </w:r>
      <w:r>
        <w:rPr>
          <w:rFonts w:ascii="Times New Roman" w:hAnsi="Times New Roman" w:eastAsia="仿宋_GB2312" w:cs="Times New Roman"/>
          <w:sz w:val="28"/>
          <w:szCs w:val="28"/>
        </w:rPr>
        <w:t>元，占服务总经费的</w:t>
      </w:r>
      <w:r>
        <w:rPr>
          <w:rFonts w:hint="eastAsia" w:ascii="Times New Roman" w:hAnsi="Times New Roman" w:eastAsia="仿宋_GB2312" w:cs="Times New Roman"/>
          <w:sz w:val="28"/>
          <w:szCs w:val="28"/>
        </w:rPr>
        <w:t>5.66%</w:t>
      </w:r>
      <w:r>
        <w:rPr>
          <w:rFonts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㈢用于新造社工站运营管理费用支出180,083.25元，占服务总经费的11.25%，预算执行率113.91%。其中：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中标费支出21,320.13元；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、分摊机构人员工资</w:t>
      </w:r>
      <w:r>
        <w:rPr>
          <w:rFonts w:hint="eastAsia" w:ascii="Times New Roman" w:hAnsi="Times New Roman" w:eastAsia="仿宋_GB2312" w:cs="Times New Roman"/>
          <w:sz w:val="28"/>
          <w:szCs w:val="28"/>
        </w:rPr>
        <w:t>115,509.67</w:t>
      </w:r>
      <w:r>
        <w:rPr>
          <w:rFonts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、分摊机构人员社保</w:t>
      </w:r>
      <w:r>
        <w:rPr>
          <w:rFonts w:hint="eastAsia" w:ascii="Times New Roman" w:hAnsi="Times New Roman" w:eastAsia="仿宋_GB2312" w:cs="Times New Roman"/>
          <w:sz w:val="28"/>
          <w:szCs w:val="28"/>
        </w:rPr>
        <w:t>20,437.97元</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、分摊机构人员公积金</w:t>
      </w:r>
      <w:r>
        <w:rPr>
          <w:rFonts w:hint="eastAsia" w:ascii="Times New Roman" w:hAnsi="Times New Roman" w:eastAsia="仿宋_GB2312" w:cs="Times New Roman"/>
          <w:sz w:val="28"/>
          <w:szCs w:val="28"/>
        </w:rPr>
        <w:t>2,499.90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５</w:t>
      </w:r>
      <w:r>
        <w:rPr>
          <w:rFonts w:ascii="Times New Roman" w:hAnsi="Times New Roman" w:eastAsia="仿宋_GB2312" w:cs="Times New Roman"/>
          <w:sz w:val="28"/>
          <w:szCs w:val="28"/>
        </w:rPr>
        <w:t>、分摊机构费用</w:t>
      </w:r>
      <w:r>
        <w:rPr>
          <w:rFonts w:hint="eastAsia" w:ascii="Times New Roman" w:hAnsi="Times New Roman" w:eastAsia="仿宋_GB2312" w:cs="Times New Roman"/>
          <w:sz w:val="28"/>
          <w:szCs w:val="28"/>
        </w:rPr>
        <w:t xml:space="preserve"> 20,315.58 </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八、</w:t>
      </w:r>
      <w:r>
        <w:rPr>
          <w:rFonts w:hint="eastAsia" w:eastAsia="仿宋"/>
          <w:b/>
          <w:sz w:val="28"/>
          <w:szCs w:val="28"/>
        </w:rPr>
        <w:t>前期经费收、支、结余变化情况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截至审计日，协议期2023年9月1日至2024年8月31日结余资金发生变动，具体情况如下：</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本评估期收到该协议期服务经费756,000.00元，支付归属于该协议期支出43,200.00元，为“服务质量保障费用－机构年度相关税费”支出，该项支出为开具该协议期服务经费发票679,245.28元申报缴纳的增值税及城建税、附加税。</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调整后，该协议期累计收到服务经费2,400,000.00元，累计支出2,422,809.82元，结余资金-22,809.82元。经评估，该协议期社工站人员费用支出占服务总经费的82.34%，人员费用及服务质量保障费用支出占服务总经费的11.41%，机构运营管理费用支出占服务总经费的7.20%。</w:t>
      </w:r>
    </w:p>
    <w:p>
      <w:pPr>
        <w:spacing w:line="59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九、累计结余情况（20</w:t>
      </w:r>
      <w:r>
        <w:rPr>
          <w:rFonts w:ascii="Times New Roman" w:hAnsi="Times New Roman" w:eastAsia="仿宋_GB2312" w:cs="Times New Roman"/>
          <w:b/>
          <w:sz w:val="28"/>
          <w:szCs w:val="28"/>
        </w:rPr>
        <w:t>19</w:t>
      </w:r>
      <w:r>
        <w:rPr>
          <w:rFonts w:hint="eastAsia" w:ascii="Times New Roman" w:hAnsi="Times New Roman" w:eastAsia="仿宋_GB2312" w:cs="Times New Roman"/>
          <w:b/>
          <w:sz w:val="28"/>
          <w:szCs w:val="28"/>
        </w:rPr>
        <w:t>年</w:t>
      </w:r>
      <w:r>
        <w:rPr>
          <w:rFonts w:ascii="Times New Roman" w:hAnsi="Times New Roman" w:eastAsia="仿宋_GB2312" w:cs="Times New Roman"/>
          <w:b/>
          <w:sz w:val="28"/>
          <w:szCs w:val="28"/>
        </w:rPr>
        <w:t>11</w:t>
      </w:r>
      <w:r>
        <w:rPr>
          <w:rFonts w:hint="eastAsia" w:ascii="Times New Roman" w:hAnsi="Times New Roman" w:eastAsia="仿宋_GB2312" w:cs="Times New Roman"/>
          <w:b/>
          <w:sz w:val="28"/>
          <w:szCs w:val="28"/>
        </w:rPr>
        <w:t>月1日</w:t>
      </w:r>
      <w:r>
        <w:rPr>
          <w:rFonts w:ascii="Times New Roman" w:hAnsi="Times New Roman" w:eastAsia="仿宋_GB2312" w:cs="Times New Roman"/>
          <w:b/>
          <w:sz w:val="28"/>
          <w:szCs w:val="28"/>
        </w:rPr>
        <w:t>-</w:t>
      </w:r>
      <w:r>
        <w:rPr>
          <w:rFonts w:hint="eastAsia" w:ascii="Times New Roman" w:hAnsi="Times New Roman" w:eastAsia="仿宋_GB2312" w:cs="Times New Roman"/>
          <w:b/>
          <w:sz w:val="28"/>
          <w:szCs w:val="28"/>
        </w:rPr>
        <w:t>2025年</w:t>
      </w:r>
      <w:r>
        <w:rPr>
          <w:rFonts w:ascii="Times New Roman" w:hAnsi="Times New Roman" w:eastAsia="仿宋_GB2312" w:cs="Times New Roman"/>
          <w:b/>
          <w:sz w:val="28"/>
          <w:szCs w:val="28"/>
        </w:rPr>
        <w:t>8</w:t>
      </w:r>
      <w:r>
        <w:rPr>
          <w:rFonts w:hint="eastAsia" w:ascii="Times New Roman" w:hAnsi="Times New Roman" w:eastAsia="仿宋_GB2312" w:cs="Times New Roman"/>
          <w:b/>
          <w:sz w:val="28"/>
          <w:szCs w:val="28"/>
        </w:rPr>
        <w:t>月</w:t>
      </w:r>
      <w:r>
        <w:rPr>
          <w:rFonts w:ascii="Times New Roman" w:hAnsi="Times New Roman" w:eastAsia="仿宋_GB2312" w:cs="Times New Roman"/>
          <w:b/>
          <w:sz w:val="28"/>
          <w:szCs w:val="28"/>
        </w:rPr>
        <w:t>31</w:t>
      </w:r>
      <w:r>
        <w:rPr>
          <w:rFonts w:hint="eastAsia" w:ascii="Times New Roman" w:hAnsi="Times New Roman" w:eastAsia="仿宋_GB2312" w:cs="Times New Roman"/>
          <w:b/>
          <w:sz w:val="28"/>
          <w:szCs w:val="28"/>
        </w:rPr>
        <w:t>日）</w:t>
      </w:r>
    </w:p>
    <w:p>
      <w:pPr>
        <w:spacing w:line="590" w:lineRule="exact"/>
        <w:ind w:firstLine="560" w:firstLineChars="200"/>
        <w:rPr>
          <w:rFonts w:ascii="Times New Roman" w:hAnsi="Times New Roman" w:eastAsia="仿宋_GB2312"/>
          <w:sz w:val="28"/>
          <w:szCs w:val="28"/>
        </w:rPr>
      </w:pPr>
      <w:r>
        <w:rPr>
          <w:rFonts w:ascii="Times New Roman" w:hAnsi="Times New Roman" w:eastAsia="仿宋_GB2312" w:cs="Times New Roman"/>
          <w:sz w:val="28"/>
          <w:szCs w:val="28"/>
        </w:rPr>
        <w:t>根据“业会专审[20</w:t>
      </w:r>
      <w:r>
        <w:rPr>
          <w:rFonts w:hint="eastAsia" w:ascii="Times New Roman" w:hAnsi="Times New Roman" w:eastAsia="仿宋_GB2312" w:cs="Times New Roman"/>
          <w:sz w:val="28"/>
          <w:szCs w:val="28"/>
        </w:rPr>
        <w:t>25</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034</w:t>
      </w:r>
      <w:r>
        <w:rPr>
          <w:rFonts w:ascii="Times New Roman" w:hAnsi="Times New Roman" w:eastAsia="仿宋_GB2312" w:cs="Times New Roman"/>
          <w:sz w:val="28"/>
          <w:szCs w:val="28"/>
        </w:rPr>
        <w:t>号”财务管理情况评估报告并结合本次</w:t>
      </w:r>
      <w:r>
        <w:rPr>
          <w:rFonts w:hint="eastAsia" w:ascii="Times New Roman" w:hAnsi="Times New Roman" w:eastAsia="仿宋_GB2312" w:cs="Times New Roman"/>
          <w:sz w:val="28"/>
          <w:szCs w:val="28"/>
        </w:rPr>
        <w:t>2025年3月1日至2025年8月31日</w:t>
      </w:r>
      <w:r>
        <w:rPr>
          <w:rFonts w:ascii="Times New Roman" w:hAnsi="Times New Roman" w:eastAsia="仿宋_GB2312" w:cs="Times New Roman"/>
          <w:sz w:val="28"/>
          <w:szCs w:val="28"/>
        </w:rPr>
        <w:t>财务管理评估情况</w:t>
      </w:r>
      <w:r>
        <w:rPr>
          <w:rFonts w:hint="eastAsia" w:ascii="Times New Roman" w:hAnsi="Times New Roman" w:eastAsia="仿宋_GB2312"/>
          <w:sz w:val="28"/>
          <w:szCs w:val="28"/>
        </w:rPr>
        <w:t>，</w:t>
      </w:r>
      <w:r>
        <w:rPr>
          <w:rFonts w:hint="eastAsia" w:ascii="Times New Roman" w:hAnsi="Times New Roman" w:eastAsia="仿宋_GB2312" w:cs="Times New Roman"/>
          <w:sz w:val="28"/>
          <w:szCs w:val="28"/>
        </w:rPr>
        <w:t>自2019年11月1日起至2025年8月31日止，社工站服务经费累计结余214,957.60元（不含未拨入的 80,000.00元）。具体每期结余情况如下：</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㈠</w:t>
      </w:r>
      <w:r>
        <w:rPr>
          <w:rFonts w:hint="eastAsia" w:ascii="Times New Roman" w:hAnsi="Times New Roman" w:eastAsia="仿宋_GB2312" w:cs="Times New Roman"/>
          <w:sz w:val="28"/>
          <w:szCs w:val="28"/>
        </w:rPr>
        <w:t>新造社工站2019年11月1日至202</w:t>
      </w: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年8月31日四年十个月服务周期结束</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结余资金424,362.81元，</w:t>
      </w:r>
      <w:r>
        <w:rPr>
          <w:rFonts w:ascii="Times New Roman" w:hAnsi="Times New Roman" w:eastAsia="仿宋_GB2312" w:cs="Times New Roman"/>
          <w:sz w:val="28"/>
          <w:szCs w:val="28"/>
        </w:rPr>
        <w:t>其中：</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第一年协议期</w:t>
      </w:r>
      <w:r>
        <w:rPr>
          <w:rFonts w:hint="eastAsia" w:ascii="Times New Roman" w:hAnsi="Times New Roman" w:eastAsia="仿宋_GB2312" w:cs="Times New Roman"/>
          <w:sz w:val="28"/>
          <w:szCs w:val="28"/>
        </w:rPr>
        <w:t>2019年11月1日至2020年8月31日</w:t>
      </w:r>
      <w:r>
        <w:rPr>
          <w:rFonts w:ascii="Times New Roman" w:hAnsi="Times New Roman" w:eastAsia="仿宋_GB2312" w:cs="Times New Roman"/>
          <w:sz w:val="28"/>
          <w:szCs w:val="28"/>
        </w:rPr>
        <w:t>，结余资金347,444.02元。</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第二年协议期</w:t>
      </w:r>
      <w:r>
        <w:rPr>
          <w:rFonts w:hint="eastAsia" w:ascii="Times New Roman" w:hAnsi="Times New Roman" w:eastAsia="仿宋_GB2312" w:cs="Times New Roman"/>
          <w:sz w:val="28"/>
          <w:szCs w:val="28"/>
        </w:rPr>
        <w:t>2020年9月1日至2021年8月31日</w:t>
      </w:r>
      <w:r>
        <w:rPr>
          <w:rFonts w:ascii="Times New Roman" w:hAnsi="Times New Roman" w:eastAsia="仿宋_GB2312" w:cs="Times New Roman"/>
          <w:sz w:val="28"/>
          <w:szCs w:val="28"/>
        </w:rPr>
        <w:t>，结余资金72,253.31元。</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第三年协议期</w:t>
      </w:r>
      <w:r>
        <w:rPr>
          <w:rFonts w:hint="eastAsia" w:ascii="Times New Roman" w:hAnsi="Times New Roman" w:eastAsia="仿宋_GB2312" w:cs="Times New Roman"/>
          <w:sz w:val="28"/>
          <w:szCs w:val="28"/>
        </w:rPr>
        <w:t>2021年9月1日至2022年</w:t>
      </w:r>
      <w:r>
        <w:rPr>
          <w:rFonts w:ascii="Times New Roman" w:hAnsi="Times New Roman" w:eastAsia="仿宋_GB2312" w:cs="Times New Roman"/>
          <w:sz w:val="28"/>
          <w:szCs w:val="28"/>
        </w:rPr>
        <w:t>9</w:t>
      </w:r>
      <w:r>
        <w:rPr>
          <w:rFonts w:hint="eastAsia" w:ascii="Times New Roman" w:hAnsi="Times New Roman" w:eastAsia="仿宋_GB2312" w:cs="Times New Roman"/>
          <w:sz w:val="28"/>
          <w:szCs w:val="28"/>
        </w:rPr>
        <w:t>月</w:t>
      </w:r>
      <w:r>
        <w:rPr>
          <w:rFonts w:ascii="Times New Roman" w:hAnsi="Times New Roman" w:eastAsia="仿宋_GB2312" w:cs="Times New Roman"/>
          <w:sz w:val="28"/>
          <w:szCs w:val="28"/>
        </w:rPr>
        <w:t>21</w:t>
      </w:r>
      <w:r>
        <w:rPr>
          <w:rFonts w:hint="eastAsia" w:ascii="Times New Roman" w:hAnsi="Times New Roman" w:eastAsia="仿宋_GB2312" w:cs="Times New Roman"/>
          <w:sz w:val="28"/>
          <w:szCs w:val="28"/>
        </w:rPr>
        <w:t>日</w:t>
      </w:r>
      <w:r>
        <w:rPr>
          <w:rFonts w:ascii="Times New Roman" w:hAnsi="Times New Roman" w:eastAsia="仿宋_GB2312" w:cs="Times New Roman"/>
          <w:sz w:val="28"/>
          <w:szCs w:val="28"/>
        </w:rPr>
        <w:t>，结余资金59,695.09元。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第四年协议期2022年9月22日至2023年8月31日，结余资金-32,219.79元。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第五年协议期2023年9月1日至2024年8月31日</w:t>
      </w:r>
      <w:r>
        <w:rPr>
          <w:rFonts w:ascii="Times New Roman" w:hAnsi="Times New Roman" w:eastAsia="仿宋_GB2312" w:cs="Times New Roman"/>
          <w:sz w:val="28"/>
          <w:szCs w:val="28"/>
        </w:rPr>
        <w:t>，结余资金</w:t>
      </w:r>
      <w:r>
        <w:rPr>
          <w:rFonts w:hint="eastAsia" w:ascii="Times New Roman" w:hAnsi="Times New Roman" w:eastAsia="仿宋_GB2312" w:cs="Times New Roman"/>
          <w:sz w:val="28"/>
          <w:szCs w:val="28"/>
        </w:rPr>
        <w:t>-22,809.82</w:t>
      </w:r>
      <w:r>
        <w:rPr>
          <w:rFonts w:ascii="Times New Roman" w:hAnsi="Times New Roman" w:eastAsia="仿宋_GB2312" w:cs="Times New Roman"/>
          <w:sz w:val="28"/>
          <w:szCs w:val="28"/>
        </w:rPr>
        <w:t>元。</w:t>
      </w:r>
    </w:p>
    <w:p>
      <w:pPr>
        <w:spacing w:line="610" w:lineRule="exact"/>
        <w:ind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㈡2024年9月1日至2027年8月31日为新造社工站3年服务周期，其中：</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第一年协议期（本协议期）2024年9月1日至2025年8月31日，结余资金-209,405.21元</w:t>
      </w:r>
      <w:r>
        <w:rPr>
          <w:rFonts w:hint="eastAsia" w:ascii="Times New Roman" w:hAnsi="Times New Roman" w:eastAsia="仿宋_GB2312"/>
          <w:color w:val="000000" w:themeColor="text1"/>
          <w:sz w:val="28"/>
          <w:szCs w:val="28"/>
          <w14:textFill>
            <w14:solidFill>
              <w14:schemeClr w14:val="tx1"/>
            </w14:solidFill>
          </w14:textFill>
        </w:rPr>
        <w:t>（不含未拨入的80,000.00元）</w:t>
      </w:r>
      <w:r>
        <w:rPr>
          <w:rFonts w:hint="eastAsia" w:ascii="Times New Roman" w:hAnsi="Times New Roman" w:eastAsia="仿宋_GB2312" w:cs="Times New Roman"/>
          <w:sz w:val="28"/>
          <w:szCs w:val="28"/>
        </w:rPr>
        <w:t>。</w:t>
      </w:r>
    </w:p>
    <w:p>
      <w:pPr>
        <w:spacing w:line="61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十、存在问题及建议</w:t>
      </w:r>
    </w:p>
    <w:p>
      <w:pPr>
        <w:spacing w:line="610" w:lineRule="exact"/>
        <w:ind w:firstLine="560" w:firstLineChars="200"/>
        <w:rPr>
          <w:rFonts w:ascii="Times New Roman" w:hAnsi="Times New Roman" w:eastAsia="仿宋_GB2312"/>
          <w:sz w:val="28"/>
          <w:szCs w:val="28"/>
        </w:rPr>
      </w:pPr>
      <w:r>
        <w:rPr>
          <w:rFonts w:hint="eastAsia" w:ascii="Times New Roman" w:hAnsi="Times New Roman" w:eastAsia="仿宋_GB2312" w:cs="Times New Roman"/>
          <w:sz w:val="28"/>
          <w:szCs w:val="28"/>
        </w:rPr>
        <w:t>根据承接机构制定的《报销制度》:“办公用品统一由行政人员购买，采购价格在300元以上需要填写《物资采购申请表》，300元以上中心主任或财务审批支用，500元以上需要机构总干事审批支用。3000元以上的费用支出应由理事长审批”，审核发现，承接机构部分支出未按上述制度执行，如2025年6月8号凭证支付空调维护费350.00元、2025年6月9号凭证支付空调清洁费430.00元，未填写《物资采购申请表》。建议严格执行承接机构制定的《报销制度》中的审批程序，对</w:t>
      </w:r>
      <w:r>
        <w:rPr>
          <w:rFonts w:hint="eastAsia" w:ascii="Times New Roman" w:hAnsi="Times New Roman" w:eastAsia="仿宋_GB2312" w:cs="Times New Roman"/>
          <w:sz w:val="28"/>
          <w:szCs w:val="28"/>
          <w:lang w:val="en-US" w:eastAsia="zh-CN"/>
        </w:rPr>
        <w:t>审</w:t>
      </w:r>
      <w:r>
        <w:rPr>
          <w:rFonts w:hint="eastAsia" w:ascii="Times New Roman" w:hAnsi="Times New Roman" w:eastAsia="仿宋_GB2312" w:cs="Times New Roman"/>
          <w:sz w:val="28"/>
          <w:szCs w:val="28"/>
        </w:rPr>
        <w:t>批程序不规范的费</w:t>
      </w:r>
      <w:bookmarkStart w:id="9" w:name="_GoBack"/>
      <w:bookmarkEnd w:id="9"/>
      <w:r>
        <w:rPr>
          <w:rFonts w:hint="eastAsia" w:ascii="Times New Roman" w:hAnsi="Times New Roman" w:eastAsia="仿宋_GB2312" w:cs="Times New Roman"/>
          <w:sz w:val="28"/>
          <w:szCs w:val="28"/>
        </w:rPr>
        <w:t>用支出，不予报销。</w:t>
      </w:r>
    </w:p>
    <w:p>
      <w:pPr>
        <w:spacing w:line="62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十一、评估结论</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_GB2312"/>
          <w:sz w:val="28"/>
          <w:szCs w:val="28"/>
        </w:rPr>
        <w:t>经上述审核，我们认为广州市番禺区新造镇社工服务站本次财务评估等级为：合格。</w:t>
      </w:r>
    </w:p>
    <w:p>
      <w:pPr>
        <w:spacing w:line="59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十二、其他事项</w:t>
      </w:r>
    </w:p>
    <w:p>
      <w:pPr>
        <w:spacing w:line="59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本报告仅供本次委托目的，即对新造社工站财务评估使用，本事务所及本注册会计师不对运用本报告于其他目的造成的经济后果负责。</w:t>
      </w:r>
    </w:p>
    <w:p>
      <w:pPr>
        <w:spacing w:line="590" w:lineRule="exact"/>
        <w:ind w:firstLine="440" w:firstLineChars="200"/>
        <w:rPr>
          <w:rFonts w:ascii="仿宋_GB2312" w:eastAsia="仿宋_GB2312"/>
          <w:sz w:val="22"/>
          <w:szCs w:val="28"/>
        </w:rPr>
      </w:pPr>
    </w:p>
    <w:p>
      <w:pPr>
        <w:spacing w:line="600" w:lineRule="exact"/>
        <w:rPr>
          <w:rFonts w:ascii="Times New Roman" w:hAnsi="Times New Roman" w:eastAsia="仿宋_GB2312"/>
          <w:sz w:val="28"/>
          <w:szCs w:val="28"/>
        </w:rPr>
      </w:pPr>
    </w:p>
    <w:p>
      <w:pPr>
        <w:spacing w:line="600" w:lineRule="exact"/>
        <w:rPr>
          <w:rFonts w:ascii="Times New Roman" w:hAnsi="Times New Roman" w:eastAsia="仿宋_GB2312"/>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华文新魏" w:eastAsia="华文新魏"/>
                <w:b/>
                <w:color w:val="000000" w:themeColor="text1"/>
                <w:sz w:val="30"/>
                <w14:textFill>
                  <w14:solidFill>
                    <w14:schemeClr w14:val="tx1"/>
                  </w14:solidFill>
                </w14:textFill>
              </w:rPr>
            </w:pPr>
            <w:r>
              <w:rPr>
                <w:rFonts w:hint="eastAsia" w:ascii="华文新魏" w:eastAsia="华文新魏"/>
                <w:b/>
                <w:color w:val="000000" w:themeColor="text1"/>
                <w:sz w:val="30"/>
                <w14:textFill>
                  <w14:solidFill>
                    <w14:schemeClr w14:val="tx1"/>
                  </w14:solidFill>
                </w14:textFill>
              </w:rPr>
              <w:t>广州业勤会计师事务所有限公司</w:t>
            </w:r>
          </w:p>
          <w:p>
            <w:pPr>
              <w:spacing w:line="320" w:lineRule="exact"/>
              <w:rPr>
                <w:rFonts w:ascii="华文新魏" w:eastAsia="华文新魏"/>
                <w:b/>
                <w:color w:val="000000" w:themeColor="text1"/>
                <w:sz w:val="30"/>
                <w14:textFill>
                  <w14:solidFill>
                    <w14:schemeClr w14:val="tx1"/>
                  </w14:solidFill>
                </w14:textFill>
              </w:rPr>
            </w:pPr>
          </w:p>
          <w:p>
            <w:pPr>
              <w:spacing w:line="320" w:lineRule="exact"/>
              <w:jc w:val="center"/>
              <w:rPr>
                <w:rFonts w:ascii="华文新魏" w:eastAsia="华文新魏"/>
                <w:b/>
                <w:color w:val="000000" w:themeColor="text1"/>
                <w:sz w:val="30"/>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广州·番禺</w:t>
            </w:r>
          </w:p>
          <w:p>
            <w:pPr>
              <w:spacing w:line="320" w:lineRule="exact"/>
              <w:rPr>
                <w:rFonts w:ascii="华文新魏" w:eastAsia="华文新魏"/>
                <w:b/>
                <w:color w:val="000000" w:themeColor="text1"/>
                <w:sz w:val="30"/>
                <w14:textFill>
                  <w14:solidFill>
                    <w14:schemeClr w14:val="tx1"/>
                  </w14:solidFill>
                </w14:textFill>
              </w:rPr>
            </w:pPr>
          </w:p>
          <w:p>
            <w:pPr>
              <w:spacing w:line="320" w:lineRule="exact"/>
              <w:ind w:right="-6"/>
              <w:jc w:val="center"/>
              <w:rPr>
                <w:rFonts w:ascii="华文新魏" w:eastAsia="华文新魏"/>
                <w:sz w:val="28"/>
                <w:szCs w:val="28"/>
              </w:rPr>
            </w:pPr>
            <w:r>
              <w:rPr>
                <w:rFonts w:hint="eastAsia" w:ascii="华文新魏" w:eastAsia="华文新魏"/>
                <w:b/>
                <w:color w:val="000000" w:themeColor="text1"/>
                <w:sz w:val="28"/>
                <w14:textFill>
                  <w14:solidFill>
                    <w14:schemeClr w14:val="tx1"/>
                  </w14:solidFill>
                </w14:textFill>
              </w:rPr>
              <w:t>二○二五年十月二十七日</w:t>
            </w:r>
          </w:p>
        </w:tc>
        <w:tc>
          <w:tcPr>
            <w:tcW w:w="246" w:type="dxa"/>
          </w:tcPr>
          <w:p>
            <w:pPr>
              <w:spacing w:line="560" w:lineRule="exact"/>
              <w:ind w:right="-6"/>
              <w:rPr>
                <w:rFonts w:ascii="华文新魏" w:eastAsia="华文新魏"/>
                <w:sz w:val="28"/>
                <w:szCs w:val="28"/>
              </w:rPr>
            </w:pPr>
          </w:p>
        </w:tc>
        <w:tc>
          <w:tcPr>
            <w:tcW w:w="4618" w:type="dxa"/>
          </w:tcPr>
          <w:p>
            <w:pPr>
              <w:spacing w:line="320" w:lineRule="exact"/>
              <w:rPr>
                <w:rFonts w:ascii="宋体" w:hAnsi="宋体"/>
                <w:b/>
                <w:color w:val="000000" w:themeColor="text1"/>
                <w:sz w:val="30"/>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中国注册会计师</w:t>
            </w:r>
            <w:r>
              <w:rPr>
                <w:rFonts w:hint="eastAsia" w:ascii="宋体" w:hAnsi="宋体"/>
                <w:b/>
                <w:color w:val="000000" w:themeColor="text1"/>
                <w:sz w:val="30"/>
                <w14:textFill>
                  <w14:solidFill>
                    <w14:schemeClr w14:val="tx1"/>
                  </w14:solidFill>
                </w14:textFill>
              </w:rPr>
              <w:t>：</w:t>
            </w:r>
          </w:p>
          <w:p>
            <w:pPr>
              <w:spacing w:line="320" w:lineRule="exact"/>
              <w:ind w:left="3513" w:hanging="3512"/>
              <w:rPr>
                <w:rFonts w:ascii="华文新魏" w:eastAsia="华文新魏"/>
                <w:b/>
                <w:color w:val="000000" w:themeColor="text1"/>
                <w:sz w:val="28"/>
                <w:szCs w:val="28"/>
                <w14:textFill>
                  <w14:solidFill>
                    <w14:schemeClr w14:val="tx1"/>
                  </w14:solidFill>
                </w14:textFill>
              </w:rPr>
            </w:pPr>
            <w:r>
              <w:rPr>
                <w:rFonts w:ascii="仿宋" w:hAnsi="仿宋" w:eastAsia="仿宋"/>
                <w:b/>
                <w:color w:val="000000" w:themeColor="text1"/>
                <w:sz w:val="28"/>
                <w:szCs w:val="28"/>
                <w14:textFill>
                  <w14:solidFill>
                    <w14:schemeClr w14:val="tx1"/>
                  </w14:solidFill>
                </w14:textFill>
              </w:rPr>
              <w:t>（</w:t>
            </w:r>
            <w:r>
              <w:rPr>
                <w:rFonts w:hint="eastAsia" w:ascii="华文新魏" w:eastAsia="华文新魏"/>
                <w:b/>
                <w:color w:val="000000" w:themeColor="text1"/>
                <w:sz w:val="28"/>
                <w:szCs w:val="28"/>
                <w14:textFill>
                  <w14:solidFill>
                    <w14:schemeClr w14:val="tx1"/>
                  </w14:solidFill>
                </w14:textFill>
              </w:rPr>
              <w:t>项目负责人</w:t>
            </w:r>
            <w:r>
              <w:rPr>
                <w:rFonts w:hint="eastAsia" w:ascii="仿宋" w:hAnsi="仿宋" w:eastAsia="仿宋"/>
                <w:b/>
                <w:color w:val="000000" w:themeColor="text1"/>
                <w:sz w:val="28"/>
                <w:szCs w:val="28"/>
                <w14:textFill>
                  <w14:solidFill>
                    <w14:schemeClr w14:val="tx1"/>
                  </w14:solidFill>
                </w14:textFill>
              </w:rPr>
              <w:t>）</w:t>
            </w:r>
          </w:p>
          <w:p>
            <w:pPr>
              <w:spacing w:line="320" w:lineRule="exact"/>
              <w:ind w:left="3513" w:hanging="3512"/>
              <w:rPr>
                <w:rFonts w:ascii="华文新魏" w:eastAsia="华文新魏"/>
                <w:b/>
                <w:color w:val="000000" w:themeColor="text1"/>
                <w:sz w:val="30"/>
                <w14:textFill>
                  <w14:solidFill>
                    <w14:schemeClr w14:val="tx1"/>
                  </w14:solidFill>
                </w14:textFill>
              </w:rPr>
            </w:pPr>
          </w:p>
          <w:p>
            <w:pPr>
              <w:spacing w:line="320" w:lineRule="exact"/>
              <w:ind w:left="84"/>
              <w:rPr>
                <w:rFonts w:ascii="华文新魏" w:eastAsia="华文新魏"/>
                <w:b/>
                <w:color w:val="000000" w:themeColor="text1"/>
                <w:sz w:val="30"/>
                <w14:textFill>
                  <w14:solidFill>
                    <w14:schemeClr w14:val="tx1"/>
                  </w14:solidFill>
                </w14:textFill>
              </w:rPr>
            </w:pPr>
          </w:p>
          <w:p>
            <w:pPr>
              <w:spacing w:line="320" w:lineRule="exact"/>
              <w:ind w:right="-6"/>
              <w:rPr>
                <w:rFonts w:ascii="华文新魏" w:eastAsia="华文新魏"/>
                <w:sz w:val="28"/>
                <w:szCs w:val="28"/>
              </w:rPr>
            </w:pPr>
            <w:r>
              <w:rPr>
                <w:rFonts w:hint="eastAsia" w:ascii="华文新魏" w:eastAsia="华文新魏"/>
                <w:b/>
                <w:color w:val="000000" w:themeColor="text1"/>
                <w:sz w:val="28"/>
                <w14:textFill>
                  <w14:solidFill>
                    <w14:schemeClr w14:val="tx1"/>
                  </w14:solidFill>
                </w14:textFill>
              </w:rPr>
              <w:t>中国注册会计师</w:t>
            </w:r>
            <w:r>
              <w:rPr>
                <w:rFonts w:hint="eastAsia" w:ascii="宋体" w:hAnsi="宋体"/>
                <w:b/>
                <w:color w:val="000000" w:themeColor="text1"/>
                <w:sz w:val="30"/>
                <w14:textFill>
                  <w14:solidFill>
                    <w14:schemeClr w14:val="tx1"/>
                  </w14:solidFill>
                </w14:textFill>
              </w:rPr>
              <w:t>：</w:t>
            </w:r>
          </w:p>
        </w:tc>
      </w:tr>
    </w:tbl>
    <w:p>
      <w:pPr>
        <w:spacing w:line="20" w:lineRule="exact"/>
        <w:rPr>
          <w:rFonts w:ascii="Times New Roman" w:hAnsi="Times New Roman" w:eastAsia="仿宋_GB2312"/>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2991162"/>
    </w:sdtPr>
    <w:sdtContent>
      <w:p>
        <w:pPr>
          <w:pStyle w:val="5"/>
          <w:jc w:val="center"/>
        </w:pPr>
        <w:r>
          <w:fldChar w:fldCharType="begin"/>
        </w:r>
        <w:r>
          <w:instrText xml:space="preserve">PAGE   \* MERGEFORMAT</w:instrText>
        </w:r>
        <w:r>
          <w:fldChar w:fldCharType="separate"/>
        </w:r>
        <w:r>
          <w:rPr>
            <w:lang w:val="zh-CN"/>
          </w:rPr>
          <w:t>10</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7A7B"/>
    <w:rsid w:val="00010BDE"/>
    <w:rsid w:val="000159B7"/>
    <w:rsid w:val="00031879"/>
    <w:rsid w:val="0004092A"/>
    <w:rsid w:val="00053C84"/>
    <w:rsid w:val="00055F7C"/>
    <w:rsid w:val="0005615D"/>
    <w:rsid w:val="00064484"/>
    <w:rsid w:val="000705E1"/>
    <w:rsid w:val="00082C00"/>
    <w:rsid w:val="00084F6B"/>
    <w:rsid w:val="0008526A"/>
    <w:rsid w:val="000909F2"/>
    <w:rsid w:val="00092A58"/>
    <w:rsid w:val="000A330F"/>
    <w:rsid w:val="000C1F1B"/>
    <w:rsid w:val="000C7546"/>
    <w:rsid w:val="000D13DD"/>
    <w:rsid w:val="000D1FDB"/>
    <w:rsid w:val="000D4295"/>
    <w:rsid w:val="000D4C35"/>
    <w:rsid w:val="000D724C"/>
    <w:rsid w:val="000F322D"/>
    <w:rsid w:val="000F45B6"/>
    <w:rsid w:val="000F7157"/>
    <w:rsid w:val="0012230B"/>
    <w:rsid w:val="00127FB1"/>
    <w:rsid w:val="0013380D"/>
    <w:rsid w:val="001363B7"/>
    <w:rsid w:val="00136671"/>
    <w:rsid w:val="00154457"/>
    <w:rsid w:val="00157670"/>
    <w:rsid w:val="00181694"/>
    <w:rsid w:val="00182D7F"/>
    <w:rsid w:val="00193221"/>
    <w:rsid w:val="001A1CAB"/>
    <w:rsid w:val="001A28F1"/>
    <w:rsid w:val="001A4760"/>
    <w:rsid w:val="001B12A5"/>
    <w:rsid w:val="001B4A1D"/>
    <w:rsid w:val="001C151B"/>
    <w:rsid w:val="001D403F"/>
    <w:rsid w:val="001E1963"/>
    <w:rsid w:val="001E1F85"/>
    <w:rsid w:val="001F08D5"/>
    <w:rsid w:val="001F1F27"/>
    <w:rsid w:val="0022690C"/>
    <w:rsid w:val="00234F33"/>
    <w:rsid w:val="0023709F"/>
    <w:rsid w:val="0024371A"/>
    <w:rsid w:val="002557D3"/>
    <w:rsid w:val="00260FCC"/>
    <w:rsid w:val="00261C13"/>
    <w:rsid w:val="00273BCE"/>
    <w:rsid w:val="00285604"/>
    <w:rsid w:val="00286EAF"/>
    <w:rsid w:val="00287338"/>
    <w:rsid w:val="00287778"/>
    <w:rsid w:val="00292E88"/>
    <w:rsid w:val="00295DDE"/>
    <w:rsid w:val="002A6087"/>
    <w:rsid w:val="002D1546"/>
    <w:rsid w:val="002D313E"/>
    <w:rsid w:val="002D5142"/>
    <w:rsid w:val="002D612F"/>
    <w:rsid w:val="002E1842"/>
    <w:rsid w:val="002E1F6F"/>
    <w:rsid w:val="002E3398"/>
    <w:rsid w:val="002E4330"/>
    <w:rsid w:val="002F4C38"/>
    <w:rsid w:val="002F5421"/>
    <w:rsid w:val="0030183E"/>
    <w:rsid w:val="00306805"/>
    <w:rsid w:val="003078EE"/>
    <w:rsid w:val="00317103"/>
    <w:rsid w:val="003243E9"/>
    <w:rsid w:val="00331E74"/>
    <w:rsid w:val="00332C2E"/>
    <w:rsid w:val="0033395A"/>
    <w:rsid w:val="00341D2A"/>
    <w:rsid w:val="00341EFE"/>
    <w:rsid w:val="00346ADD"/>
    <w:rsid w:val="003542A6"/>
    <w:rsid w:val="00354454"/>
    <w:rsid w:val="003544F4"/>
    <w:rsid w:val="003557CD"/>
    <w:rsid w:val="003607E2"/>
    <w:rsid w:val="00377534"/>
    <w:rsid w:val="00377B7E"/>
    <w:rsid w:val="003832E2"/>
    <w:rsid w:val="003A2E84"/>
    <w:rsid w:val="003A57F0"/>
    <w:rsid w:val="003B4E86"/>
    <w:rsid w:val="003C6380"/>
    <w:rsid w:val="003D0788"/>
    <w:rsid w:val="003D0B93"/>
    <w:rsid w:val="003F7ED0"/>
    <w:rsid w:val="00400901"/>
    <w:rsid w:val="00400E2F"/>
    <w:rsid w:val="00412430"/>
    <w:rsid w:val="00415036"/>
    <w:rsid w:val="004165DF"/>
    <w:rsid w:val="004209C7"/>
    <w:rsid w:val="00423EC1"/>
    <w:rsid w:val="00435D22"/>
    <w:rsid w:val="00446BB1"/>
    <w:rsid w:val="00456A81"/>
    <w:rsid w:val="00462ED0"/>
    <w:rsid w:val="00472018"/>
    <w:rsid w:val="0047423C"/>
    <w:rsid w:val="00480B95"/>
    <w:rsid w:val="00491AAE"/>
    <w:rsid w:val="004B28C9"/>
    <w:rsid w:val="004B4FAD"/>
    <w:rsid w:val="004B5997"/>
    <w:rsid w:val="004B6FBD"/>
    <w:rsid w:val="004C0C70"/>
    <w:rsid w:val="004C301D"/>
    <w:rsid w:val="004C42BC"/>
    <w:rsid w:val="004C47F4"/>
    <w:rsid w:val="004D1C44"/>
    <w:rsid w:val="004E1044"/>
    <w:rsid w:val="004F3592"/>
    <w:rsid w:val="004F3E48"/>
    <w:rsid w:val="004F7309"/>
    <w:rsid w:val="005029CD"/>
    <w:rsid w:val="00504BFB"/>
    <w:rsid w:val="0050697D"/>
    <w:rsid w:val="00523022"/>
    <w:rsid w:val="00531930"/>
    <w:rsid w:val="00543388"/>
    <w:rsid w:val="00545CED"/>
    <w:rsid w:val="00547EB3"/>
    <w:rsid w:val="0055103A"/>
    <w:rsid w:val="0055681D"/>
    <w:rsid w:val="00565F6D"/>
    <w:rsid w:val="0058362F"/>
    <w:rsid w:val="00591E59"/>
    <w:rsid w:val="00596D5E"/>
    <w:rsid w:val="005A768B"/>
    <w:rsid w:val="005B0711"/>
    <w:rsid w:val="005B452F"/>
    <w:rsid w:val="005B7240"/>
    <w:rsid w:val="005E1DA9"/>
    <w:rsid w:val="005F3232"/>
    <w:rsid w:val="005F711C"/>
    <w:rsid w:val="00601F26"/>
    <w:rsid w:val="00610144"/>
    <w:rsid w:val="00614D7C"/>
    <w:rsid w:val="00615FF6"/>
    <w:rsid w:val="00621022"/>
    <w:rsid w:val="006210D5"/>
    <w:rsid w:val="00621A8E"/>
    <w:rsid w:val="00621D15"/>
    <w:rsid w:val="0062796A"/>
    <w:rsid w:val="00634BE5"/>
    <w:rsid w:val="00635406"/>
    <w:rsid w:val="006417FE"/>
    <w:rsid w:val="006427E2"/>
    <w:rsid w:val="00642E9F"/>
    <w:rsid w:val="006435C2"/>
    <w:rsid w:val="00651B02"/>
    <w:rsid w:val="00654282"/>
    <w:rsid w:val="00654984"/>
    <w:rsid w:val="0065748E"/>
    <w:rsid w:val="0066233F"/>
    <w:rsid w:val="00663189"/>
    <w:rsid w:val="006637E5"/>
    <w:rsid w:val="0067594B"/>
    <w:rsid w:val="00676913"/>
    <w:rsid w:val="0069023C"/>
    <w:rsid w:val="006905BE"/>
    <w:rsid w:val="00693716"/>
    <w:rsid w:val="00696E37"/>
    <w:rsid w:val="006B0BCE"/>
    <w:rsid w:val="006B2680"/>
    <w:rsid w:val="006B5914"/>
    <w:rsid w:val="006C004B"/>
    <w:rsid w:val="006C3281"/>
    <w:rsid w:val="006C4341"/>
    <w:rsid w:val="006D11E7"/>
    <w:rsid w:val="006E5A25"/>
    <w:rsid w:val="006F4A4A"/>
    <w:rsid w:val="00700432"/>
    <w:rsid w:val="00700DD6"/>
    <w:rsid w:val="007069C7"/>
    <w:rsid w:val="00710A61"/>
    <w:rsid w:val="00712756"/>
    <w:rsid w:val="007235A1"/>
    <w:rsid w:val="0072372C"/>
    <w:rsid w:val="00727526"/>
    <w:rsid w:val="00732E73"/>
    <w:rsid w:val="00733271"/>
    <w:rsid w:val="00735781"/>
    <w:rsid w:val="0074347B"/>
    <w:rsid w:val="00761C3D"/>
    <w:rsid w:val="00764304"/>
    <w:rsid w:val="00775C78"/>
    <w:rsid w:val="0077656E"/>
    <w:rsid w:val="007810A4"/>
    <w:rsid w:val="00782148"/>
    <w:rsid w:val="00787618"/>
    <w:rsid w:val="007B6E2D"/>
    <w:rsid w:val="007D2AF7"/>
    <w:rsid w:val="007F50D8"/>
    <w:rsid w:val="008005B1"/>
    <w:rsid w:val="00803773"/>
    <w:rsid w:val="008300B1"/>
    <w:rsid w:val="00844A89"/>
    <w:rsid w:val="00844E3F"/>
    <w:rsid w:val="008475DC"/>
    <w:rsid w:val="00851E10"/>
    <w:rsid w:val="00852D37"/>
    <w:rsid w:val="00853CA6"/>
    <w:rsid w:val="0086728C"/>
    <w:rsid w:val="00872D99"/>
    <w:rsid w:val="0088169B"/>
    <w:rsid w:val="00881B24"/>
    <w:rsid w:val="00886F92"/>
    <w:rsid w:val="00894463"/>
    <w:rsid w:val="0089731E"/>
    <w:rsid w:val="008A7985"/>
    <w:rsid w:val="008C21DE"/>
    <w:rsid w:val="008C36BE"/>
    <w:rsid w:val="008C552E"/>
    <w:rsid w:val="008D48E3"/>
    <w:rsid w:val="008E38AF"/>
    <w:rsid w:val="008F1C12"/>
    <w:rsid w:val="009005D9"/>
    <w:rsid w:val="00903285"/>
    <w:rsid w:val="009123C0"/>
    <w:rsid w:val="0092093D"/>
    <w:rsid w:val="00931B67"/>
    <w:rsid w:val="009355FB"/>
    <w:rsid w:val="009420C6"/>
    <w:rsid w:val="009565FC"/>
    <w:rsid w:val="00956EF5"/>
    <w:rsid w:val="00982B92"/>
    <w:rsid w:val="00987CCD"/>
    <w:rsid w:val="00991DF0"/>
    <w:rsid w:val="00994B3E"/>
    <w:rsid w:val="00997BCF"/>
    <w:rsid w:val="009A12D3"/>
    <w:rsid w:val="009A2B26"/>
    <w:rsid w:val="009B4285"/>
    <w:rsid w:val="009B530B"/>
    <w:rsid w:val="009C30E1"/>
    <w:rsid w:val="009C3790"/>
    <w:rsid w:val="009D09E0"/>
    <w:rsid w:val="009D4C23"/>
    <w:rsid w:val="009E1E1D"/>
    <w:rsid w:val="009E2B23"/>
    <w:rsid w:val="009E4968"/>
    <w:rsid w:val="009E549B"/>
    <w:rsid w:val="009F5754"/>
    <w:rsid w:val="00A01452"/>
    <w:rsid w:val="00A14FDB"/>
    <w:rsid w:val="00A20B14"/>
    <w:rsid w:val="00A22BB4"/>
    <w:rsid w:val="00A274E7"/>
    <w:rsid w:val="00A305EE"/>
    <w:rsid w:val="00A31EAF"/>
    <w:rsid w:val="00A3454C"/>
    <w:rsid w:val="00A34711"/>
    <w:rsid w:val="00A42A3E"/>
    <w:rsid w:val="00A4370E"/>
    <w:rsid w:val="00A52D39"/>
    <w:rsid w:val="00A53AF2"/>
    <w:rsid w:val="00A54B22"/>
    <w:rsid w:val="00A566C9"/>
    <w:rsid w:val="00A63004"/>
    <w:rsid w:val="00A66ABE"/>
    <w:rsid w:val="00A71E6D"/>
    <w:rsid w:val="00A72418"/>
    <w:rsid w:val="00A87045"/>
    <w:rsid w:val="00A9121C"/>
    <w:rsid w:val="00A91284"/>
    <w:rsid w:val="00AA7E94"/>
    <w:rsid w:val="00AC12C5"/>
    <w:rsid w:val="00AD6E2A"/>
    <w:rsid w:val="00AE0555"/>
    <w:rsid w:val="00AF0658"/>
    <w:rsid w:val="00AF0920"/>
    <w:rsid w:val="00AF15B1"/>
    <w:rsid w:val="00AF2327"/>
    <w:rsid w:val="00AF3A3F"/>
    <w:rsid w:val="00B04038"/>
    <w:rsid w:val="00B154A5"/>
    <w:rsid w:val="00B20C0F"/>
    <w:rsid w:val="00B20C81"/>
    <w:rsid w:val="00B22940"/>
    <w:rsid w:val="00B2337A"/>
    <w:rsid w:val="00B312F5"/>
    <w:rsid w:val="00B338F9"/>
    <w:rsid w:val="00B33E67"/>
    <w:rsid w:val="00B4011B"/>
    <w:rsid w:val="00B414B5"/>
    <w:rsid w:val="00B42F41"/>
    <w:rsid w:val="00B51214"/>
    <w:rsid w:val="00B566A9"/>
    <w:rsid w:val="00B64D1E"/>
    <w:rsid w:val="00B66584"/>
    <w:rsid w:val="00B66EF3"/>
    <w:rsid w:val="00B72521"/>
    <w:rsid w:val="00B74BD0"/>
    <w:rsid w:val="00B773BF"/>
    <w:rsid w:val="00B90751"/>
    <w:rsid w:val="00BA2FEE"/>
    <w:rsid w:val="00BA31D2"/>
    <w:rsid w:val="00BA788A"/>
    <w:rsid w:val="00BC76F2"/>
    <w:rsid w:val="00BC786E"/>
    <w:rsid w:val="00BC7ED9"/>
    <w:rsid w:val="00BD7E9A"/>
    <w:rsid w:val="00BF40C3"/>
    <w:rsid w:val="00BF5669"/>
    <w:rsid w:val="00BF70AC"/>
    <w:rsid w:val="00C13D80"/>
    <w:rsid w:val="00C175CA"/>
    <w:rsid w:val="00C2045C"/>
    <w:rsid w:val="00C20A6F"/>
    <w:rsid w:val="00C35565"/>
    <w:rsid w:val="00C44180"/>
    <w:rsid w:val="00C447A6"/>
    <w:rsid w:val="00C45BA0"/>
    <w:rsid w:val="00C52B26"/>
    <w:rsid w:val="00C53D86"/>
    <w:rsid w:val="00C613AE"/>
    <w:rsid w:val="00C6356D"/>
    <w:rsid w:val="00C71FAB"/>
    <w:rsid w:val="00C81C71"/>
    <w:rsid w:val="00C9491C"/>
    <w:rsid w:val="00CA4315"/>
    <w:rsid w:val="00CB1E47"/>
    <w:rsid w:val="00CB372D"/>
    <w:rsid w:val="00CB42C3"/>
    <w:rsid w:val="00CC1F35"/>
    <w:rsid w:val="00CC2777"/>
    <w:rsid w:val="00CC27C8"/>
    <w:rsid w:val="00CC299C"/>
    <w:rsid w:val="00CD17BC"/>
    <w:rsid w:val="00CD3041"/>
    <w:rsid w:val="00CD3970"/>
    <w:rsid w:val="00CF57CB"/>
    <w:rsid w:val="00D027B4"/>
    <w:rsid w:val="00D06922"/>
    <w:rsid w:val="00D22C6A"/>
    <w:rsid w:val="00D25474"/>
    <w:rsid w:val="00D3017E"/>
    <w:rsid w:val="00D31249"/>
    <w:rsid w:val="00D45324"/>
    <w:rsid w:val="00D46386"/>
    <w:rsid w:val="00D50A25"/>
    <w:rsid w:val="00D63248"/>
    <w:rsid w:val="00D8032D"/>
    <w:rsid w:val="00DA27F0"/>
    <w:rsid w:val="00DA691B"/>
    <w:rsid w:val="00DB097D"/>
    <w:rsid w:val="00DC23A6"/>
    <w:rsid w:val="00DC4C3C"/>
    <w:rsid w:val="00DD35DB"/>
    <w:rsid w:val="00DD7748"/>
    <w:rsid w:val="00DE2491"/>
    <w:rsid w:val="00DE312B"/>
    <w:rsid w:val="00DF1DE5"/>
    <w:rsid w:val="00E12AC2"/>
    <w:rsid w:val="00E155E1"/>
    <w:rsid w:val="00E22EA2"/>
    <w:rsid w:val="00E302A1"/>
    <w:rsid w:val="00E32CEA"/>
    <w:rsid w:val="00E411A9"/>
    <w:rsid w:val="00E4358B"/>
    <w:rsid w:val="00E44EEB"/>
    <w:rsid w:val="00E45150"/>
    <w:rsid w:val="00E4642D"/>
    <w:rsid w:val="00E532F9"/>
    <w:rsid w:val="00E56A2A"/>
    <w:rsid w:val="00E5716C"/>
    <w:rsid w:val="00E72CF3"/>
    <w:rsid w:val="00E758BE"/>
    <w:rsid w:val="00E80031"/>
    <w:rsid w:val="00E80EB6"/>
    <w:rsid w:val="00E8106C"/>
    <w:rsid w:val="00E81B45"/>
    <w:rsid w:val="00E8431F"/>
    <w:rsid w:val="00E90DC1"/>
    <w:rsid w:val="00EC53D1"/>
    <w:rsid w:val="00EC58FE"/>
    <w:rsid w:val="00EE6257"/>
    <w:rsid w:val="00EE68EA"/>
    <w:rsid w:val="00EF7E87"/>
    <w:rsid w:val="00F11A4A"/>
    <w:rsid w:val="00F1472C"/>
    <w:rsid w:val="00F1786E"/>
    <w:rsid w:val="00F22F9B"/>
    <w:rsid w:val="00F24C05"/>
    <w:rsid w:val="00F25CCF"/>
    <w:rsid w:val="00F26462"/>
    <w:rsid w:val="00F2750A"/>
    <w:rsid w:val="00F31B5E"/>
    <w:rsid w:val="00F37A52"/>
    <w:rsid w:val="00F61229"/>
    <w:rsid w:val="00F64CE5"/>
    <w:rsid w:val="00F72338"/>
    <w:rsid w:val="00F84273"/>
    <w:rsid w:val="00F871EF"/>
    <w:rsid w:val="00F9706B"/>
    <w:rsid w:val="00FB3FF2"/>
    <w:rsid w:val="00FC129D"/>
    <w:rsid w:val="00FC32CC"/>
    <w:rsid w:val="00FC6C71"/>
    <w:rsid w:val="00FD0EF3"/>
    <w:rsid w:val="00FD3E88"/>
    <w:rsid w:val="00FE1194"/>
    <w:rsid w:val="00FE1E53"/>
    <w:rsid w:val="00FF00F0"/>
    <w:rsid w:val="00FF01BB"/>
    <w:rsid w:val="0224187C"/>
    <w:rsid w:val="02BF15A4"/>
    <w:rsid w:val="03B92498"/>
    <w:rsid w:val="03D66BA6"/>
    <w:rsid w:val="051A0D14"/>
    <w:rsid w:val="05DC421B"/>
    <w:rsid w:val="06DE46EF"/>
    <w:rsid w:val="0A622F41"/>
    <w:rsid w:val="0DBC0BBA"/>
    <w:rsid w:val="0DD405FA"/>
    <w:rsid w:val="0F220EF1"/>
    <w:rsid w:val="10E36DA6"/>
    <w:rsid w:val="11230F50"/>
    <w:rsid w:val="117D68B3"/>
    <w:rsid w:val="11BC387F"/>
    <w:rsid w:val="11C049F1"/>
    <w:rsid w:val="12137217"/>
    <w:rsid w:val="15063063"/>
    <w:rsid w:val="15B8435D"/>
    <w:rsid w:val="160E21CF"/>
    <w:rsid w:val="18057602"/>
    <w:rsid w:val="184E71FB"/>
    <w:rsid w:val="188B7B07"/>
    <w:rsid w:val="194523AC"/>
    <w:rsid w:val="1A5328A6"/>
    <w:rsid w:val="1B395F40"/>
    <w:rsid w:val="1B7156DA"/>
    <w:rsid w:val="1B7900EB"/>
    <w:rsid w:val="1C0A3439"/>
    <w:rsid w:val="1C817B9F"/>
    <w:rsid w:val="1DAF24EA"/>
    <w:rsid w:val="1E0A7720"/>
    <w:rsid w:val="1E5B441F"/>
    <w:rsid w:val="1F817EB6"/>
    <w:rsid w:val="1F9C4CF0"/>
    <w:rsid w:val="1FDF698A"/>
    <w:rsid w:val="2322550C"/>
    <w:rsid w:val="2342795C"/>
    <w:rsid w:val="245F009A"/>
    <w:rsid w:val="257302A1"/>
    <w:rsid w:val="25E46AA9"/>
    <w:rsid w:val="29BA46F0"/>
    <w:rsid w:val="29C03EA5"/>
    <w:rsid w:val="2DAD1E76"/>
    <w:rsid w:val="2E0B376C"/>
    <w:rsid w:val="2EB55486"/>
    <w:rsid w:val="31A6555A"/>
    <w:rsid w:val="3236068C"/>
    <w:rsid w:val="329F26D5"/>
    <w:rsid w:val="338F44F8"/>
    <w:rsid w:val="33BA52ED"/>
    <w:rsid w:val="33C10429"/>
    <w:rsid w:val="33C61EE3"/>
    <w:rsid w:val="33CF0D98"/>
    <w:rsid w:val="33F95E15"/>
    <w:rsid w:val="34012F1B"/>
    <w:rsid w:val="34711E4F"/>
    <w:rsid w:val="36341386"/>
    <w:rsid w:val="38196A86"/>
    <w:rsid w:val="383B2EA0"/>
    <w:rsid w:val="38635F53"/>
    <w:rsid w:val="38FE5C7B"/>
    <w:rsid w:val="392A081F"/>
    <w:rsid w:val="39CD3FCC"/>
    <w:rsid w:val="3A751F6D"/>
    <w:rsid w:val="3DC47494"/>
    <w:rsid w:val="3E6F5651"/>
    <w:rsid w:val="3EDB4A95"/>
    <w:rsid w:val="3FE94F8F"/>
    <w:rsid w:val="41850CE8"/>
    <w:rsid w:val="418F7DB9"/>
    <w:rsid w:val="41E06866"/>
    <w:rsid w:val="428462B8"/>
    <w:rsid w:val="43882D11"/>
    <w:rsid w:val="44B26298"/>
    <w:rsid w:val="44DE708D"/>
    <w:rsid w:val="45232CF2"/>
    <w:rsid w:val="45D73ADC"/>
    <w:rsid w:val="46B53E1D"/>
    <w:rsid w:val="46F506BE"/>
    <w:rsid w:val="47857C94"/>
    <w:rsid w:val="48276F9D"/>
    <w:rsid w:val="491A08B0"/>
    <w:rsid w:val="4BA97CC9"/>
    <w:rsid w:val="4F3F4BCC"/>
    <w:rsid w:val="4F585C8E"/>
    <w:rsid w:val="504A1A7A"/>
    <w:rsid w:val="51EB4B97"/>
    <w:rsid w:val="52C673B2"/>
    <w:rsid w:val="52F757BE"/>
    <w:rsid w:val="53424C8B"/>
    <w:rsid w:val="54273E81"/>
    <w:rsid w:val="56D54068"/>
    <w:rsid w:val="570D735E"/>
    <w:rsid w:val="57F4DDB0"/>
    <w:rsid w:val="586E6522"/>
    <w:rsid w:val="5A24333C"/>
    <w:rsid w:val="5A33357F"/>
    <w:rsid w:val="5A56726E"/>
    <w:rsid w:val="5B2E3D47"/>
    <w:rsid w:val="5B303F63"/>
    <w:rsid w:val="5D0E5BDE"/>
    <w:rsid w:val="609D4427"/>
    <w:rsid w:val="617F52FC"/>
    <w:rsid w:val="62522A10"/>
    <w:rsid w:val="628801E0"/>
    <w:rsid w:val="635A1B7D"/>
    <w:rsid w:val="64A55079"/>
    <w:rsid w:val="67FA4F70"/>
    <w:rsid w:val="68B0035D"/>
    <w:rsid w:val="69320EA6"/>
    <w:rsid w:val="69A73642"/>
    <w:rsid w:val="69BA3375"/>
    <w:rsid w:val="6B4C44A1"/>
    <w:rsid w:val="6B7B2FD8"/>
    <w:rsid w:val="6C354F35"/>
    <w:rsid w:val="6CD02EB0"/>
    <w:rsid w:val="715C7408"/>
    <w:rsid w:val="71755DD4"/>
    <w:rsid w:val="75526B58"/>
    <w:rsid w:val="76053BCA"/>
    <w:rsid w:val="761D53B8"/>
    <w:rsid w:val="7755292F"/>
    <w:rsid w:val="776C7C79"/>
    <w:rsid w:val="7940316B"/>
    <w:rsid w:val="795B7FA5"/>
    <w:rsid w:val="7B42766E"/>
    <w:rsid w:val="7B735A7A"/>
    <w:rsid w:val="7BBA7205"/>
    <w:rsid w:val="7C8D2B6B"/>
    <w:rsid w:val="7DAA5057"/>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Indent"/>
    <w:basedOn w:val="1"/>
    <w:link w:val="15"/>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9"/>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basedOn w:val="10"/>
    <w:qFormat/>
    <w:uiPriority w:val="0"/>
    <w:rPr>
      <w:sz w:val="21"/>
      <w:szCs w:val="21"/>
    </w:rPr>
  </w:style>
  <w:style w:type="character" w:customStyle="1" w:styleId="12">
    <w:name w:val="页眉 Char"/>
    <w:basedOn w:val="10"/>
    <w:link w:val="6"/>
    <w:qFormat/>
    <w:uiPriority w:val="0"/>
    <w:rPr>
      <w:rFonts w:asciiTheme="minorHAnsi" w:hAnsiTheme="minorHAnsi" w:eastAsiaTheme="minorEastAsia" w:cstheme="minorBidi"/>
      <w:kern w:val="2"/>
      <w:sz w:val="18"/>
      <w:szCs w:val="18"/>
    </w:rPr>
  </w:style>
  <w:style w:type="character" w:customStyle="1" w:styleId="13">
    <w:name w:val="页脚 Char"/>
    <w:basedOn w:val="10"/>
    <w:link w:val="5"/>
    <w:qFormat/>
    <w:uiPriority w:val="99"/>
    <w:rPr>
      <w:rFonts w:asciiTheme="minorHAnsi" w:hAnsiTheme="minorHAnsi" w:eastAsiaTheme="minorEastAsia" w:cstheme="minorBidi"/>
      <w:kern w:val="2"/>
      <w:sz w:val="18"/>
      <w:szCs w:val="18"/>
    </w:rPr>
  </w:style>
  <w:style w:type="paragraph" w:styleId="14">
    <w:name w:val="List Paragraph"/>
    <w:basedOn w:val="1"/>
    <w:qFormat/>
    <w:uiPriority w:val="99"/>
    <w:pPr>
      <w:ind w:firstLine="420" w:firstLineChars="200"/>
    </w:pPr>
  </w:style>
  <w:style w:type="character" w:customStyle="1" w:styleId="15">
    <w:name w:val="正文文本缩进 Char"/>
    <w:basedOn w:val="10"/>
    <w:link w:val="3"/>
    <w:qFormat/>
    <w:uiPriority w:val="0"/>
    <w:rPr>
      <w:kern w:val="2"/>
      <w:sz w:val="18"/>
      <w:szCs w:val="24"/>
    </w:rPr>
  </w:style>
  <w:style w:type="character" w:customStyle="1" w:styleId="16">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7">
    <w:name w:val="批注主题 Char"/>
    <w:basedOn w:val="16"/>
    <w:link w:val="7"/>
    <w:qFormat/>
    <w:uiPriority w:val="0"/>
    <w:rPr>
      <w:rFonts w:asciiTheme="minorHAnsi" w:hAnsiTheme="minorHAnsi" w:eastAsiaTheme="minorEastAsia" w:cstheme="minorBidi"/>
      <w:b/>
      <w:bCs/>
      <w:kern w:val="2"/>
      <w:sz w:val="21"/>
      <w:szCs w:val="24"/>
    </w:rPr>
  </w:style>
  <w:style w:type="paragraph" w:customStyle="1" w:styleId="18">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9">
    <w:name w:val="批注框文本 Char"/>
    <w:basedOn w:val="10"/>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10</Pages>
  <Words>886</Words>
  <Characters>5056</Characters>
  <Lines>42</Lines>
  <Paragraphs>11</Paragraphs>
  <TotalTime>29</TotalTime>
  <ScaleCrop>false</ScaleCrop>
  <LinksUpToDate>false</LinksUpToDate>
  <CharactersWithSpaces>5931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2022-09-15T23:49:00Z</dcterms:created>
  <dc:creator>Dumpling</dc:creator>
  <cp:lastModifiedBy>Administrator</cp:lastModifiedBy>
  <cp:lastPrinted>2025-10-27T19:13:00Z</cp:lastPrinted>
  <dcterms:modified xsi:type="dcterms:W3CDTF">2025-11-04T06:57:40Z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