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keepLines/>
        <w:spacing w:before="0" w:after="0"/>
        <w:jc w:val="left"/>
        <w:rPr>
          <w:rFonts w:ascii="方正小标宋简体" w:eastAsia="PMingLiU"/>
          <w:lang w:val="en-US"/>
        </w:rPr>
      </w:pPr>
      <w:bookmarkStart w:id="0" w:name="bookmark1"/>
      <w:bookmarkStart w:id="1" w:name="bookmark0"/>
      <w:bookmarkStart w:id="2" w:name="bookmark2"/>
    </w:p>
    <w:p>
      <w:pPr>
        <w:pStyle w:val="9"/>
        <w:keepNext/>
        <w:keepLines/>
        <w:spacing w:before="0" w:after="0" w:line="360" w:lineRule="auto"/>
        <w:rPr>
          <w:rFonts w:ascii="方正小标宋简体" w:eastAsia="PMingLiU"/>
          <w:lang w:val="en-US"/>
        </w:rPr>
      </w:pPr>
    </w:p>
    <w:p>
      <w:pPr>
        <w:pStyle w:val="9"/>
        <w:keepNext/>
        <w:keepLines/>
        <w:spacing w:before="0" w:after="0" w:line="360" w:lineRule="auto"/>
        <w:rPr>
          <w:rFonts w:ascii="方正小标宋简体" w:eastAsia="方正小标宋简体"/>
          <w:b/>
          <w:bCs/>
          <w:sz w:val="44"/>
          <w:szCs w:val="44"/>
        </w:rPr>
      </w:pPr>
      <w:r>
        <w:rPr>
          <w:rFonts w:hint="eastAsia" w:ascii="方正小标宋简体" w:eastAsia="方正小标宋简体"/>
          <w:b/>
          <w:bCs/>
          <w:sz w:val="44"/>
          <w:szCs w:val="44"/>
          <w:lang w:val="en-US" w:eastAsia="zh-CN"/>
        </w:rPr>
        <w:t>石碁镇</w:t>
      </w:r>
      <w:r>
        <w:rPr>
          <w:rFonts w:hint="eastAsia" w:ascii="方正小标宋简体" w:eastAsia="方正小标宋简体"/>
          <w:b/>
          <w:bCs/>
          <w:sz w:val="44"/>
          <w:szCs w:val="44"/>
          <w:lang w:val="en-US"/>
        </w:rPr>
        <w:t>社工</w:t>
      </w:r>
      <w:r>
        <w:rPr>
          <w:rFonts w:hint="eastAsia" w:ascii="方正小标宋简体" w:eastAsia="方正小标宋简体"/>
          <w:b/>
          <w:bCs/>
          <w:sz w:val="44"/>
          <w:szCs w:val="44"/>
        </w:rPr>
        <w:t>服务站</w:t>
      </w:r>
      <w:r>
        <w:rPr>
          <w:rFonts w:hint="eastAsia" w:ascii="方正小标宋简体" w:eastAsia="方正小标宋简体"/>
          <w:b/>
          <w:bCs/>
          <w:sz w:val="44"/>
          <w:szCs w:val="44"/>
          <w:lang w:eastAsia="zh-CN"/>
        </w:rPr>
        <w:t>末期</w:t>
      </w:r>
      <w:r>
        <w:rPr>
          <w:rFonts w:hint="eastAsia" w:ascii="方正小标宋简体" w:eastAsia="方正小标宋简体"/>
          <w:b/>
          <w:bCs/>
          <w:sz w:val="44"/>
          <w:szCs w:val="44"/>
        </w:rPr>
        <w:t>评估报告</w:t>
      </w:r>
      <w:bookmarkEnd w:id="0"/>
      <w:bookmarkEnd w:id="1"/>
      <w:bookmarkEnd w:id="2"/>
    </w:p>
    <w:p>
      <w:pPr>
        <w:pStyle w:val="9"/>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w:t>
      </w:r>
      <w:r>
        <w:rPr>
          <w:rFonts w:hint="eastAsia" w:ascii="方正小标宋简体" w:eastAsia="方正小标宋简体"/>
          <w:b/>
          <w:bCs/>
          <w:sz w:val="44"/>
          <w:szCs w:val="44"/>
          <w:lang w:val="en-US" w:eastAsia="zh-CN"/>
        </w:rPr>
        <w:t>2024年8月24日至2025年8月23日</w:t>
      </w:r>
      <w:r>
        <w:rPr>
          <w:rFonts w:hint="eastAsia" w:ascii="方正小标宋简体" w:eastAsia="方正小标宋简体"/>
          <w:b/>
          <w:bCs/>
          <w:sz w:val="44"/>
          <w:szCs w:val="44"/>
          <w:lang w:eastAsia="zh-CN"/>
        </w:rPr>
        <w:t>）</w:t>
      </w: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_GB2312" w:hAnsi="仿宋" w:eastAsia="仿宋_GB2312"/>
          <w:sz w:val="32"/>
          <w:szCs w:val="32"/>
        </w:rPr>
      </w:pPr>
    </w:p>
    <w:p>
      <w:pPr>
        <w:pStyle w:val="11"/>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lang w:eastAsia="zh-CN"/>
        </w:rPr>
        <w:t>评估委托</w:t>
      </w:r>
      <w:r>
        <w:rPr>
          <w:rFonts w:hint="eastAsia" w:ascii="仿宋_GB2312" w:hAnsi="仿宋" w:eastAsia="仿宋_GB2312"/>
          <w:b/>
          <w:sz w:val="32"/>
          <w:szCs w:val="32"/>
        </w:rPr>
        <w:t>方：广州市</w:t>
      </w:r>
      <w:r>
        <w:rPr>
          <w:rFonts w:hint="eastAsia" w:ascii="仿宋_GB2312" w:hAnsi="仿宋" w:eastAsia="仿宋_GB2312"/>
          <w:b/>
          <w:sz w:val="32"/>
          <w:szCs w:val="32"/>
          <w:lang w:val="en-US"/>
        </w:rPr>
        <w:t>番禺</w:t>
      </w:r>
      <w:r>
        <w:rPr>
          <w:rFonts w:hint="eastAsia" w:ascii="仿宋_GB2312" w:hAnsi="仿宋" w:eastAsia="仿宋_GB2312"/>
          <w:b/>
          <w:sz w:val="32"/>
          <w:szCs w:val="32"/>
        </w:rPr>
        <w:t>区民政局</w:t>
      </w:r>
    </w:p>
    <w:p>
      <w:pPr>
        <w:pStyle w:val="11"/>
        <w:spacing w:after="0" w:line="560" w:lineRule="exact"/>
        <w:ind w:firstLine="1687" w:firstLineChars="525"/>
        <w:jc w:val="both"/>
        <w:rPr>
          <w:rFonts w:hint="eastAsia" w:ascii="仿宋_GB2312" w:hAnsi="仿宋" w:eastAsia="仿宋_GB2312"/>
          <w:b/>
          <w:sz w:val="32"/>
          <w:szCs w:val="32"/>
          <w:lang w:eastAsia="zh-CN"/>
        </w:rPr>
      </w:pPr>
      <w:r>
        <w:rPr>
          <w:rFonts w:hint="eastAsia" w:ascii="仿宋_GB2312" w:hAnsi="仿宋" w:eastAsia="仿宋_GB2312"/>
          <w:b/>
          <w:sz w:val="32"/>
          <w:szCs w:val="32"/>
        </w:rPr>
        <w:t>项目购买方：广州市</w:t>
      </w:r>
      <w:r>
        <w:rPr>
          <w:rFonts w:hint="eastAsia" w:ascii="仿宋_GB2312" w:hAnsi="仿宋" w:eastAsia="仿宋_GB2312"/>
          <w:b/>
          <w:sz w:val="32"/>
          <w:szCs w:val="32"/>
          <w:lang w:val="en-US"/>
        </w:rPr>
        <w:t>番禺区</w:t>
      </w:r>
      <w:r>
        <w:rPr>
          <w:rFonts w:hint="eastAsia" w:ascii="仿宋_GB2312" w:hAnsi="仿宋" w:eastAsia="仿宋_GB2312"/>
          <w:b/>
          <w:sz w:val="32"/>
          <w:szCs w:val="32"/>
          <w:lang w:val="en-US" w:eastAsia="zh-CN"/>
        </w:rPr>
        <w:t>石碁镇人民政府</w:t>
      </w:r>
    </w:p>
    <w:p>
      <w:pPr>
        <w:pStyle w:val="11"/>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rPr>
        <w:t>项目承办方：广州</w:t>
      </w:r>
      <w:r>
        <w:rPr>
          <w:rFonts w:hint="eastAsia" w:ascii="仿宋_GB2312" w:hAnsi="仿宋" w:eastAsia="仿宋_GB2312"/>
          <w:b/>
          <w:sz w:val="32"/>
          <w:szCs w:val="32"/>
          <w:lang w:val="en-US" w:eastAsia="zh-CN"/>
        </w:rPr>
        <w:t>市阳光天使</w:t>
      </w:r>
      <w:r>
        <w:rPr>
          <w:rFonts w:hint="eastAsia" w:ascii="仿宋_GB2312" w:hAnsi="仿宋" w:eastAsia="仿宋_GB2312"/>
          <w:b/>
          <w:sz w:val="32"/>
          <w:szCs w:val="32"/>
          <w:lang w:val="en-US"/>
        </w:rPr>
        <w:t>社会工作服务</w:t>
      </w:r>
      <w:r>
        <w:rPr>
          <w:rFonts w:hint="eastAsia" w:ascii="仿宋_GB2312" w:hAnsi="仿宋" w:eastAsia="仿宋_GB2312"/>
          <w:b/>
          <w:sz w:val="32"/>
          <w:szCs w:val="32"/>
          <w:lang w:val="en-US" w:eastAsia="zh-CN"/>
        </w:rPr>
        <w:t>中</w:t>
      </w:r>
      <w:r>
        <w:rPr>
          <w:rFonts w:hint="eastAsia" w:ascii="仿宋_GB2312" w:hAnsi="仿宋" w:eastAsia="仿宋_GB2312"/>
          <w:b/>
          <w:sz w:val="32"/>
          <w:szCs w:val="32"/>
          <w:lang w:val="en-US"/>
        </w:rPr>
        <w:t>心</w:t>
      </w:r>
    </w:p>
    <w:p>
      <w:pPr>
        <w:pStyle w:val="11"/>
        <w:spacing w:after="0" w:line="560" w:lineRule="exact"/>
        <w:ind w:firstLine="1687" w:firstLineChars="525"/>
        <w:jc w:val="both"/>
        <w:rPr>
          <w:rFonts w:ascii="仿宋_GB2312" w:hAnsi="仿宋" w:eastAsia="仿宋_GB2312"/>
          <w:b/>
          <w:sz w:val="32"/>
          <w:szCs w:val="32"/>
        </w:rPr>
      </w:pPr>
      <w:r>
        <w:rPr>
          <w:rFonts w:hint="eastAsia" w:ascii="仿宋_GB2312" w:hAnsi="仿宋" w:eastAsia="仿宋_GB2312"/>
          <w:b/>
          <w:sz w:val="32"/>
          <w:szCs w:val="32"/>
        </w:rPr>
        <w:t>项目评估方：</w:t>
      </w:r>
      <w:r>
        <w:rPr>
          <w:rFonts w:hint="eastAsia" w:ascii="仿宋_GB2312" w:hAnsi="仿宋" w:eastAsia="仿宋_GB2312"/>
          <w:b/>
          <w:sz w:val="32"/>
          <w:szCs w:val="32"/>
          <w:lang w:val="en-US"/>
        </w:rPr>
        <w:t>广州市番禺区</w:t>
      </w:r>
      <w:r>
        <w:rPr>
          <w:rFonts w:hint="eastAsia" w:ascii="仿宋_GB2312" w:hAnsi="仿宋" w:eastAsia="仿宋_GB2312"/>
          <w:b/>
          <w:sz w:val="32"/>
          <w:szCs w:val="32"/>
        </w:rPr>
        <w:t>社会组织联合会</w:t>
      </w:r>
    </w:p>
    <w:p>
      <w:pPr>
        <w:pStyle w:val="11"/>
        <w:spacing w:after="0" w:line="560" w:lineRule="exact"/>
        <w:ind w:firstLine="1687" w:firstLineChars="525"/>
        <w:jc w:val="both"/>
        <w:rPr>
          <w:rFonts w:ascii="仿宋_GB2312" w:hAnsi="仿宋" w:eastAsia="仿宋_GB2312"/>
          <w:b/>
          <w:sz w:val="32"/>
          <w:szCs w:val="32"/>
          <w:lang w:eastAsia="zh-CN"/>
        </w:rPr>
      </w:pPr>
      <w:r>
        <w:rPr>
          <w:rFonts w:hint="eastAsia" w:ascii="仿宋_GB2312" w:hAnsi="仿宋" w:eastAsia="仿宋_GB2312"/>
          <w:b/>
          <w:sz w:val="32"/>
          <w:szCs w:val="32"/>
        </w:rPr>
        <w:t>评估日期：</w:t>
      </w:r>
      <w:bookmarkStart w:id="3" w:name="bookmark4"/>
      <w:bookmarkStart w:id="4" w:name="bookmark5"/>
      <w:bookmarkStart w:id="5" w:name="bookmark3"/>
      <w:r>
        <w:rPr>
          <w:rFonts w:hint="eastAsia" w:ascii="仿宋_GB2312" w:hAnsi="仿宋" w:eastAsia="仿宋_GB2312" w:cs="Times New Roman"/>
          <w:b/>
          <w:sz w:val="32"/>
          <w:szCs w:val="32"/>
          <w:lang w:eastAsia="zh-CN"/>
        </w:rPr>
        <w:t>202</w:t>
      </w:r>
      <w:r>
        <w:rPr>
          <w:rFonts w:hint="eastAsia" w:ascii="仿宋_GB2312" w:hAnsi="仿宋" w:eastAsia="仿宋_GB2312" w:cs="Times New Roman"/>
          <w:b/>
          <w:sz w:val="32"/>
          <w:szCs w:val="32"/>
          <w:lang w:val="en-US" w:eastAsia="zh-CN"/>
        </w:rPr>
        <w:t>5</w:t>
      </w:r>
      <w:r>
        <w:rPr>
          <w:rFonts w:hint="eastAsia" w:ascii="仿宋_GB2312" w:hAnsi="仿宋" w:eastAsia="仿宋_GB2312" w:cs="Times New Roman"/>
          <w:b/>
          <w:sz w:val="32"/>
          <w:szCs w:val="32"/>
          <w:lang w:eastAsia="zh-CN"/>
        </w:rPr>
        <w:t>年</w:t>
      </w:r>
      <w:r>
        <w:rPr>
          <w:rFonts w:hint="eastAsia" w:ascii="仿宋_GB2312" w:hAnsi="仿宋" w:eastAsia="仿宋_GB2312" w:cs="Times New Roman"/>
          <w:b/>
          <w:sz w:val="32"/>
          <w:szCs w:val="32"/>
          <w:lang w:val="en-US" w:eastAsia="zh-CN"/>
        </w:rPr>
        <w:t>8</w:t>
      </w:r>
      <w:r>
        <w:rPr>
          <w:rFonts w:hint="eastAsia" w:ascii="仿宋_GB2312" w:hAnsi="仿宋" w:eastAsia="仿宋_GB2312" w:cs="Times New Roman"/>
          <w:b/>
          <w:sz w:val="32"/>
          <w:szCs w:val="32"/>
          <w:lang w:eastAsia="zh-CN"/>
        </w:rPr>
        <w:t>月</w:t>
      </w:r>
      <w:r>
        <w:rPr>
          <w:rFonts w:hint="eastAsia" w:ascii="仿宋_GB2312" w:hAnsi="仿宋" w:eastAsia="仿宋_GB2312" w:cs="Times New Roman"/>
          <w:b/>
          <w:sz w:val="32"/>
          <w:szCs w:val="32"/>
          <w:lang w:val="en-US" w:eastAsia="zh-CN"/>
        </w:rPr>
        <w:t>22</w:t>
      </w:r>
      <w:r>
        <w:rPr>
          <w:rFonts w:hint="eastAsia" w:ascii="仿宋_GB2312" w:hAnsi="仿宋" w:eastAsia="仿宋_GB2312" w:cs="Times New Roman"/>
          <w:b/>
          <w:sz w:val="32"/>
          <w:szCs w:val="32"/>
          <w:lang w:eastAsia="zh-CN"/>
        </w:rPr>
        <w:t>日</w:t>
      </w: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rPr>
          <w:rFonts w:eastAsia="PMingLiU"/>
        </w:rPr>
        <w:sectPr>
          <w:pgSz w:w="11900" w:h="16840"/>
          <w:pgMar w:top="1301" w:right="876" w:bottom="1373" w:left="885" w:header="457" w:footer="448" w:gutter="0"/>
          <w:cols w:space="720" w:num="1"/>
          <w:docGrid w:linePitch="360" w:charSpace="0"/>
        </w:sectPr>
      </w:pPr>
    </w:p>
    <w:p>
      <w:pPr>
        <w:pStyle w:val="11"/>
        <w:spacing w:after="0" w:line="240" w:lineRule="auto"/>
        <w:ind w:firstLine="0"/>
        <w:rPr>
          <w:rFonts w:eastAsia="PMingLiU"/>
        </w:rPr>
      </w:pPr>
    </w:p>
    <w:p>
      <w:pPr>
        <w:pStyle w:val="9"/>
        <w:keepNext/>
        <w:keepLines/>
        <w:spacing w:before="0" w:after="0" w:line="360" w:lineRule="auto"/>
        <w:rPr>
          <w:rFonts w:ascii="方正小标宋简体" w:eastAsia="方正小标宋简体"/>
          <w:b/>
          <w:bCs/>
          <w:lang w:val="en-US"/>
        </w:rPr>
      </w:pPr>
      <w:r>
        <w:rPr>
          <w:rFonts w:hint="eastAsia" w:ascii="方正小标宋简体" w:eastAsia="方正小标宋简体"/>
          <w:b/>
          <w:bCs/>
          <w:lang w:val="en-US" w:eastAsia="zh-CN"/>
        </w:rPr>
        <w:t>石碁镇</w:t>
      </w:r>
      <w:r>
        <w:rPr>
          <w:rFonts w:ascii="方正小标宋简体" w:eastAsia="方正小标宋简体"/>
          <w:b/>
          <w:bCs/>
          <w:lang w:val="en-US"/>
        </w:rPr>
        <w:t>社工服务站</w:t>
      </w:r>
      <w:r>
        <w:rPr>
          <w:rFonts w:hint="eastAsia" w:ascii="方正小标宋简体" w:eastAsia="方正小标宋简体"/>
          <w:b/>
          <w:bCs/>
          <w:lang w:val="en-US" w:eastAsia="zh-CN"/>
        </w:rPr>
        <w:t>末期</w:t>
      </w:r>
      <w:r>
        <w:rPr>
          <w:rFonts w:ascii="方正小标宋简体" w:eastAsia="方正小标宋简体"/>
          <w:b/>
          <w:bCs/>
          <w:lang w:val="en-US"/>
        </w:rPr>
        <w:t>评估报告</w:t>
      </w:r>
      <w:bookmarkEnd w:id="3"/>
      <w:bookmarkEnd w:id="4"/>
      <w:bookmarkEnd w:id="5"/>
    </w:p>
    <w:p>
      <w:pPr>
        <w:pStyle w:val="9"/>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w:t>
      </w:r>
      <w:r>
        <w:rPr>
          <w:rFonts w:hint="eastAsia" w:ascii="方正小标宋简体" w:eastAsia="方正小标宋简体"/>
          <w:b/>
          <w:bCs/>
          <w:sz w:val="44"/>
          <w:szCs w:val="44"/>
          <w:lang w:val="en-US" w:eastAsia="zh-CN"/>
        </w:rPr>
        <w:t>2024年8月24日—2025年8月23日</w:t>
      </w:r>
      <w:r>
        <w:rPr>
          <w:rFonts w:hint="eastAsia" w:ascii="方正小标宋简体" w:eastAsia="方正小标宋简体"/>
          <w:b/>
          <w:bCs/>
          <w:sz w:val="44"/>
          <w:szCs w:val="44"/>
          <w:lang w:eastAsia="zh-CN"/>
        </w:rPr>
        <w:t>）</w:t>
      </w:r>
    </w:p>
    <w:p>
      <w:pPr>
        <w:pStyle w:val="9"/>
        <w:keepNext/>
        <w:keepLines/>
        <w:spacing w:before="0" w:after="0" w:line="560" w:lineRule="exact"/>
        <w:jc w:val="both"/>
        <w:rPr>
          <w:rFonts w:ascii="方正小标宋简体" w:eastAsia="方正小标宋简体"/>
          <w:lang w:val="en-US"/>
        </w:rPr>
      </w:pP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石碁镇</w:t>
      </w:r>
      <w:r>
        <w:rPr>
          <w:rFonts w:hint="eastAsia" w:ascii="仿宋_GB2312" w:eastAsia="仿宋_GB2312"/>
          <w:sz w:val="32"/>
          <w:szCs w:val="32"/>
        </w:rPr>
        <w:t>社工服务站（简称</w:t>
      </w:r>
      <w:r>
        <w:rPr>
          <w:rFonts w:hint="eastAsia" w:ascii="仿宋_GB2312" w:eastAsia="仿宋_GB2312"/>
          <w:sz w:val="32"/>
          <w:szCs w:val="32"/>
          <w:lang w:val="en-US" w:eastAsia="zh-CN"/>
        </w:rPr>
        <w:t>石碁镇</w:t>
      </w:r>
      <w:r>
        <w:rPr>
          <w:rFonts w:hint="eastAsia" w:ascii="仿宋_GB2312" w:eastAsia="仿宋_GB2312"/>
          <w:sz w:val="32"/>
          <w:szCs w:val="32"/>
        </w:rPr>
        <w:t>社工站）</w:t>
      </w:r>
      <w:r>
        <w:rPr>
          <w:rFonts w:hint="eastAsia" w:ascii="仿宋_GB2312" w:eastAsia="仿宋_GB2312"/>
          <w:sz w:val="32"/>
          <w:szCs w:val="32"/>
          <w:lang w:eastAsia="zh-CN"/>
        </w:rPr>
        <w:t>末期</w:t>
      </w:r>
      <w:r>
        <w:rPr>
          <w:rFonts w:hint="eastAsia" w:ascii="仿宋_GB2312" w:eastAsia="仿宋_GB2312"/>
          <w:sz w:val="32"/>
          <w:szCs w:val="32"/>
        </w:rPr>
        <w:t>报告，是专业评估人员通过对</w:t>
      </w:r>
      <w:r>
        <w:rPr>
          <w:rFonts w:hint="eastAsia" w:ascii="仿宋_GB2312" w:eastAsia="仿宋_GB2312"/>
          <w:sz w:val="32"/>
          <w:szCs w:val="32"/>
          <w:lang w:val="en-US" w:eastAsia="zh-CN"/>
        </w:rPr>
        <w:t>石碁镇</w:t>
      </w:r>
      <w:r>
        <w:rPr>
          <w:rFonts w:hint="eastAsia" w:ascii="仿宋_GB2312" w:eastAsia="仿宋_GB2312"/>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sz w:val="32"/>
          <w:szCs w:val="32"/>
        </w:rPr>
        <w:t>5</w:t>
      </w:r>
      <w:r>
        <w:rPr>
          <w:rFonts w:hint="eastAsia" w:ascii="仿宋_GB2312" w:eastAsia="仿宋_GB2312"/>
          <w:sz w:val="32"/>
          <w:szCs w:val="32"/>
        </w:rPr>
        <w:t>位专家及</w:t>
      </w:r>
      <w:r>
        <w:rPr>
          <w:rFonts w:hint="eastAsia" w:ascii="仿宋_GB2312" w:eastAsia="仿宋_GB2312"/>
          <w:sz w:val="32"/>
          <w:szCs w:val="32"/>
          <w:lang w:val="en-US" w:eastAsia="zh-CN"/>
        </w:rPr>
        <w:t>2</w:t>
      </w:r>
      <w:r>
        <w:rPr>
          <w:rFonts w:hint="eastAsia" w:ascii="仿宋_GB2312" w:eastAsia="仿宋_GB2312"/>
          <w:sz w:val="32"/>
          <w:szCs w:val="32"/>
        </w:rPr>
        <w:t>名工作人员</w:t>
      </w:r>
      <w:r>
        <w:rPr>
          <w:rFonts w:hint="eastAsia" w:ascii="仿宋_GB2312" w:eastAsia="仿宋_GB2312"/>
          <w:sz w:val="32"/>
          <w:szCs w:val="32"/>
          <w:lang w:val="en-US"/>
        </w:rPr>
        <w:t>对</w:t>
      </w:r>
      <w:r>
        <w:rPr>
          <w:rFonts w:hint="eastAsia" w:ascii="仿宋_GB2312" w:eastAsia="仿宋_GB2312"/>
          <w:sz w:val="32"/>
          <w:szCs w:val="32"/>
        </w:rPr>
        <w:t>社工站展开为期一天的实地考察、访谈、查阅资料等形式的评估，形成此报告。</w:t>
      </w:r>
      <w:r>
        <w:rPr>
          <w:rFonts w:hint="eastAsia" w:ascii="仿宋_GB2312" w:eastAsia="仿宋_GB2312"/>
          <w:sz w:val="32"/>
          <w:szCs w:val="32"/>
          <w:lang w:val="en-US" w:eastAsia="zh-CN"/>
        </w:rPr>
        <w:t>石碁镇</w:t>
      </w:r>
      <w:r>
        <w:rPr>
          <w:rFonts w:hint="eastAsia" w:ascii="仿宋_GB2312" w:eastAsia="仿宋_GB2312"/>
          <w:sz w:val="32"/>
          <w:szCs w:val="32"/>
        </w:rPr>
        <w:t>社工站可以将此报告作为参考，进行服务完善和提升，从多方面</w:t>
      </w:r>
      <w:r>
        <w:rPr>
          <w:rFonts w:hint="eastAsia" w:ascii="仿宋_GB2312" w:eastAsia="仿宋_GB2312"/>
          <w:sz w:val="32"/>
          <w:szCs w:val="32"/>
          <w:lang w:eastAsia="zh-CN"/>
        </w:rPr>
        <w:t>夯</w:t>
      </w:r>
      <w:r>
        <w:rPr>
          <w:rFonts w:hint="eastAsia" w:ascii="仿宋_GB2312" w:eastAsia="仿宋_GB2312"/>
          <w:sz w:val="32"/>
          <w:szCs w:val="32"/>
        </w:rPr>
        <w:t>实服务基础，拓展服务面，提升服务的专业化水平。本报告尽量呈现社工站的实际情况，因评估时间较短的关系，社工站部分服务成效不完全体现在报告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sz w:val="32"/>
          <w:szCs w:val="32"/>
        </w:rPr>
        <w:t>。</w:t>
      </w:r>
    </w:p>
    <w:p>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方正小标宋简体" w:eastAsia="方正小标宋简体"/>
          <w:b/>
          <w:sz w:val="32"/>
          <w:szCs w:val="32"/>
        </w:rPr>
      </w:pPr>
      <w:r>
        <w:rPr>
          <w:rFonts w:hint="eastAsia" w:ascii="方正小标宋简体" w:eastAsia="方正小标宋简体"/>
          <w:b/>
          <w:sz w:val="32"/>
          <w:szCs w:val="32"/>
          <w:lang w:val="en-US"/>
        </w:rPr>
        <w:t>一</w:t>
      </w:r>
      <w:r>
        <w:rPr>
          <w:rFonts w:hint="eastAsia" w:ascii="方正小标宋简体" w:eastAsia="方正小标宋简体"/>
          <w:b/>
          <w:sz w:val="32"/>
          <w:szCs w:val="32"/>
          <w:lang w:val="en-US" w:eastAsia="zh-CN"/>
        </w:rPr>
        <w:t>、</w:t>
      </w:r>
      <w:r>
        <w:rPr>
          <w:rFonts w:hint="eastAsia" w:ascii="方正小标宋简体" w:eastAsia="方正小标宋简体"/>
          <w:b/>
          <w:sz w:val="32"/>
          <w:szCs w:val="32"/>
          <w:lang w:eastAsia="zh-CN"/>
        </w:rPr>
        <w:t>末期</w:t>
      </w:r>
      <w:r>
        <w:rPr>
          <w:rFonts w:hint="eastAsia" w:ascii="方正小标宋简体" w:eastAsia="方正小标宋简体"/>
          <w:b/>
          <w:sz w:val="32"/>
          <w:szCs w:val="32"/>
        </w:rPr>
        <w:t>评估背景</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2025年8月22日</w:t>
      </w:r>
      <w:r>
        <w:rPr>
          <w:rFonts w:hint="eastAsia" w:ascii="仿宋_GB2312" w:eastAsia="仿宋_GB2312"/>
          <w:sz w:val="32"/>
          <w:szCs w:val="32"/>
        </w:rPr>
        <w:t>，</w:t>
      </w:r>
      <w:r>
        <w:rPr>
          <w:rFonts w:hint="eastAsia" w:ascii="仿宋_GB2312" w:eastAsia="仿宋_GB2312"/>
          <w:sz w:val="32"/>
          <w:szCs w:val="32"/>
          <w:lang w:val="en-US"/>
        </w:rPr>
        <w:t>番禺区社会组织联合会</w:t>
      </w:r>
      <w:r>
        <w:rPr>
          <w:rFonts w:hint="eastAsia" w:ascii="仿宋_GB2312" w:hAnsi="Times New Roman" w:eastAsia="仿宋_GB2312" w:cs="Times New Roman"/>
          <w:sz w:val="32"/>
          <w:szCs w:val="32"/>
        </w:rPr>
        <w:t>5</w:t>
      </w:r>
      <w:r>
        <w:rPr>
          <w:rFonts w:hint="eastAsia" w:ascii="仿宋_GB2312" w:eastAsia="仿宋_GB2312"/>
          <w:sz w:val="32"/>
          <w:szCs w:val="32"/>
        </w:rPr>
        <w:t>位评委及</w:t>
      </w:r>
      <w:r>
        <w:rPr>
          <w:rFonts w:hint="eastAsia" w:ascii="仿宋_GB2312" w:eastAsia="仿宋_GB2312"/>
          <w:sz w:val="32"/>
          <w:szCs w:val="32"/>
          <w:lang w:val="en-US" w:eastAsia="zh-CN"/>
        </w:rPr>
        <w:t>2</w:t>
      </w:r>
      <w:r>
        <w:rPr>
          <w:rFonts w:hint="eastAsia" w:ascii="仿宋_GB2312" w:eastAsia="仿宋_GB2312"/>
          <w:sz w:val="32"/>
          <w:szCs w:val="32"/>
        </w:rPr>
        <w:t>名工作人员对</w:t>
      </w:r>
      <w:r>
        <w:rPr>
          <w:rFonts w:hint="eastAsia" w:ascii="仿宋_GB2312" w:eastAsia="仿宋_GB2312"/>
          <w:sz w:val="32"/>
          <w:szCs w:val="32"/>
          <w:lang w:eastAsia="zh-CN"/>
        </w:rPr>
        <w:t>石碁镇</w:t>
      </w:r>
      <w:r>
        <w:rPr>
          <w:rFonts w:hint="eastAsia" w:ascii="仿宋_GB2312" w:eastAsia="仿宋_GB2312"/>
          <w:sz w:val="32"/>
          <w:szCs w:val="32"/>
        </w:rPr>
        <w:t>社工站展开了</w:t>
      </w:r>
      <w:r>
        <w:rPr>
          <w:rFonts w:hint="eastAsia" w:ascii="仿宋_GB2312" w:eastAsia="仿宋_GB2312"/>
          <w:sz w:val="32"/>
          <w:szCs w:val="32"/>
          <w:lang w:eastAsia="zh-CN"/>
        </w:rPr>
        <w:t>末期</w:t>
      </w:r>
      <w:r>
        <w:rPr>
          <w:rFonts w:hint="eastAsia" w:ascii="仿宋_GB2312" w:eastAsia="仿宋_GB2312"/>
          <w:sz w:val="32"/>
          <w:szCs w:val="32"/>
        </w:rPr>
        <w:t>评估工作。评估为期</w:t>
      </w:r>
      <w:r>
        <w:rPr>
          <w:rFonts w:hint="eastAsia" w:ascii="仿宋_GB2312" w:hAnsi="Times New Roman" w:eastAsia="仿宋_GB2312" w:cs="Times New Roman"/>
          <w:sz w:val="32"/>
          <w:szCs w:val="32"/>
        </w:rPr>
        <w:t>1</w:t>
      </w:r>
      <w:r>
        <w:rPr>
          <w:rFonts w:hint="eastAsia" w:ascii="仿宋_GB2312" w:eastAsia="仿宋_GB2312"/>
          <w:sz w:val="32"/>
          <w:szCs w:val="32"/>
        </w:rPr>
        <w:t>天，主要通过听取社工站介绍、实地考察、查阅资料、面谈（访谈）、填写问卷</w:t>
      </w:r>
      <w:r>
        <w:rPr>
          <w:rFonts w:hint="eastAsia" w:ascii="仿宋_GB2312" w:eastAsia="仿宋_GB2312"/>
          <w:sz w:val="32"/>
          <w:szCs w:val="32"/>
          <w:lang w:eastAsia="zh-CN"/>
        </w:rPr>
        <w:t>、</w:t>
      </w:r>
      <w:r>
        <w:rPr>
          <w:rFonts w:hint="eastAsia" w:ascii="仿宋_GB2312" w:eastAsia="仿宋_GB2312"/>
          <w:color w:val="auto"/>
          <w:sz w:val="32"/>
          <w:szCs w:val="32"/>
          <w:lang w:val="en-US" w:eastAsia="zh-CN"/>
        </w:rPr>
        <w:t>入户困难群众询问</w:t>
      </w:r>
      <w:r>
        <w:rPr>
          <w:rFonts w:hint="eastAsia" w:ascii="仿宋_GB2312" w:eastAsia="仿宋_GB2312"/>
          <w:sz w:val="32"/>
          <w:szCs w:val="32"/>
        </w:rPr>
        <w:t>等形式，对</w:t>
      </w:r>
      <w:r>
        <w:rPr>
          <w:rFonts w:hint="eastAsia" w:ascii="仿宋_GB2312" w:eastAsia="仿宋_GB2312"/>
          <w:sz w:val="32"/>
          <w:szCs w:val="32"/>
          <w:lang w:eastAsia="zh-CN"/>
        </w:rPr>
        <w:t>石碁镇</w:t>
      </w:r>
      <w:r>
        <w:rPr>
          <w:rFonts w:hint="eastAsia" w:ascii="仿宋_GB2312" w:eastAsia="仿宋_GB2312"/>
          <w:sz w:val="32"/>
          <w:szCs w:val="32"/>
        </w:rPr>
        <w:t>社工站的项目管理、服务开展情况以及项目成效等方面进行评估。评估团队主要完成了以下几方面的工作：</w:t>
      </w:r>
    </w:p>
    <w:p>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sz w:val="32"/>
          <w:szCs w:val="32"/>
        </w:rPr>
      </w:pPr>
      <w:bookmarkStart w:id="6" w:name="bookmark6"/>
      <w:bookmarkEnd w:id="6"/>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w:t>
      </w:r>
      <w:r>
        <w:rPr>
          <w:rFonts w:hint="eastAsia" w:ascii="仿宋_GB2312" w:eastAsia="仿宋_GB2312"/>
          <w:sz w:val="32"/>
          <w:szCs w:val="32"/>
          <w:lang w:eastAsia="zh-CN"/>
        </w:rPr>
        <w:t>、</w:t>
      </w:r>
      <w:r>
        <w:rPr>
          <w:rFonts w:hint="eastAsia" w:ascii="仿宋_GB2312" w:eastAsia="仿宋_GB2312"/>
          <w:sz w:val="32"/>
          <w:szCs w:val="32"/>
        </w:rPr>
        <w:t>各项指标完成情况。</w:t>
      </w:r>
    </w:p>
    <w:p>
      <w:pPr>
        <w:pStyle w:val="11"/>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7" w:name="bookmark7"/>
      <w:bookmarkEnd w:id="7"/>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w:t>
      </w:r>
      <w:r>
        <w:rPr>
          <w:rFonts w:hint="eastAsia" w:ascii="仿宋_GB2312" w:eastAsia="仿宋_GB2312"/>
          <w:sz w:val="32"/>
          <w:szCs w:val="32"/>
          <w:lang w:eastAsia="zh-CN"/>
        </w:rPr>
        <w:t>，</w:t>
      </w:r>
      <w:r>
        <w:rPr>
          <w:rFonts w:hint="eastAsia" w:ascii="仿宋_GB2312" w:eastAsia="仿宋_GB2312"/>
          <w:sz w:val="32"/>
          <w:szCs w:val="32"/>
        </w:rPr>
        <w:t>以评估其设施开展专业服务的适宜性。</w:t>
      </w:r>
    </w:p>
    <w:p>
      <w:pPr>
        <w:pStyle w:val="11"/>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8" w:name="bookmark8"/>
      <w:bookmarkEnd w:id="8"/>
      <w:r>
        <w:rPr>
          <w:rFonts w:hint="eastAsia" w:ascii="仿宋_GB2312" w:eastAsia="仿宋_GB2312"/>
          <w:b/>
          <w:sz w:val="32"/>
          <w:szCs w:val="32"/>
          <w:lang w:val="en-US"/>
        </w:rPr>
        <w:t>3.查阅资料。</w:t>
      </w:r>
      <w:r>
        <w:rPr>
          <w:rFonts w:hint="eastAsia" w:ascii="仿宋_GB2312" w:eastAsia="仿宋_GB2312"/>
          <w:sz w:val="32"/>
          <w:szCs w:val="32"/>
        </w:rPr>
        <w:t>查阅社工站行政、人事管理制度及专业服务记录等方面的资料。</w:t>
      </w:r>
    </w:p>
    <w:p>
      <w:pPr>
        <w:pStyle w:val="11"/>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9" w:name="bookmark9"/>
      <w:bookmarkEnd w:id="9"/>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评委与各项目社工进行访谈，了解社工站服务推进情况</w:t>
      </w:r>
      <w:r>
        <w:rPr>
          <w:rFonts w:hint="eastAsia" w:ascii="仿宋_GB2312" w:eastAsia="仿宋_GB2312"/>
          <w:sz w:val="32"/>
          <w:szCs w:val="32"/>
          <w:lang w:eastAsia="zh-CN"/>
        </w:rPr>
        <w:t>，</w:t>
      </w:r>
      <w:r>
        <w:rPr>
          <w:rFonts w:hint="eastAsia" w:ascii="仿宋_GB2312" w:eastAsia="仿宋_GB2312"/>
          <w:sz w:val="32"/>
          <w:szCs w:val="32"/>
        </w:rPr>
        <w:t>了解社工对服务项目的理解，以及开展服务的总结反思。</w:t>
      </w:r>
    </w:p>
    <w:p>
      <w:pPr>
        <w:pStyle w:val="11"/>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0" w:name="bookmark10"/>
      <w:bookmarkEnd w:id="10"/>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w:t>
      </w:r>
      <w:r>
        <w:rPr>
          <w:rFonts w:hint="eastAsia" w:ascii="仿宋_GB2312" w:eastAsia="仿宋_GB2312"/>
          <w:sz w:val="32"/>
          <w:szCs w:val="32"/>
          <w:lang w:eastAsia="zh-CN"/>
        </w:rPr>
        <w:t>，</w:t>
      </w:r>
      <w:r>
        <w:rPr>
          <w:rFonts w:hint="eastAsia" w:ascii="仿宋_GB2312" w:eastAsia="仿宋_GB2312"/>
          <w:sz w:val="32"/>
          <w:szCs w:val="32"/>
        </w:rPr>
        <w:t>了解机构运营情况，查看机构行政配套制度等情况。</w:t>
      </w:r>
    </w:p>
    <w:p>
      <w:pPr>
        <w:pStyle w:val="11"/>
        <w:keepNext w:val="0"/>
        <w:keepLines w:val="0"/>
        <w:pageBreakBefore w:val="0"/>
        <w:widowControl w:val="0"/>
        <w:tabs>
          <w:tab w:val="left" w:pos="952"/>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1" w:name="bookmark11"/>
      <w:bookmarkEnd w:id="11"/>
      <w:r>
        <w:rPr>
          <w:rFonts w:hint="eastAsia" w:ascii="仿宋_GB2312" w:eastAsia="仿宋_GB2312"/>
          <w:b/>
          <w:sz w:val="32"/>
          <w:szCs w:val="32"/>
          <w:lang w:val="en-US"/>
        </w:rPr>
        <w:t>6.利益相关方满意度及知晓度。</w:t>
      </w:r>
      <w:r>
        <w:rPr>
          <w:rFonts w:hint="eastAsia" w:ascii="仿宋_GB2312" w:eastAsia="仿宋_GB2312"/>
          <w:sz w:val="32"/>
          <w:szCs w:val="32"/>
        </w:rPr>
        <w:t>主要社工站在辖区内的知晓度以及各利益相关方对社工</w:t>
      </w:r>
      <w:r>
        <w:rPr>
          <w:rFonts w:hint="eastAsia" w:ascii="仿宋_GB2312" w:eastAsia="仿宋_GB2312"/>
          <w:sz w:val="32"/>
          <w:szCs w:val="32"/>
          <w:lang w:eastAsia="zh-CN"/>
        </w:rPr>
        <w:t>站</w:t>
      </w:r>
      <w:r>
        <w:rPr>
          <w:rFonts w:hint="eastAsia" w:ascii="仿宋_GB2312" w:eastAsia="仿宋_GB2312"/>
          <w:sz w:val="32"/>
          <w:szCs w:val="32"/>
        </w:rPr>
        <w:t>提供的服务以及过程</w:t>
      </w:r>
      <w:r>
        <w:rPr>
          <w:rFonts w:hint="eastAsia" w:ascii="仿宋_GB2312" w:eastAsia="仿宋_GB2312"/>
          <w:sz w:val="32"/>
          <w:szCs w:val="32"/>
          <w:lang w:eastAsia="zh-CN"/>
        </w:rPr>
        <w:t>中</w:t>
      </w:r>
      <w:r>
        <w:rPr>
          <w:rFonts w:hint="eastAsia" w:ascii="仿宋_GB2312" w:eastAsia="仿宋_GB2312"/>
          <w:sz w:val="32"/>
          <w:szCs w:val="32"/>
        </w:rPr>
        <w:t>的满意度。</w:t>
      </w:r>
    </w:p>
    <w:p>
      <w:pPr>
        <w:pStyle w:val="11"/>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bookmarkStart w:id="12" w:name="bookmark12"/>
      <w:bookmarkEnd w:id="12"/>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由评委团队对评估进行总结，与社工站社工进行反馈，听取购买方对社工站工作开展的意见和建议，了解社工站同事对本次活动的反馈。</w:t>
      </w:r>
    </w:p>
    <w:p>
      <w:pPr>
        <w:pStyle w:val="11"/>
        <w:keepNext w:val="0"/>
        <w:keepLines w:val="0"/>
        <w:pageBreakBefore w:val="0"/>
        <w:widowControl w:val="0"/>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（一）</w:t>
      </w:r>
      <w:r>
        <w:rPr>
          <w:rFonts w:hint="eastAsia" w:ascii="仿宋_GB2312" w:eastAsia="仿宋_GB2312"/>
          <w:b/>
          <w:sz w:val="32"/>
          <w:szCs w:val="32"/>
        </w:rPr>
        <w:t>评估依据</w:t>
      </w:r>
    </w:p>
    <w:p>
      <w:pPr>
        <w:pStyle w:val="11"/>
        <w:keepNext w:val="0"/>
        <w:keepLines w:val="0"/>
        <w:pageBreakBefore w:val="0"/>
        <w:widowControl w:val="0"/>
        <w:tabs>
          <w:tab w:val="left" w:pos="981"/>
        </w:tabs>
        <w:kinsoku/>
        <w:wordWrap/>
        <w:overflowPunct/>
        <w:topLinePunct w:val="0"/>
        <w:autoSpaceDE/>
        <w:autoSpaceDN/>
        <w:bidi w:val="0"/>
        <w:adjustRightInd/>
        <w:snapToGrid/>
        <w:spacing w:after="120" w:line="540" w:lineRule="exact"/>
        <w:ind w:firstLine="643" w:firstLineChars="200"/>
        <w:jc w:val="both"/>
        <w:textAlignment w:val="auto"/>
        <w:rPr>
          <w:rFonts w:hint="eastAsia" w:ascii="仿宋_GB2312" w:eastAsia="仿宋_GB2312"/>
          <w:sz w:val="32"/>
          <w:szCs w:val="32"/>
        </w:rPr>
      </w:pPr>
      <w:bookmarkStart w:id="13" w:name="bookmark14"/>
      <w:bookmarkEnd w:id="13"/>
      <w:r>
        <w:rPr>
          <w:rFonts w:hint="eastAsia" w:ascii="仿宋_GB2312" w:eastAsiaTheme="minorEastAsia"/>
          <w:b/>
          <w:sz w:val="32"/>
          <w:szCs w:val="32"/>
          <w:lang w:eastAsia="zh-CN"/>
        </w:rPr>
        <w:t>1</w:t>
      </w:r>
      <w:r>
        <w:rPr>
          <w:rFonts w:ascii="仿宋_GB2312" w:eastAsia="PMingLiU"/>
          <w:b/>
          <w:sz w:val="32"/>
          <w:szCs w:val="32"/>
        </w:rPr>
        <w:t>.</w:t>
      </w:r>
      <w:r>
        <w:rPr>
          <w:rFonts w:hint="eastAsia" w:ascii="仿宋_GB2312" w:eastAsia="仿宋_GB2312"/>
          <w:b/>
          <w:sz w:val="32"/>
          <w:szCs w:val="32"/>
        </w:rPr>
        <w:t>政策依据</w:t>
      </w:r>
      <w:r>
        <w:rPr>
          <w:rFonts w:hint="eastAsia" w:ascii="仿宋_GB2312" w:eastAsia="仿宋_GB2312"/>
          <w:b/>
          <w:sz w:val="32"/>
          <w:szCs w:val="32"/>
          <w:lang w:eastAsia="zh-CN"/>
        </w:rPr>
        <w:t>：</w:t>
      </w:r>
      <w:r>
        <w:rPr>
          <w:rFonts w:hint="eastAsia" w:ascii="仿宋_GB2312" w:eastAsia="仿宋_GB2312"/>
          <w:sz w:val="32"/>
          <w:szCs w:val="32"/>
        </w:rPr>
        <w:t>《广州市社工站购买服务项目服务清单（民政领域社会工作）》《广州市社工站购买服务项目服务标准》《广州市社工站购买服务项目评估办法》《广州市社工服务站管理办法》《广州市社工站岗位职责》《政府购买服务管理办法》《广州市社会工作服务条例》等。</w:t>
      </w:r>
    </w:p>
    <w:p>
      <w:pPr>
        <w:pStyle w:val="11"/>
        <w:keepNext w:val="0"/>
        <w:keepLines w:val="0"/>
        <w:pageBreakBefore w:val="0"/>
        <w:widowControl w:val="0"/>
        <w:tabs>
          <w:tab w:val="left" w:pos="981"/>
        </w:tabs>
        <w:kinsoku/>
        <w:wordWrap/>
        <w:overflowPunct/>
        <w:topLinePunct w:val="0"/>
        <w:autoSpaceDE/>
        <w:autoSpaceDN/>
        <w:bidi w:val="0"/>
        <w:adjustRightInd/>
        <w:snapToGrid/>
        <w:spacing w:after="120" w:line="540" w:lineRule="exact"/>
        <w:ind w:firstLine="643" w:firstLineChars="200"/>
        <w:jc w:val="both"/>
        <w:textAlignment w:val="auto"/>
        <w:rPr>
          <w:rFonts w:ascii="仿宋_GB2312" w:eastAsia="仿宋_GB2312"/>
          <w:sz w:val="32"/>
          <w:szCs w:val="32"/>
        </w:rPr>
      </w:pPr>
      <w:r>
        <w:rPr>
          <w:rFonts w:hint="eastAsia" w:ascii="仿宋_GB2312"/>
          <w:b/>
          <w:sz w:val="32"/>
          <w:szCs w:val="32"/>
          <w:lang w:eastAsia="zh-CN"/>
        </w:rPr>
        <w:t>2</w:t>
      </w:r>
      <w:r>
        <w:rPr>
          <w:rFonts w:ascii="仿宋_GB2312" w:eastAsia="PMingLiU"/>
          <w:b/>
          <w:sz w:val="32"/>
          <w:szCs w:val="32"/>
        </w:rPr>
        <w:t>.</w:t>
      </w:r>
      <w:r>
        <w:rPr>
          <w:rFonts w:hint="eastAsia" w:ascii="仿宋_GB2312" w:eastAsia="仿宋_GB2312"/>
          <w:b/>
          <w:sz w:val="32"/>
          <w:szCs w:val="32"/>
        </w:rPr>
        <w:t>评估标准依据</w:t>
      </w:r>
      <w:r>
        <w:rPr>
          <w:rFonts w:hint="eastAsia" w:ascii="仿宋_GB2312" w:eastAsia="仿宋_GB2312"/>
          <w:b/>
          <w:sz w:val="32"/>
          <w:szCs w:val="32"/>
          <w:lang w:eastAsia="zh-CN"/>
        </w:rPr>
        <w:t>：</w:t>
      </w:r>
      <w:r>
        <w:rPr>
          <w:rFonts w:hint="eastAsia" w:ascii="仿宋_GB2312" w:eastAsia="仿宋_GB2312"/>
          <w:sz w:val="32"/>
          <w:szCs w:val="32"/>
          <w:lang w:val="en-US" w:eastAsia="zh-CN"/>
        </w:rPr>
        <w:t>《广州市社工站购买服务项目评估指标体系》《广州市社工站购买服务项目协议》。</w:t>
      </w:r>
    </w:p>
    <w:p>
      <w:pPr>
        <w:pStyle w:val="11"/>
        <w:keepNext w:val="0"/>
        <w:keepLines w:val="0"/>
        <w:pageBreakBefore w:val="0"/>
        <w:widowControl w:val="0"/>
        <w:kinsoku/>
        <w:wordWrap/>
        <w:overflowPunct/>
        <w:topLinePunct w:val="0"/>
        <w:autoSpaceDE/>
        <w:autoSpaceDN/>
        <w:bidi w:val="0"/>
        <w:adjustRightInd/>
        <w:snapToGrid/>
        <w:spacing w:after="160"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（二）</w:t>
      </w:r>
      <w:r>
        <w:rPr>
          <w:rFonts w:hint="eastAsia" w:ascii="仿宋_GB2312" w:eastAsia="仿宋_GB2312"/>
          <w:b/>
          <w:sz w:val="32"/>
          <w:szCs w:val="32"/>
        </w:rPr>
        <w:t>评估原则</w:t>
      </w:r>
    </w:p>
    <w:p>
      <w:pPr>
        <w:pStyle w:val="11"/>
        <w:keepNext w:val="0"/>
        <w:keepLines w:val="0"/>
        <w:pageBreakBefore w:val="0"/>
        <w:widowControl w:val="0"/>
        <w:tabs>
          <w:tab w:val="left" w:pos="98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4" w:name="bookmark17"/>
      <w:bookmarkEnd w:id="14"/>
      <w:bookmarkStart w:id="15" w:name="bookmark23"/>
      <w:r>
        <w:rPr>
          <w:rFonts w:hint="eastAsia" w:ascii="仿宋_GB2312" w:eastAsia="仿宋_GB2312"/>
          <w:b/>
          <w:sz w:val="32"/>
          <w:szCs w:val="32"/>
          <w:lang w:eastAsia="zh-CN"/>
        </w:rPr>
        <w:t>1.真实诚信原则：</w:t>
      </w:r>
      <w:r>
        <w:rPr>
          <w:rFonts w:hint="eastAsia" w:ascii="仿宋_GB2312" w:eastAsia="仿宋_GB2312"/>
          <w:sz w:val="32"/>
          <w:szCs w:val="32"/>
        </w:rPr>
        <w:t>评估要求项目运营方必须以实事求是的态度对待评估，本着诚实守信的原则，提供和展示能够真实、客观反映其项目运营状况的依据和有效资料，以供评估小组考察。</w:t>
      </w:r>
    </w:p>
    <w:p>
      <w:pPr>
        <w:pStyle w:val="11"/>
        <w:keepNext w:val="0"/>
        <w:keepLines w:val="0"/>
        <w:pageBreakBefore w:val="0"/>
        <w:widowControl w:val="0"/>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6" w:name="bookmark18"/>
      <w:bookmarkEnd w:id="16"/>
      <w:r>
        <w:rPr>
          <w:rFonts w:hint="eastAsia" w:ascii="仿宋_GB2312" w:eastAsia="仿宋_GB2312"/>
          <w:b/>
          <w:sz w:val="32"/>
          <w:szCs w:val="32"/>
          <w:lang w:eastAsia="zh-CN"/>
        </w:rPr>
        <w:t>2.客观公正原则：</w:t>
      </w:r>
      <w:r>
        <w:rPr>
          <w:rFonts w:hint="eastAsia" w:ascii="仿宋_GB2312" w:eastAsia="仿宋_GB2312"/>
          <w:sz w:val="32"/>
          <w:szCs w:val="32"/>
        </w:rPr>
        <w:t>评估要求所有评委恪守</w:t>
      </w:r>
      <w:r>
        <w:rPr>
          <w:rFonts w:hint="eastAsia" w:ascii="仿宋_GB2312" w:eastAsia="仿宋_GB2312"/>
          <w:sz w:val="32"/>
          <w:szCs w:val="32"/>
          <w:lang w:val="zh-CN" w:eastAsia="zh-CN" w:bidi="zh-CN"/>
        </w:rPr>
        <w:t>“客</w:t>
      </w:r>
      <w:r>
        <w:rPr>
          <w:rFonts w:hint="eastAsia" w:ascii="仿宋_GB2312" w:eastAsia="仿宋_GB2312"/>
          <w:sz w:val="32"/>
          <w:szCs w:val="32"/>
        </w:rPr>
        <w:t>观公正的第三方”评估者角色，依据事实和真实情况给出客观</w:t>
      </w:r>
      <w:r>
        <w:rPr>
          <w:rFonts w:hint="eastAsia" w:ascii="仿宋_GB2312" w:eastAsia="仿宋_GB2312"/>
          <w:color w:val="auto"/>
          <w:sz w:val="32"/>
          <w:szCs w:val="32"/>
        </w:rPr>
        <w:t>、</w:t>
      </w:r>
      <w:r>
        <w:rPr>
          <w:rFonts w:hint="eastAsia" w:ascii="仿宋_GB2312" w:eastAsia="仿宋_GB2312"/>
          <w:color w:val="auto"/>
          <w:sz w:val="32"/>
          <w:szCs w:val="32"/>
          <w:lang w:eastAsia="zh-CN"/>
        </w:rPr>
        <w:t>中</w:t>
      </w:r>
      <w:r>
        <w:rPr>
          <w:rFonts w:hint="eastAsia" w:ascii="仿宋_GB2312" w:eastAsia="仿宋_GB2312"/>
          <w:color w:val="auto"/>
          <w:sz w:val="32"/>
          <w:szCs w:val="32"/>
        </w:rPr>
        <w:t>肯评价意见或结论</w:t>
      </w:r>
      <w:r>
        <w:rPr>
          <w:rFonts w:hint="eastAsia" w:ascii="仿宋_GB2312" w:eastAsia="仿宋_GB2312"/>
          <w:sz w:val="32"/>
          <w:szCs w:val="32"/>
        </w:rPr>
        <w:t>。</w:t>
      </w:r>
    </w:p>
    <w:p>
      <w:pPr>
        <w:pStyle w:val="11"/>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7" w:name="bookmark19"/>
      <w:bookmarkEnd w:id="17"/>
      <w:r>
        <w:rPr>
          <w:rFonts w:hint="eastAsia" w:ascii="仿宋_GB2312" w:eastAsia="仿宋_GB2312"/>
          <w:b/>
          <w:sz w:val="32"/>
          <w:szCs w:val="32"/>
          <w:lang w:eastAsia="zh-CN"/>
        </w:rPr>
        <w:t>3.证据为本原则：</w:t>
      </w:r>
      <w:r>
        <w:rPr>
          <w:rFonts w:hint="eastAsia" w:ascii="仿宋_GB2312" w:eastAsia="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pPr>
        <w:pStyle w:val="11"/>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8" w:name="bookmark20"/>
      <w:bookmarkEnd w:id="18"/>
      <w:r>
        <w:rPr>
          <w:rFonts w:hint="eastAsia" w:ascii="仿宋_GB2312"/>
          <w:b/>
          <w:sz w:val="32"/>
          <w:szCs w:val="32"/>
          <w:lang w:eastAsia="zh-CN"/>
        </w:rPr>
        <w:t>4</w:t>
      </w:r>
      <w:r>
        <w:rPr>
          <w:rFonts w:ascii="仿宋_GB2312" w:eastAsia="PMingLiU"/>
          <w:b/>
          <w:sz w:val="32"/>
          <w:szCs w:val="32"/>
        </w:rPr>
        <w:t>.</w:t>
      </w:r>
      <w:r>
        <w:rPr>
          <w:rFonts w:hint="eastAsia" w:ascii="仿宋_GB2312" w:eastAsia="仿宋_GB2312"/>
          <w:b/>
          <w:sz w:val="32"/>
          <w:szCs w:val="32"/>
        </w:rPr>
        <w:t>以评促进原则</w:t>
      </w:r>
      <w:r>
        <w:rPr>
          <w:rFonts w:hint="eastAsia" w:ascii="仿宋_GB2312" w:eastAsia="仿宋_GB2312"/>
          <w:b/>
          <w:sz w:val="32"/>
          <w:szCs w:val="32"/>
          <w:lang w:eastAsia="zh-CN"/>
        </w:rPr>
        <w:t>：</w:t>
      </w:r>
      <w:r>
        <w:rPr>
          <w:rFonts w:hint="eastAsia" w:ascii="仿宋_GB2312" w:eastAsia="仿宋_GB2312"/>
          <w:sz w:val="32"/>
          <w:szCs w:val="32"/>
        </w:rPr>
        <w:t>评估要求评委要本着促进项目运营质量和成效的目标原则实施评估活动，给出评估指导意见，评估意见应具体、清晰、可行，能够切实指导项目运营团队持续改善服务成效和质量。</w:t>
      </w:r>
    </w:p>
    <w:p>
      <w:pPr>
        <w:pStyle w:val="11"/>
        <w:keepNext w:val="0"/>
        <w:keepLines w:val="0"/>
        <w:pageBreakBefore w:val="0"/>
        <w:widowControl w:val="0"/>
        <w:tabs>
          <w:tab w:val="left" w:pos="99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sz w:val="32"/>
          <w:szCs w:val="32"/>
        </w:rPr>
      </w:pPr>
      <w:bookmarkStart w:id="19" w:name="bookmark21"/>
      <w:bookmarkEnd w:id="19"/>
      <w:r>
        <w:rPr>
          <w:rFonts w:hint="eastAsia" w:ascii="仿宋_GB2312"/>
          <w:b/>
          <w:sz w:val="32"/>
          <w:szCs w:val="32"/>
          <w:lang w:eastAsia="zh-CN"/>
        </w:rPr>
        <w:t>5</w:t>
      </w:r>
      <w:r>
        <w:rPr>
          <w:rFonts w:ascii="仿宋_GB2312" w:eastAsia="PMingLiU"/>
          <w:b/>
          <w:sz w:val="32"/>
          <w:szCs w:val="32"/>
        </w:rPr>
        <w:t>.</w:t>
      </w:r>
      <w:r>
        <w:rPr>
          <w:rFonts w:hint="eastAsia" w:ascii="仿宋_GB2312" w:eastAsia="仿宋_GB2312"/>
          <w:b/>
          <w:sz w:val="32"/>
          <w:szCs w:val="32"/>
        </w:rPr>
        <w:t>回避监督原则</w:t>
      </w:r>
      <w:r>
        <w:rPr>
          <w:rFonts w:hint="eastAsia" w:ascii="仿宋_GB2312" w:eastAsia="仿宋_GB2312"/>
          <w:b/>
          <w:sz w:val="32"/>
          <w:szCs w:val="32"/>
          <w:lang w:eastAsia="zh-CN"/>
        </w:rPr>
        <w:t>：</w:t>
      </w:r>
      <w:r>
        <w:rPr>
          <w:rFonts w:hint="eastAsia" w:ascii="仿宋_GB2312" w:eastAsia="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pPr>
        <w:pStyle w:val="11"/>
        <w:keepNext w:val="0"/>
        <w:keepLines w:val="0"/>
        <w:pageBreakBefore w:val="0"/>
        <w:widowControl w:val="0"/>
        <w:kinsoku/>
        <w:wordWrap/>
        <w:overflowPunct/>
        <w:topLinePunct w:val="0"/>
        <w:autoSpaceDE/>
        <w:autoSpaceDN/>
        <w:bidi w:val="0"/>
        <w:adjustRightInd/>
        <w:snapToGrid/>
        <w:spacing w:after="160" w:line="540" w:lineRule="exact"/>
        <w:ind w:firstLine="643" w:firstLineChars="200"/>
        <w:jc w:val="both"/>
        <w:textAlignment w:val="auto"/>
        <w:rPr>
          <w:rFonts w:hint="eastAsia" w:ascii="仿宋_GB2312" w:eastAsia="仿宋_GB2312"/>
          <w:sz w:val="32"/>
          <w:szCs w:val="32"/>
        </w:rPr>
      </w:pPr>
      <w:bookmarkStart w:id="20" w:name="bookmark22"/>
      <w:bookmarkEnd w:id="20"/>
      <w:r>
        <w:rPr>
          <w:rFonts w:hint="eastAsia" w:ascii="仿宋_GB2312" w:eastAsia="仿宋_GB2312"/>
          <w:b/>
          <w:sz w:val="32"/>
          <w:szCs w:val="32"/>
          <w:lang w:eastAsia="zh-CN"/>
        </w:rPr>
        <w:t>6.保密尊重原则：</w:t>
      </w:r>
      <w:r>
        <w:rPr>
          <w:rFonts w:hint="eastAsia" w:ascii="仿宋_GB2312" w:eastAsia="仿宋_GB2312"/>
          <w:sz w:val="32"/>
          <w:szCs w:val="32"/>
        </w:rPr>
        <w:t>评估要求评委应尊重和保护其工作</w:t>
      </w:r>
      <w:r>
        <w:rPr>
          <w:rFonts w:hint="eastAsia" w:ascii="仿宋_GB2312" w:eastAsia="仿宋_GB2312"/>
          <w:sz w:val="32"/>
          <w:szCs w:val="32"/>
          <w:lang w:eastAsia="zh-CN"/>
        </w:rPr>
        <w:t>中</w:t>
      </w:r>
      <w:r>
        <w:rPr>
          <w:rFonts w:hint="eastAsia" w:ascii="仿宋_GB2312" w:eastAsia="仿宋_GB2312"/>
          <w:sz w:val="32"/>
          <w:szCs w:val="32"/>
        </w:rPr>
        <w:t>所接触、发现或遇到的涉及服务对象隐私权等所有受法律保护的事项，并依法负有保密职责；评估要求评委在评估过程</w:t>
      </w:r>
      <w:r>
        <w:rPr>
          <w:rFonts w:hint="eastAsia" w:ascii="仿宋_GB2312" w:eastAsia="仿宋_GB2312"/>
          <w:sz w:val="32"/>
          <w:szCs w:val="32"/>
          <w:lang w:eastAsia="zh-CN"/>
        </w:rPr>
        <w:t>中</w:t>
      </w:r>
      <w:r>
        <w:rPr>
          <w:rFonts w:hint="eastAsia" w:ascii="仿宋_GB2312" w:eastAsia="仿宋_GB2312"/>
          <w:sz w:val="32"/>
          <w:szCs w:val="32"/>
        </w:rPr>
        <w:t>应尊重被评估方的所有原创性专业技术、方法等成果，并依法负有保密职责。</w:t>
      </w:r>
    </w:p>
    <w:p>
      <w:pPr>
        <w:pStyle w:val="11"/>
        <w:keepNext w:val="0"/>
        <w:keepLines w:val="0"/>
        <w:pageBreakBefore w:val="0"/>
        <w:widowControl w:val="0"/>
        <w:kinsoku/>
        <w:wordWrap/>
        <w:overflowPunct/>
        <w:topLinePunct w:val="0"/>
        <w:autoSpaceDE/>
        <w:autoSpaceDN/>
        <w:bidi w:val="0"/>
        <w:adjustRightInd/>
        <w:snapToGrid/>
        <w:spacing w:after="160"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w:t>
      </w:r>
      <w:bookmarkEnd w:id="15"/>
      <w:r>
        <w:rPr>
          <w:rFonts w:hint="eastAsia" w:ascii="仿宋_GB2312" w:eastAsia="仿宋_GB2312"/>
          <w:b/>
          <w:sz w:val="32"/>
          <w:szCs w:val="32"/>
        </w:rPr>
        <w:t>三）评估阶段</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sz w:val="32"/>
          <w:szCs w:val="32"/>
          <w:lang w:eastAsia="zh-CN"/>
        </w:rPr>
      </w:pPr>
      <w:bookmarkStart w:id="21" w:name="bookmark24"/>
      <w:bookmarkEnd w:id="21"/>
      <w:bookmarkStart w:id="22" w:name="bookmark28"/>
      <w:r>
        <w:rPr>
          <w:rFonts w:hint="eastAsia" w:ascii="仿宋_GB2312" w:eastAsia="仿宋_GB2312"/>
          <w:b/>
          <w:sz w:val="32"/>
          <w:szCs w:val="32"/>
          <w:lang w:val="en-US" w:eastAsia="zh-CN"/>
        </w:rPr>
        <w:t>1.</w:t>
      </w:r>
      <w:r>
        <w:rPr>
          <w:rFonts w:hint="eastAsia" w:ascii="仿宋_GB2312" w:eastAsia="仿宋_GB2312"/>
          <w:b/>
          <w:sz w:val="32"/>
          <w:szCs w:val="32"/>
          <w:lang w:eastAsia="zh-CN"/>
        </w:rPr>
        <w:t>制定评估计划</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番禺区民政局会同番禺区社会组织联合会根据最新管理办法要求及石碁镇社工站项目合同期限确定评估时间，制定好评估计划和评估通知。</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2.自我评审阶段</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石碁镇</w:t>
      </w:r>
      <w:r>
        <w:rPr>
          <w:rFonts w:hint="eastAsia" w:ascii="仿宋_GB2312" w:eastAsia="仿宋_GB2312"/>
          <w:sz w:val="32"/>
          <w:szCs w:val="32"/>
        </w:rPr>
        <w:t>社工站结合</w:t>
      </w:r>
      <w:r>
        <w:rPr>
          <w:rFonts w:ascii="仿宋_GB2312" w:eastAsia="仿宋_GB2312"/>
          <w:sz w:val="32"/>
          <w:szCs w:val="32"/>
          <w:lang w:val="en-US"/>
        </w:rPr>
        <w:t>《广州市社工站购买服务项目评估指标体系》</w:t>
      </w:r>
      <w:r>
        <w:rPr>
          <w:rFonts w:hint="eastAsia" w:ascii="仿宋_GB2312" w:eastAsia="仿宋_GB2312"/>
          <w:sz w:val="32"/>
          <w:szCs w:val="32"/>
        </w:rPr>
        <w:t>和签订的服务协议，逐项对照，准备材料，结合实际进行自我评估，并完成自评报告的报送工作。</w:t>
      </w:r>
    </w:p>
    <w:p>
      <w:pPr>
        <w:pStyle w:val="11"/>
        <w:keepNext w:val="0"/>
        <w:keepLines w:val="0"/>
        <w:pageBreakBefore w:val="0"/>
        <w:widowControl w:val="0"/>
        <w:tabs>
          <w:tab w:val="left" w:pos="1001"/>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lang w:eastAsia="zh-CN"/>
        </w:rPr>
      </w:pPr>
      <w:bookmarkStart w:id="23" w:name="bookmark25"/>
      <w:bookmarkEnd w:id="23"/>
      <w:r>
        <w:rPr>
          <w:rFonts w:hint="eastAsia" w:ascii="仿宋_GB2312" w:eastAsia="仿宋_GB2312"/>
          <w:b/>
          <w:sz w:val="32"/>
          <w:szCs w:val="32"/>
          <w:lang w:val="en-US" w:eastAsia="zh-CN"/>
        </w:rPr>
        <w:t>3.</w:t>
      </w:r>
      <w:r>
        <w:rPr>
          <w:rFonts w:hint="eastAsia" w:ascii="仿宋_GB2312" w:eastAsia="仿宋_GB2312"/>
          <w:b/>
          <w:sz w:val="32"/>
          <w:szCs w:val="32"/>
          <w:lang w:eastAsia="zh-CN"/>
        </w:rPr>
        <w:t>实地评估阶段</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评估小组根据评估计划组织实施，对石碁镇社工站提供的材料进行审阅，实地考察，进行现场评估并打分。评估小组根据公平、公正的原则，严格按照评估要求，对石碁镇社工站进行评估工作。</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rPr>
      </w:pPr>
      <w:r>
        <w:rPr>
          <w:rFonts w:hint="eastAsia" w:ascii="仿宋_GB2312" w:eastAsia="仿宋_GB2312"/>
          <w:b/>
          <w:bCs/>
          <w:sz w:val="32"/>
          <w:szCs w:val="32"/>
          <w:lang w:val="en-US" w:eastAsia="zh-CN"/>
        </w:rPr>
        <w:t>4.</w:t>
      </w:r>
      <w:r>
        <w:rPr>
          <w:rFonts w:hint="eastAsia" w:ascii="仿宋_GB2312" w:eastAsia="仿宋_GB2312"/>
          <w:b/>
          <w:sz w:val="32"/>
          <w:szCs w:val="32"/>
        </w:rPr>
        <w:t>反馈初评意见</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lang w:eastAsia="zh-CN"/>
        </w:rPr>
      </w:pPr>
      <w:r>
        <w:rPr>
          <w:rFonts w:hint="eastAsia" w:ascii="仿宋_GB2312" w:eastAsia="仿宋_GB2312"/>
          <w:sz w:val="32"/>
          <w:szCs w:val="32"/>
          <w:lang w:eastAsia="zh-CN"/>
        </w:rPr>
        <w:t>综合评委专家、监督方、购买方、市督导中心意见和建议，在评估工作结束后5个工作日内，向番禺区民政局、石碁镇人民政府及石碁镇社工服务站反馈初评意见，对评估结果、存在问题及改进建议等进行沟通确认。</w:t>
      </w:r>
    </w:p>
    <w:p>
      <w:pPr>
        <w:pStyle w:val="11"/>
        <w:keepNext w:val="0"/>
        <w:keepLines w:val="0"/>
        <w:pageBreakBefore w:val="0"/>
        <w:widowControl w:val="0"/>
        <w:tabs>
          <w:tab w:val="left" w:pos="1006"/>
        </w:tabs>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b/>
          <w:sz w:val="32"/>
          <w:szCs w:val="32"/>
        </w:rPr>
      </w:pPr>
      <w:bookmarkStart w:id="24" w:name="bookmark27"/>
      <w:bookmarkEnd w:id="24"/>
      <w:r>
        <w:rPr>
          <w:rFonts w:hint="eastAsia" w:ascii="仿宋_GB2312" w:eastAsia="仿宋_GB2312"/>
          <w:b/>
          <w:sz w:val="32"/>
          <w:szCs w:val="32"/>
          <w:lang w:val="en-US" w:eastAsia="zh-CN"/>
        </w:rPr>
        <w:t>5.</w:t>
      </w:r>
      <w:r>
        <w:rPr>
          <w:rFonts w:hint="eastAsia" w:ascii="仿宋_GB2312" w:eastAsia="仿宋_GB2312"/>
          <w:b/>
          <w:sz w:val="32"/>
          <w:szCs w:val="32"/>
        </w:rPr>
        <w:t>出具</w:t>
      </w:r>
      <w:r>
        <w:rPr>
          <w:rFonts w:hint="eastAsia" w:ascii="仿宋_GB2312" w:eastAsia="仿宋_GB2312"/>
          <w:b/>
          <w:sz w:val="32"/>
          <w:szCs w:val="32"/>
          <w:lang w:val="en-US" w:eastAsia="zh-CN"/>
        </w:rPr>
        <w:t>末期</w:t>
      </w:r>
      <w:r>
        <w:rPr>
          <w:rFonts w:hint="eastAsia" w:ascii="仿宋_GB2312" w:eastAsia="仿宋_GB2312"/>
          <w:b/>
          <w:sz w:val="32"/>
          <w:szCs w:val="32"/>
        </w:rPr>
        <w:t>评估报告</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在评估工作结束后10个工作日内，向番禺区民政局、石碁镇人民政府及石碁镇社工服务站各出具一份评估报告，提出项目存在的问题及改进建议。</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6.公示评估报告及受理评估投诉</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bCs/>
          <w:sz w:val="32"/>
          <w:szCs w:val="32"/>
          <w:lang w:val="en-US" w:eastAsia="zh-CN"/>
        </w:rPr>
      </w:pPr>
      <w:r>
        <w:rPr>
          <w:rFonts w:ascii="仿宋_GB2312" w:eastAsia="仿宋_GB2312"/>
          <w:bCs/>
          <w:sz w:val="32"/>
          <w:szCs w:val="32"/>
          <w:lang w:val="en-US" w:eastAsia="zh-CN"/>
        </w:rPr>
        <w:t>区民政局在收到评估报告后汇总社会救助等有关业务科室意见，于5个工作日内确认评估报告，确认后对</w:t>
      </w:r>
      <w:r>
        <w:rPr>
          <w:rFonts w:hint="eastAsia" w:ascii="仿宋_GB2312" w:eastAsia="仿宋_GB2312"/>
          <w:bCs/>
          <w:sz w:val="32"/>
          <w:szCs w:val="32"/>
          <w:lang w:val="en-US" w:eastAsia="zh-CN"/>
        </w:rPr>
        <w:t>石碁镇</w:t>
      </w:r>
      <w:r>
        <w:rPr>
          <w:rFonts w:ascii="仿宋_GB2312" w:eastAsia="仿宋_GB2312"/>
          <w:bCs/>
          <w:sz w:val="32"/>
          <w:szCs w:val="32"/>
          <w:lang w:val="en-US" w:eastAsia="zh-CN"/>
        </w:rPr>
        <w:t>社工站项目的评估报告进行公示，公示期不少于7个工作日。公示期间，如收到对评估报告的质疑或投诉，区民政局及时对评估结果进行复核，并确定最终评估结果，同时将有关处理情况报市民政部门。</w:t>
      </w:r>
    </w:p>
    <w:bookmarkEnd w:id="22"/>
    <w:p>
      <w:pPr>
        <w:pStyle w:val="11"/>
        <w:keepNext w:val="0"/>
        <w:keepLines w:val="0"/>
        <w:pageBreakBefore w:val="0"/>
        <w:widowControl w:val="0"/>
        <w:kinsoku/>
        <w:wordWrap/>
        <w:overflowPunct/>
        <w:topLinePunct w:val="0"/>
        <w:autoSpaceDE/>
        <w:autoSpaceDN/>
        <w:bidi w:val="0"/>
        <w:adjustRightInd/>
        <w:snapToGrid/>
        <w:spacing w:after="0" w:line="540" w:lineRule="exact"/>
        <w:ind w:left="480" w:leftChars="200" w:firstLine="0"/>
        <w:jc w:val="both"/>
        <w:textAlignment w:val="auto"/>
        <w:rPr>
          <w:rFonts w:ascii="仿宋_GB2312" w:eastAsia="仿宋_GB2312"/>
          <w:b/>
          <w:color w:val="auto"/>
          <w:sz w:val="32"/>
          <w:szCs w:val="32"/>
        </w:rPr>
      </w:pPr>
      <w:r>
        <w:rPr>
          <w:rFonts w:hint="eastAsia" w:ascii="仿宋_GB2312" w:eastAsia="仿宋_GB2312"/>
          <w:b/>
          <w:color w:val="auto"/>
          <w:sz w:val="32"/>
          <w:szCs w:val="32"/>
          <w:lang w:eastAsia="zh-CN"/>
        </w:rPr>
        <w:t>（四）</w:t>
      </w:r>
      <w:r>
        <w:rPr>
          <w:rFonts w:hint="eastAsia" w:ascii="仿宋_GB2312" w:eastAsia="仿宋_GB2312"/>
          <w:b/>
          <w:color w:val="auto"/>
          <w:sz w:val="32"/>
          <w:szCs w:val="32"/>
        </w:rPr>
        <w:t>评估内容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color w:val="auto"/>
          <w:sz w:val="32"/>
          <w:szCs w:val="32"/>
          <w:lang w:val="en-US" w:eastAsia="zh-CN" w:bidi="en-US"/>
        </w:rPr>
        <w:t>1.</w:t>
      </w:r>
      <w:r>
        <w:rPr>
          <w:rFonts w:hint="eastAsia" w:ascii="仿宋_GB2312" w:eastAsia="仿宋_GB2312"/>
          <w:b/>
          <w:color w:val="auto"/>
          <w:sz w:val="32"/>
          <w:szCs w:val="32"/>
        </w:rPr>
        <w:t>运营管理情况评估</w:t>
      </w:r>
      <w:r>
        <w:rPr>
          <w:rFonts w:hint="eastAsia" w:ascii="仿宋_GB2312" w:eastAsia="仿宋_GB2312"/>
          <w:b/>
          <w:color w:val="auto"/>
          <w:sz w:val="32"/>
          <w:szCs w:val="32"/>
          <w:lang w:eastAsia="zh-CN"/>
        </w:rPr>
        <w:t>：</w:t>
      </w:r>
      <w:r>
        <w:rPr>
          <w:rFonts w:hint="eastAsia" w:ascii="仿宋_GB2312" w:eastAsia="仿宋_GB2312"/>
          <w:color w:val="auto"/>
          <w:sz w:val="32"/>
          <w:szCs w:val="32"/>
        </w:rPr>
        <w:t>主要从社工站人员管理、行政管理、项目宣传等方面进行评估。</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仿宋_GB2312" w:cs="仿宋_GB2312"/>
          <w:color w:val="auto"/>
          <w:sz w:val="32"/>
          <w:szCs w:val="32"/>
          <w:lang w:eastAsia="zh-CN"/>
        </w:rPr>
      </w:pPr>
      <w:r>
        <w:rPr>
          <w:rFonts w:hint="eastAsia" w:ascii="仿宋_GB2312" w:eastAsia="仿宋_GB2312"/>
          <w:b/>
          <w:color w:val="auto"/>
          <w:sz w:val="32"/>
          <w:szCs w:val="32"/>
          <w:lang w:val="en-US"/>
        </w:rPr>
        <w:t>2.</w:t>
      </w:r>
      <w:r>
        <w:rPr>
          <w:rFonts w:hint="eastAsia" w:ascii="仿宋_GB2312" w:eastAsia="仿宋_GB2312"/>
          <w:b/>
          <w:color w:val="auto"/>
          <w:sz w:val="32"/>
          <w:szCs w:val="32"/>
        </w:rPr>
        <w:t>项目服务评估</w:t>
      </w:r>
      <w:bookmarkStart w:id="25" w:name="bookmark29"/>
      <w:bookmarkEnd w:id="25"/>
      <w:r>
        <w:rPr>
          <w:rFonts w:hint="eastAsia" w:ascii="仿宋_GB2312" w:eastAsia="仿宋_GB2312"/>
          <w:b/>
          <w:color w:val="auto"/>
          <w:sz w:val="32"/>
          <w:szCs w:val="32"/>
          <w:lang w:eastAsia="zh-CN"/>
        </w:rPr>
        <w:t>：</w:t>
      </w:r>
      <w:r>
        <w:rPr>
          <w:rFonts w:ascii="仿宋_GB2312" w:hAnsi="仿宋_GB2312" w:eastAsia="仿宋_GB2312" w:cs="仿宋_GB2312"/>
          <w:color w:val="auto"/>
          <w:sz w:val="32"/>
          <w:szCs w:val="32"/>
          <w:lang w:eastAsia="zh-CN"/>
        </w:rPr>
        <w:t>根据《广州市社工站</w:t>
      </w:r>
      <w:r>
        <w:rPr>
          <w:rFonts w:hint="eastAsia" w:ascii="仿宋_GB2312" w:hAnsi="仿宋_GB2312" w:eastAsia="仿宋_GB2312" w:cs="仿宋_GB2312"/>
          <w:color w:val="auto"/>
          <w:sz w:val="32"/>
          <w:szCs w:val="32"/>
          <w:lang w:eastAsia="zh-CN"/>
        </w:rPr>
        <w:t>购买</w:t>
      </w:r>
      <w:r>
        <w:rPr>
          <w:rFonts w:ascii="仿宋_GB2312" w:hAnsi="仿宋_GB2312" w:eastAsia="仿宋_GB2312" w:cs="仿宋_GB2312"/>
          <w:color w:val="auto"/>
          <w:sz w:val="32"/>
          <w:szCs w:val="32"/>
          <w:lang w:eastAsia="zh-CN"/>
        </w:rPr>
        <w:t>服务项目评估指标体系》，结合社工站与</w:t>
      </w:r>
      <w:r>
        <w:rPr>
          <w:rFonts w:hint="eastAsia" w:ascii="仿宋_GB2312" w:hAnsi="仿宋_GB2312" w:eastAsia="仿宋_GB2312" w:cs="仿宋_GB2312"/>
          <w:color w:val="auto"/>
          <w:sz w:val="32"/>
          <w:szCs w:val="32"/>
          <w:lang w:eastAsia="zh-CN"/>
        </w:rPr>
        <w:t>镇街</w:t>
      </w:r>
      <w:r>
        <w:rPr>
          <w:rFonts w:ascii="仿宋_GB2312" w:hAnsi="仿宋_GB2312" w:eastAsia="仿宋_GB2312" w:cs="仿宋_GB2312"/>
          <w:color w:val="auto"/>
          <w:sz w:val="32"/>
          <w:szCs w:val="32"/>
          <w:lang w:eastAsia="zh-CN"/>
        </w:rPr>
        <w:t>签订的</w:t>
      </w:r>
      <w:r>
        <w:rPr>
          <w:rFonts w:hint="eastAsia" w:ascii="仿宋_GB2312" w:hAnsi="仿宋_GB2312" w:eastAsia="仿宋_GB2312" w:cs="仿宋_GB2312"/>
          <w:color w:val="auto"/>
          <w:sz w:val="32"/>
          <w:szCs w:val="32"/>
          <w:lang w:eastAsia="zh-CN"/>
        </w:rPr>
        <w:t>双方</w:t>
      </w:r>
      <w:r>
        <w:rPr>
          <w:rFonts w:ascii="仿宋_GB2312" w:hAnsi="仿宋_GB2312" w:eastAsia="仿宋_GB2312" w:cs="仿宋_GB2312"/>
          <w:color w:val="auto"/>
          <w:sz w:val="32"/>
          <w:szCs w:val="32"/>
          <w:lang w:eastAsia="zh-CN"/>
        </w:rPr>
        <w:t>协议规定开展的服务内容开展评估工作，主要从</w:t>
      </w:r>
      <w:r>
        <w:rPr>
          <w:rFonts w:hint="eastAsia" w:ascii="仿宋_GB2312" w:hAnsi="仿宋_GB2312" w:eastAsia="仿宋_GB2312" w:cs="仿宋_GB2312"/>
          <w:color w:val="auto"/>
          <w:sz w:val="32"/>
          <w:szCs w:val="32"/>
          <w:lang w:eastAsia="zh-CN"/>
        </w:rPr>
        <w:t>需求</w:t>
      </w:r>
      <w:r>
        <w:rPr>
          <w:rFonts w:ascii="仿宋_GB2312" w:hAnsi="仿宋_GB2312" w:eastAsia="仿宋_GB2312" w:cs="仿宋_GB2312"/>
          <w:color w:val="auto"/>
          <w:sz w:val="32"/>
          <w:szCs w:val="32"/>
          <w:lang w:eastAsia="zh-CN"/>
        </w:rPr>
        <w:t>评估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服务设计</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服务执行</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服务成效等方面进行评估。</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color w:val="auto"/>
          <w:sz w:val="32"/>
          <w:szCs w:val="32"/>
        </w:rPr>
      </w:pPr>
      <w:r>
        <w:rPr>
          <w:rFonts w:hint="eastAsia" w:ascii="仿宋_GB2312" w:eastAsia="仿宋_GB2312"/>
          <w:b/>
          <w:color w:val="auto"/>
          <w:sz w:val="32"/>
          <w:szCs w:val="32"/>
          <w:lang w:val="en-US"/>
        </w:rPr>
        <w:t>3.</w:t>
      </w:r>
      <w:r>
        <w:rPr>
          <w:rFonts w:hint="eastAsia" w:ascii="仿宋_GB2312" w:eastAsia="仿宋_GB2312"/>
          <w:b/>
          <w:color w:val="auto"/>
          <w:sz w:val="32"/>
          <w:szCs w:val="32"/>
        </w:rPr>
        <w:t>利益相关方满意度及知晓度访谈：</w:t>
      </w:r>
      <w:r>
        <w:rPr>
          <w:rFonts w:hint="eastAsia" w:ascii="仿宋_GB2312" w:eastAsia="仿宋_GB2312"/>
          <w:color w:val="auto"/>
          <w:sz w:val="32"/>
          <w:szCs w:val="32"/>
        </w:rPr>
        <w:t>服务对象满意度主要由评估机构统筹实施，通过电访、走访、调查问卷等方式进行，随机抽取不少于100名服务对象开展满意度调查（困难群众和特殊群体总人数低于100的，按照实际人数开展全覆盖满意度调查）。</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ascii="仿宋_GB2312" w:hAnsi="仿宋_GB2312" w:eastAsia="PMingLiU"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.收集整理相关方反馈</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rPr>
        <w:t>收集整理相关方意见反馈</w:t>
      </w:r>
      <w:r>
        <w:rPr>
          <w:rFonts w:hint="eastAsia" w:ascii="仿宋_GB2312" w:hAnsi="仿宋_GB2312" w:eastAsia="仿宋_GB2312" w:cs="仿宋_GB2312"/>
          <w:color w:val="auto"/>
          <w:sz w:val="32"/>
          <w:szCs w:val="32"/>
          <w:lang w:eastAsia="zh-CN"/>
        </w:rPr>
        <w:t>，包括</w:t>
      </w:r>
      <w:r>
        <w:rPr>
          <w:rFonts w:hint="eastAsia" w:ascii="仿宋_GB2312" w:hAnsi="仿宋_GB2312" w:eastAsia="仿宋_GB2312" w:cs="仿宋_GB2312"/>
          <w:color w:val="auto"/>
          <w:sz w:val="32"/>
          <w:szCs w:val="32"/>
        </w:rPr>
        <w:t>购买方</w:t>
      </w:r>
      <w:r>
        <w:rPr>
          <w:rFonts w:hint="eastAsia" w:ascii="仿宋_GB2312" w:hAnsi="仿宋_GB2312" w:eastAsia="仿宋_GB2312" w:cs="仿宋_GB2312"/>
          <w:color w:val="auto"/>
          <w:sz w:val="32"/>
          <w:szCs w:val="32"/>
          <w:lang w:eastAsia="zh-CN"/>
        </w:rPr>
        <w:t>对社工站项目作用发挥情况的综合评价</w:t>
      </w:r>
      <w:r>
        <w:rPr>
          <w:rFonts w:hint="eastAsia" w:ascii="仿宋_GB2312" w:hAnsi="仿宋_GB2312" w:eastAsia="仿宋_GB2312" w:cs="仿宋_GB2312"/>
          <w:color w:val="auto"/>
          <w:sz w:val="32"/>
          <w:szCs w:val="32"/>
        </w:rPr>
        <w:t>，监督方番禺区民政局</w:t>
      </w:r>
      <w:r>
        <w:rPr>
          <w:rFonts w:hint="eastAsia" w:ascii="仿宋_GB2312" w:hAnsi="仿宋_GB2312" w:eastAsia="仿宋_GB2312" w:cs="仿宋_GB2312"/>
          <w:color w:val="auto"/>
          <w:sz w:val="32"/>
          <w:szCs w:val="32"/>
          <w:lang w:eastAsia="zh-CN"/>
        </w:rPr>
        <w:t>对社工站项目的自查自纠检查情况、督查整改落实情况的综合评价，以及</w:t>
      </w:r>
      <w:r>
        <w:rPr>
          <w:rFonts w:hint="eastAsia" w:ascii="仿宋_GB2312" w:hAnsi="仿宋_GB2312" w:eastAsia="仿宋_GB2312" w:cs="仿宋_GB2312"/>
          <w:color w:val="auto"/>
          <w:sz w:val="32"/>
          <w:szCs w:val="32"/>
        </w:rPr>
        <w:t>督导中心</w:t>
      </w:r>
      <w:r>
        <w:rPr>
          <w:rFonts w:hint="eastAsia" w:ascii="仿宋_GB2312" w:hAnsi="仿宋_GB2312" w:eastAsia="仿宋_GB2312" w:cs="仿宋_GB2312"/>
          <w:color w:val="auto"/>
          <w:sz w:val="32"/>
          <w:szCs w:val="32"/>
          <w:lang w:eastAsia="zh-CN"/>
        </w:rPr>
        <w:t>对服务质量保障方面情况的综合评价。</w:t>
      </w:r>
    </w:p>
    <w:p>
      <w:pPr>
        <w:pStyle w:val="11"/>
        <w:keepNext w:val="0"/>
        <w:keepLines w:val="0"/>
        <w:pageBreakBefore w:val="0"/>
        <w:widowControl w:val="0"/>
        <w:kinsoku/>
        <w:wordWrap/>
        <w:overflowPunct/>
        <w:topLinePunct w:val="0"/>
        <w:autoSpaceDE/>
        <w:autoSpaceDN/>
        <w:bidi w:val="0"/>
        <w:adjustRightInd/>
        <w:snapToGrid/>
        <w:spacing w:after="0" w:line="540" w:lineRule="exact"/>
        <w:ind w:left="480" w:leftChars="200" w:firstLine="0"/>
        <w:jc w:val="both"/>
        <w:textAlignment w:val="auto"/>
        <w:rPr>
          <w:rFonts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评估结果说明</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w:t>
      </w:r>
      <w:r>
        <w:rPr>
          <w:rFonts w:hint="eastAsia" w:ascii="仿宋_GB2312" w:eastAsia="仿宋_GB2312"/>
          <w:sz w:val="32"/>
          <w:szCs w:val="32"/>
          <w:lang w:eastAsia="zh-CN"/>
        </w:rPr>
        <w:t>及其</w:t>
      </w:r>
      <w:r>
        <w:rPr>
          <w:rFonts w:hint="eastAsia" w:ascii="仿宋_GB2312" w:eastAsia="仿宋_GB2312"/>
          <w:sz w:val="32"/>
          <w:szCs w:val="32"/>
        </w:rPr>
        <w:t>以上为优秀，80分至90分（不含90分）为良好</w:t>
      </w:r>
      <w:r>
        <w:rPr>
          <w:rFonts w:hint="eastAsia" w:ascii="仿宋_GB2312" w:eastAsia="仿宋_GB2312"/>
          <w:sz w:val="32"/>
          <w:szCs w:val="32"/>
          <w:lang w:eastAsia="zh-CN"/>
        </w:rPr>
        <w:t>，</w:t>
      </w:r>
      <w:r>
        <w:rPr>
          <w:rFonts w:hint="eastAsia" w:ascii="仿宋_GB2312" w:eastAsia="仿宋_GB2312"/>
          <w:sz w:val="32"/>
          <w:szCs w:val="32"/>
        </w:rPr>
        <w:t>60分至80分（不含80分）为合格，60分以下（不含60分）为不合格。评估中若发现有下列情形之一的，评估结果也定为不合格：</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（一）保洁、安保等人员占用社工名额的；</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二）社工人员配备不足的，其中，项目配备10名及以上社工的，中期评估累计缺少5人次及以上，末期评估累计缺少10人次及以上；项目配备10名以下社工的，中期评估累计缺少3人次及以上，末期评估累计缺少6人次及以上；</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（三）持证社工比例不达标的；</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（四）年度服务期内人员费用支出比例低于80%的；</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（五）限期内整改不及时、不到位的；</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（六）专业评估结果为不合格的；</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（七）财务评估结果为不合格的；</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（八）违反国家法律法规及有关规定的其他情形，情节严重的。</w:t>
      </w:r>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3" w:firstLineChars="200"/>
        <w:jc w:val="both"/>
        <w:textAlignment w:val="auto"/>
        <w:rPr>
          <w:rFonts w:ascii="方正小标宋简体" w:eastAsia="方正小标宋简体"/>
          <w:b/>
          <w:sz w:val="32"/>
          <w:szCs w:val="32"/>
          <w:lang w:val="en-US"/>
        </w:rPr>
      </w:pPr>
      <w:r>
        <w:rPr>
          <w:rFonts w:hint="eastAsia" w:ascii="方正小标宋简体" w:eastAsia="方正小标宋简体"/>
          <w:b/>
          <w:sz w:val="32"/>
          <w:szCs w:val="32"/>
          <w:lang w:val="en-US"/>
        </w:rPr>
        <w:t>二、评估总结</w:t>
      </w:r>
    </w:p>
    <w:p>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（―）社工站基本情况</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石碁镇</w:t>
      </w:r>
      <w:r>
        <w:rPr>
          <w:rFonts w:hint="eastAsia" w:ascii="仿宋_GB2312" w:eastAsia="仿宋_GB2312"/>
          <w:sz w:val="32"/>
          <w:szCs w:val="32"/>
        </w:rPr>
        <w:t>社工站位于</w:t>
      </w:r>
      <w:r>
        <w:rPr>
          <w:rFonts w:hint="eastAsia" w:ascii="仿宋_GB2312" w:eastAsia="仿宋_GB2312"/>
          <w:sz w:val="32"/>
          <w:szCs w:val="32"/>
          <w:lang w:eastAsia="zh-CN"/>
        </w:rPr>
        <w:t>石碁镇深坑大街一号一楼</w:t>
      </w:r>
      <w:r>
        <w:rPr>
          <w:rFonts w:hint="eastAsia" w:ascii="仿宋_GB2312" w:eastAsia="仿宋_GB2312"/>
          <w:sz w:val="32"/>
          <w:szCs w:val="32"/>
        </w:rPr>
        <w:t>，20</w:t>
      </w:r>
      <w:r>
        <w:rPr>
          <w:rFonts w:hint="eastAsia" w:ascii="仿宋_GB2312" w:eastAsia="仿宋_GB2312"/>
          <w:sz w:val="32"/>
          <w:szCs w:val="32"/>
          <w:lang w:val="en-US" w:eastAsia="zh-CN"/>
        </w:rPr>
        <w:t>24</w:t>
      </w:r>
      <w:r>
        <w:rPr>
          <w:rFonts w:hint="eastAsia" w:ascii="仿宋_GB2312" w:eastAsia="仿宋_GB2312"/>
          <w:sz w:val="32"/>
          <w:szCs w:val="32"/>
        </w:rPr>
        <w:t>年</w:t>
      </w:r>
      <w:r>
        <w:rPr>
          <w:rFonts w:hint="eastAsia" w:ascii="仿宋_GB2312" w:eastAsia="仿宋_GB2312"/>
          <w:sz w:val="32"/>
          <w:szCs w:val="32"/>
          <w:lang w:val="en-US" w:eastAsia="zh-CN"/>
        </w:rPr>
        <w:t>8</w:t>
      </w:r>
      <w:r>
        <w:rPr>
          <w:rFonts w:hint="eastAsia" w:ascii="仿宋_GB2312" w:eastAsia="仿宋_GB2312"/>
          <w:sz w:val="32"/>
          <w:szCs w:val="32"/>
        </w:rPr>
        <w:t>月，由</w:t>
      </w:r>
      <w:r>
        <w:rPr>
          <w:rFonts w:hint="eastAsia" w:ascii="仿宋_GB2312" w:eastAsia="仿宋_GB2312"/>
          <w:sz w:val="32"/>
          <w:szCs w:val="32"/>
          <w:lang w:val="en-US" w:eastAsia="zh-CN"/>
        </w:rPr>
        <w:t>广州市阳光天使社会工作服务中心负责运营</w:t>
      </w:r>
      <w:r>
        <w:rPr>
          <w:rFonts w:hint="eastAsia" w:ascii="仿宋_GB2312" w:eastAsia="仿宋_GB2312"/>
          <w:sz w:val="32"/>
          <w:szCs w:val="32"/>
        </w:rPr>
        <w:t>。</w:t>
      </w:r>
      <w:r>
        <w:rPr>
          <w:rFonts w:hint="eastAsia" w:ascii="仿宋_GB2312" w:eastAsia="仿宋_GB2312"/>
          <w:sz w:val="32"/>
          <w:szCs w:val="32"/>
          <w:lang w:eastAsia="zh-CN"/>
        </w:rPr>
        <w:t>石碁镇</w:t>
      </w:r>
      <w:r>
        <w:rPr>
          <w:rFonts w:hint="eastAsia" w:ascii="仿宋_GB2312" w:eastAsia="仿宋_GB2312"/>
          <w:sz w:val="32"/>
          <w:szCs w:val="32"/>
        </w:rPr>
        <w:t>社工站主要服务包括：党建引领服务、兜底性民生服务、基础性民生服务、普惠性民生服务四大板块。</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截至</w:t>
      </w:r>
      <w:r>
        <w:rPr>
          <w:rFonts w:hint="eastAsia" w:ascii="仿宋_GB2312" w:eastAsia="仿宋_GB2312"/>
          <w:sz w:val="32"/>
          <w:szCs w:val="32"/>
          <w:lang w:eastAsia="zh-CN"/>
        </w:rPr>
        <w:t>202</w:t>
      </w:r>
      <w:r>
        <w:rPr>
          <w:rFonts w:hint="eastAsia" w:ascii="仿宋_GB2312" w:eastAsia="仿宋_GB2312"/>
          <w:sz w:val="32"/>
          <w:szCs w:val="32"/>
          <w:lang w:val="en-US" w:eastAsia="zh-CN"/>
        </w:rPr>
        <w:t>5</w:t>
      </w:r>
      <w:r>
        <w:rPr>
          <w:rFonts w:hint="eastAsia" w:ascii="仿宋_GB2312" w:eastAsia="仿宋_GB2312"/>
          <w:sz w:val="32"/>
          <w:szCs w:val="32"/>
          <w:lang w:eastAsia="zh-CN"/>
        </w:rPr>
        <w:t>年</w:t>
      </w:r>
      <w:r>
        <w:rPr>
          <w:rFonts w:hint="eastAsia" w:ascii="仿宋_GB2312" w:eastAsia="仿宋_GB2312"/>
          <w:sz w:val="32"/>
          <w:szCs w:val="32"/>
          <w:lang w:val="en-US" w:eastAsia="zh-CN"/>
        </w:rPr>
        <w:t>7</w:t>
      </w:r>
      <w:r>
        <w:rPr>
          <w:rFonts w:hint="eastAsia" w:ascii="仿宋_GB2312" w:eastAsia="仿宋_GB2312"/>
          <w:sz w:val="32"/>
          <w:szCs w:val="32"/>
          <w:lang w:eastAsia="zh-CN"/>
        </w:rPr>
        <w:t>月</w:t>
      </w:r>
      <w:r>
        <w:rPr>
          <w:rFonts w:hint="eastAsia" w:ascii="仿宋_GB2312" w:hAnsi="Times New Roman" w:eastAsia="仿宋_GB2312" w:cs="Times New Roman"/>
          <w:sz w:val="32"/>
          <w:szCs w:val="32"/>
          <w:lang w:val="en-US" w:eastAsia="zh-CN" w:bidi="en-US"/>
        </w:rPr>
        <w:t xml:space="preserve"> ，</w:t>
      </w:r>
      <w:r>
        <w:rPr>
          <w:rFonts w:hint="eastAsia" w:ascii="仿宋_GB2312" w:eastAsia="仿宋_GB2312"/>
          <w:sz w:val="32"/>
          <w:szCs w:val="32"/>
        </w:rPr>
        <w:t>社工站配备工作人员</w:t>
      </w:r>
      <w:r>
        <w:rPr>
          <w:rFonts w:hint="eastAsia" w:ascii="仿宋_GB2312" w:eastAsia="仿宋_GB2312"/>
          <w:sz w:val="32"/>
          <w:szCs w:val="32"/>
          <w:lang w:val="en-US" w:eastAsia="zh-CN"/>
        </w:rPr>
        <w:t>21</w:t>
      </w:r>
      <w:r>
        <w:rPr>
          <w:rFonts w:hint="eastAsia" w:ascii="仿宋_GB2312" w:eastAsia="仿宋_GB2312"/>
          <w:sz w:val="32"/>
          <w:szCs w:val="32"/>
        </w:rPr>
        <w:t>名，其</w:t>
      </w:r>
      <w:r>
        <w:rPr>
          <w:rFonts w:hint="eastAsia" w:ascii="仿宋_GB2312" w:eastAsia="仿宋_GB2312"/>
          <w:sz w:val="32"/>
          <w:szCs w:val="32"/>
          <w:lang w:eastAsia="zh-CN"/>
        </w:rPr>
        <w:t>中</w:t>
      </w:r>
      <w:r>
        <w:rPr>
          <w:rFonts w:hint="eastAsia" w:ascii="仿宋_GB2312" w:eastAsia="仿宋_GB2312"/>
          <w:sz w:val="32"/>
          <w:szCs w:val="32"/>
        </w:rPr>
        <w:t>社工专业人员</w:t>
      </w:r>
      <w:r>
        <w:rPr>
          <w:rFonts w:hint="eastAsia" w:ascii="仿宋_GB2312" w:eastAsia="仿宋_GB2312"/>
          <w:sz w:val="32"/>
          <w:szCs w:val="32"/>
          <w:lang w:val="en-US" w:eastAsia="zh-CN"/>
        </w:rPr>
        <w:t>16</w:t>
      </w:r>
      <w:r>
        <w:rPr>
          <w:rFonts w:hint="eastAsia" w:ascii="仿宋_GB2312" w:eastAsia="仿宋_GB2312"/>
          <w:sz w:val="32"/>
          <w:szCs w:val="32"/>
        </w:rPr>
        <w:t>名（</w:t>
      </w:r>
      <w:r>
        <w:rPr>
          <w:rFonts w:hint="eastAsia" w:ascii="仿宋_GB2312" w:eastAsia="仿宋_GB2312"/>
          <w:sz w:val="32"/>
          <w:szCs w:val="32"/>
          <w:lang w:val="en-US" w:eastAsia="zh-CN"/>
        </w:rPr>
        <w:t>6</w:t>
      </w:r>
      <w:r>
        <w:rPr>
          <w:rFonts w:hint="eastAsia" w:ascii="仿宋_GB2312" w:eastAsia="仿宋_GB2312"/>
          <w:sz w:val="32"/>
          <w:szCs w:val="32"/>
        </w:rPr>
        <w:t>名</w:t>
      </w:r>
      <w:r>
        <w:rPr>
          <w:rFonts w:hint="eastAsia" w:ascii="仿宋_GB2312" w:eastAsia="仿宋_GB2312"/>
          <w:sz w:val="32"/>
          <w:szCs w:val="32"/>
          <w:lang w:eastAsia="zh-CN"/>
        </w:rPr>
        <w:t>中</w:t>
      </w:r>
      <w:r>
        <w:rPr>
          <w:rFonts w:hint="eastAsia" w:ascii="仿宋_GB2312" w:eastAsia="仿宋_GB2312"/>
          <w:sz w:val="32"/>
          <w:szCs w:val="32"/>
        </w:rPr>
        <w:t>级社工师，</w:t>
      </w:r>
      <w:r>
        <w:rPr>
          <w:rFonts w:hint="eastAsia" w:ascii="仿宋_GB2312" w:eastAsia="仿宋_GB2312"/>
          <w:sz w:val="32"/>
          <w:szCs w:val="32"/>
          <w:lang w:val="en-US" w:eastAsia="zh-CN"/>
        </w:rPr>
        <w:t>10</w:t>
      </w:r>
      <w:r>
        <w:rPr>
          <w:rFonts w:hint="eastAsia" w:ascii="仿宋_GB2312" w:eastAsia="仿宋_GB2312"/>
          <w:sz w:val="32"/>
          <w:szCs w:val="32"/>
        </w:rPr>
        <w:t>名助理社工师），</w:t>
      </w:r>
      <w:r>
        <w:rPr>
          <w:rFonts w:hint="eastAsia" w:ascii="仿宋_GB2312" w:eastAsia="仿宋_GB2312"/>
          <w:sz w:val="32"/>
          <w:szCs w:val="32"/>
          <w:lang w:eastAsia="zh-CN"/>
        </w:rPr>
        <w:t>相关专业人员</w:t>
      </w:r>
      <w:r>
        <w:rPr>
          <w:rFonts w:hint="eastAsia" w:ascii="仿宋_GB2312" w:eastAsia="仿宋_GB2312"/>
          <w:sz w:val="32"/>
          <w:szCs w:val="32"/>
          <w:lang w:val="en-US" w:eastAsia="zh-CN"/>
        </w:rPr>
        <w:t>1名，其他</w:t>
      </w:r>
      <w:r>
        <w:rPr>
          <w:rFonts w:hint="eastAsia" w:ascii="仿宋_GB2312" w:eastAsia="仿宋_GB2312"/>
          <w:sz w:val="32"/>
          <w:szCs w:val="32"/>
        </w:rPr>
        <w:t>人员</w:t>
      </w:r>
      <w:r>
        <w:rPr>
          <w:rFonts w:hint="eastAsia" w:ascii="仿宋_GB2312" w:eastAsia="仿宋_GB2312"/>
          <w:sz w:val="32"/>
          <w:szCs w:val="32"/>
          <w:lang w:val="en-US" w:eastAsia="zh-CN"/>
        </w:rPr>
        <w:t>4</w:t>
      </w:r>
      <w:r>
        <w:rPr>
          <w:rFonts w:hint="eastAsia" w:ascii="仿宋_GB2312" w:eastAsia="仿宋_GB2312"/>
          <w:sz w:val="32"/>
          <w:szCs w:val="32"/>
        </w:rPr>
        <w:t>名。此外，社工站配备督导</w:t>
      </w:r>
      <w:r>
        <w:rPr>
          <w:rFonts w:hint="eastAsia" w:ascii="仿宋_GB2312" w:eastAsia="仿宋_GB2312"/>
          <w:sz w:val="32"/>
          <w:szCs w:val="32"/>
          <w:lang w:val="en-US" w:eastAsia="zh-CN"/>
        </w:rPr>
        <w:t>2</w:t>
      </w:r>
      <w:r>
        <w:rPr>
          <w:rFonts w:hint="eastAsia" w:ascii="仿宋_GB2312" w:eastAsia="仿宋_GB2312"/>
          <w:sz w:val="32"/>
          <w:szCs w:val="32"/>
        </w:rPr>
        <w:t>名</w:t>
      </w:r>
      <w:r>
        <w:rPr>
          <w:rFonts w:hint="eastAsia" w:ascii="仿宋_GB2312" w:eastAsia="仿宋_GB2312"/>
          <w:sz w:val="32"/>
          <w:szCs w:val="32"/>
          <w:lang w:eastAsia="zh-CN"/>
        </w:rPr>
        <w:t>，</w:t>
      </w:r>
      <w:r>
        <w:rPr>
          <w:rFonts w:hint="eastAsia" w:ascii="仿宋_GB2312" w:eastAsia="仿宋_GB2312"/>
          <w:sz w:val="32"/>
          <w:szCs w:val="32"/>
        </w:rPr>
        <w:t>从事社会服务</w:t>
      </w:r>
      <w:r>
        <w:rPr>
          <w:rFonts w:hint="eastAsia" w:ascii="仿宋_GB2312" w:hAnsi="Times New Roman" w:eastAsia="仿宋_GB2312" w:cs="Times New Roman"/>
          <w:sz w:val="32"/>
          <w:szCs w:val="32"/>
          <w:lang w:val="en-US" w:eastAsia="zh-CN"/>
        </w:rPr>
        <w:t>9</w:t>
      </w:r>
      <w:r>
        <w:rPr>
          <w:rFonts w:hint="eastAsia" w:ascii="仿宋_GB2312" w:eastAsia="仿宋_GB2312"/>
          <w:sz w:val="32"/>
          <w:szCs w:val="32"/>
        </w:rPr>
        <w:t>年以上。</w:t>
      </w:r>
    </w:p>
    <w:p>
      <w:pPr>
        <w:pStyle w:val="11"/>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sz w:val="32"/>
          <w:szCs w:val="32"/>
        </w:rPr>
      </w:pPr>
      <w:r>
        <w:rPr>
          <w:rFonts w:hint="eastAsia" w:ascii="仿宋_GB2312" w:eastAsia="仿宋_GB2312"/>
          <w:sz w:val="32"/>
          <w:szCs w:val="32"/>
        </w:rPr>
        <w:t>社工站</w:t>
      </w:r>
      <w:r>
        <w:rPr>
          <w:rFonts w:hint="eastAsia" w:ascii="仿宋_GB2312" w:eastAsia="仿宋_GB2312"/>
          <w:sz w:val="32"/>
          <w:szCs w:val="32"/>
          <w:lang w:val="en-US" w:eastAsia="zh-CN"/>
        </w:rPr>
        <w:t>评估期限内</w:t>
      </w:r>
      <w:r>
        <w:rPr>
          <w:rFonts w:hint="eastAsia" w:ascii="仿宋_GB2312" w:eastAsia="仿宋_GB2312"/>
          <w:sz w:val="32"/>
          <w:szCs w:val="32"/>
        </w:rPr>
        <w:t>服务经费为</w:t>
      </w:r>
      <w:r>
        <w:rPr>
          <w:rFonts w:hint="eastAsia" w:ascii="仿宋_GB2312" w:eastAsia="仿宋_GB2312"/>
          <w:sz w:val="32"/>
          <w:szCs w:val="32"/>
          <w:lang w:val="en-US" w:eastAsia="zh-CN"/>
        </w:rPr>
        <w:t>232.27</w:t>
      </w:r>
      <w:r>
        <w:rPr>
          <w:rFonts w:hint="eastAsia" w:ascii="仿宋_GB2312" w:eastAsia="仿宋_GB2312"/>
          <w:sz w:val="32"/>
          <w:szCs w:val="32"/>
        </w:rPr>
        <w:t>万元，</w:t>
      </w:r>
      <w:r>
        <w:rPr>
          <w:rFonts w:hint="eastAsia" w:ascii="仿宋_GB2312" w:eastAsia="仿宋_GB2312"/>
          <w:sz w:val="32"/>
          <w:szCs w:val="32"/>
          <w:lang w:val="en-US" w:eastAsia="zh-CN"/>
        </w:rPr>
        <w:t>评估</w:t>
      </w:r>
      <w:r>
        <w:rPr>
          <w:rFonts w:hint="eastAsia" w:ascii="仿宋_GB2312" w:eastAsia="仿宋_GB2312"/>
          <w:sz w:val="32"/>
          <w:szCs w:val="32"/>
        </w:rPr>
        <w:t>项目合同期为</w:t>
      </w:r>
      <w:r>
        <w:rPr>
          <w:rFonts w:hint="eastAsia"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4</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24</w:t>
      </w:r>
      <w:r>
        <w:rPr>
          <w:rFonts w:hint="eastAsia" w:ascii="仿宋_GB2312" w:hAnsi="Times New Roman" w:eastAsia="仿宋_GB2312" w:cs="Times New Roman"/>
          <w:sz w:val="32"/>
          <w:szCs w:val="32"/>
        </w:rPr>
        <w:t>日至202</w:t>
      </w:r>
      <w:r>
        <w:rPr>
          <w:rFonts w:hint="eastAsia" w:ascii="仿宋_GB2312" w:hAnsi="Times New Roman" w:eastAsia="仿宋_GB2312" w:cs="Times New Roman"/>
          <w:sz w:val="32"/>
          <w:szCs w:val="32"/>
          <w:lang w:val="en-US" w:eastAsia="zh-CN"/>
        </w:rPr>
        <w:t>5</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23</w:t>
      </w:r>
      <w:r>
        <w:rPr>
          <w:rFonts w:hint="eastAsia" w:ascii="仿宋_GB2312" w:hAnsi="Times New Roman" w:eastAsia="仿宋_GB2312" w:cs="Times New Roman"/>
          <w:sz w:val="32"/>
          <w:szCs w:val="32"/>
        </w:rPr>
        <w:t>日</w:t>
      </w:r>
      <w:r>
        <w:rPr>
          <w:rFonts w:hint="eastAsia" w:ascii="仿宋_GB2312" w:eastAsia="仿宋_GB2312"/>
          <w:sz w:val="32"/>
          <w:szCs w:val="32"/>
        </w:rPr>
        <w:t>。</w:t>
      </w:r>
      <w:r>
        <w:rPr>
          <w:rFonts w:hint="eastAsia" w:ascii="仿宋_GB2312" w:eastAsia="仿宋_GB2312"/>
          <w:color w:val="auto"/>
          <w:sz w:val="32"/>
          <w:szCs w:val="32"/>
        </w:rPr>
        <w:t>本次考核期为2024年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24</w:t>
      </w:r>
      <w:r>
        <w:rPr>
          <w:rFonts w:hint="eastAsia" w:ascii="仿宋_GB2312" w:eastAsia="仿宋_GB2312"/>
          <w:color w:val="auto"/>
          <w:sz w:val="32"/>
          <w:szCs w:val="32"/>
        </w:rPr>
        <w:t>日——202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7</w:t>
      </w:r>
      <w:r>
        <w:rPr>
          <w:rFonts w:hint="eastAsia" w:ascii="仿宋_GB2312" w:eastAsia="仿宋_GB2312"/>
          <w:color w:val="auto"/>
          <w:sz w:val="32"/>
          <w:szCs w:val="32"/>
        </w:rPr>
        <w:t>月31日，考核</w:t>
      </w:r>
      <w:r>
        <w:rPr>
          <w:rFonts w:hint="eastAsia" w:ascii="仿宋_GB2312" w:eastAsia="仿宋_GB2312"/>
          <w:color w:val="auto"/>
          <w:sz w:val="32"/>
          <w:szCs w:val="32"/>
          <w:lang w:val="en-US" w:eastAsia="zh-CN"/>
        </w:rPr>
        <w:t>11</w:t>
      </w:r>
      <w:r>
        <w:rPr>
          <w:rFonts w:hint="eastAsia" w:ascii="仿宋_GB2312" w:eastAsia="仿宋_GB2312"/>
          <w:color w:val="auto"/>
          <w:sz w:val="32"/>
          <w:szCs w:val="32"/>
        </w:rPr>
        <w:t>个月。</w:t>
      </w:r>
    </w:p>
    <w:p>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（二）各项目服务进度情况</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Times New Roman" w:eastAsia="仿宋_GB2312" w:cs="Times New Roman"/>
          <w:sz w:val="32"/>
          <w:szCs w:val="32"/>
          <w:lang w:val="en-US" w:eastAsia="zh-CN" w:bidi="zh-CN"/>
        </w:rPr>
      </w:pPr>
      <w:r>
        <w:rPr>
          <w:rFonts w:hint="eastAsia" w:ascii="仿宋_GB2312" w:eastAsia="仿宋_GB2312"/>
          <w:sz w:val="32"/>
          <w:szCs w:val="32"/>
        </w:rPr>
        <w:t>社工站共完成家访</w:t>
      </w:r>
      <w:r>
        <w:rPr>
          <w:rFonts w:hint="eastAsia" w:ascii="仿宋_GB2312" w:eastAsia="仿宋_GB2312"/>
          <w:sz w:val="32"/>
          <w:szCs w:val="32"/>
          <w:lang w:val="en-US" w:eastAsia="zh-CN"/>
        </w:rPr>
        <w:t>8119</w:t>
      </w:r>
      <w:r>
        <w:rPr>
          <w:rFonts w:hint="eastAsia" w:ascii="仿宋_GB2312" w:eastAsia="仿宋_GB2312"/>
          <w:sz w:val="32"/>
          <w:szCs w:val="32"/>
          <w:lang w:eastAsia="zh-CN"/>
        </w:rPr>
        <w:t>人次</w:t>
      </w:r>
      <w:r>
        <w:rPr>
          <w:rFonts w:hint="eastAsia" w:ascii="仿宋_GB2312" w:eastAsia="仿宋_GB2312"/>
          <w:sz w:val="32"/>
          <w:szCs w:val="32"/>
        </w:rPr>
        <w:t>，电访</w:t>
      </w:r>
      <w:r>
        <w:rPr>
          <w:rFonts w:hint="eastAsia" w:ascii="仿宋_GB2312" w:eastAsia="仿宋_GB2312"/>
          <w:sz w:val="32"/>
          <w:szCs w:val="32"/>
          <w:lang w:val="en-US" w:eastAsia="zh-CN"/>
        </w:rPr>
        <w:t>6784人次，分别</w:t>
      </w:r>
      <w:r>
        <w:rPr>
          <w:rFonts w:hint="eastAsia" w:ascii="仿宋_GB2312" w:eastAsia="仿宋_GB2312"/>
          <w:sz w:val="32"/>
          <w:szCs w:val="32"/>
        </w:rPr>
        <w:t>完成协议指标量的</w:t>
      </w:r>
      <w:r>
        <w:rPr>
          <w:rFonts w:hint="eastAsia" w:ascii="仿宋_GB2312" w:eastAsia="仿宋_GB2312"/>
          <w:sz w:val="32"/>
          <w:szCs w:val="32"/>
          <w:lang w:val="en-US" w:eastAsia="zh-CN"/>
        </w:rPr>
        <w:t>231.97</w:t>
      </w:r>
      <w:r>
        <w:rPr>
          <w:rFonts w:hint="eastAsia" w:ascii="仿宋_GB2312" w:hAnsi="Times New Roman" w:eastAsia="仿宋_GB2312" w:cs="Times New Roman"/>
          <w:sz w:val="32"/>
          <w:szCs w:val="32"/>
        </w:rPr>
        <w:t>%</w:t>
      </w:r>
      <w:r>
        <w:rPr>
          <w:rFonts w:hint="eastAsia" w:ascii="仿宋_GB2312" w:eastAsia="仿宋_GB2312"/>
          <w:sz w:val="32"/>
          <w:szCs w:val="32"/>
        </w:rPr>
        <w:t>、</w:t>
      </w:r>
      <w:r>
        <w:rPr>
          <w:rFonts w:hint="eastAsia" w:ascii="仿宋_GB2312" w:eastAsia="仿宋_GB2312"/>
          <w:sz w:val="32"/>
          <w:szCs w:val="32"/>
          <w:lang w:val="en-US" w:eastAsia="zh-CN"/>
        </w:rPr>
        <w:t>193.83%</w:t>
      </w:r>
      <w:r>
        <w:rPr>
          <w:rFonts w:hint="eastAsia" w:ascii="仿宋_GB2312" w:hAnsi="Times New Roman" w:eastAsia="仿宋_GB2312" w:cs="Times New Roman"/>
          <w:sz w:val="32"/>
          <w:szCs w:val="32"/>
          <w:lang w:eastAsia="zh-CN"/>
        </w:rPr>
        <w:t>；</w:t>
      </w:r>
      <w:r>
        <w:rPr>
          <w:rFonts w:hint="eastAsia" w:ascii="仿宋_GB2312" w:eastAsia="仿宋_GB2312"/>
          <w:sz w:val="32"/>
          <w:szCs w:val="32"/>
        </w:rPr>
        <w:t>个案接案</w:t>
      </w:r>
      <w:r>
        <w:rPr>
          <w:rFonts w:hint="eastAsia" w:ascii="仿宋_GB2312" w:eastAsia="仿宋_GB2312"/>
          <w:sz w:val="32"/>
          <w:szCs w:val="32"/>
          <w:lang w:val="en-US" w:eastAsia="zh-CN"/>
        </w:rPr>
        <w:t>29</w:t>
      </w:r>
      <w:r>
        <w:rPr>
          <w:rFonts w:hint="eastAsia" w:ascii="仿宋_GB2312" w:eastAsia="仿宋_GB2312"/>
          <w:sz w:val="32"/>
          <w:szCs w:val="32"/>
        </w:rPr>
        <w:t>个，</w:t>
      </w:r>
      <w:r>
        <w:rPr>
          <w:rFonts w:hint="eastAsia" w:ascii="仿宋_GB2312" w:eastAsia="仿宋_GB2312"/>
          <w:sz w:val="32"/>
          <w:szCs w:val="32"/>
          <w:lang w:val="en-US" w:eastAsia="zh-CN"/>
        </w:rPr>
        <w:t>226节，分别</w:t>
      </w:r>
      <w:r>
        <w:rPr>
          <w:rFonts w:hint="eastAsia" w:ascii="仿宋_GB2312" w:eastAsia="仿宋_GB2312"/>
          <w:sz w:val="32"/>
          <w:szCs w:val="32"/>
        </w:rPr>
        <w:t>完成协议指标量的</w:t>
      </w:r>
      <w:r>
        <w:rPr>
          <w:rFonts w:hint="eastAsia" w:ascii="仿宋_GB2312" w:eastAsia="仿宋_GB2312"/>
          <w:sz w:val="32"/>
          <w:szCs w:val="32"/>
          <w:lang w:val="en-US" w:eastAsia="zh-CN"/>
        </w:rPr>
        <w:t>103.57</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w:t>
      </w:r>
      <w:r>
        <w:rPr>
          <w:rFonts w:hint="eastAsia" w:ascii="仿宋_GB2312" w:eastAsia="仿宋_GB2312"/>
          <w:sz w:val="32"/>
          <w:szCs w:val="32"/>
          <w:lang w:val="en-US" w:eastAsia="zh-CN"/>
        </w:rPr>
        <w:t>161.43%</w:t>
      </w:r>
      <w:r>
        <w:rPr>
          <w:rFonts w:hint="eastAsia" w:ascii="仿宋_GB2312" w:hAnsi="Times New Roman" w:eastAsia="仿宋_GB2312" w:cs="Times New Roman"/>
          <w:sz w:val="32"/>
          <w:szCs w:val="32"/>
          <w:lang w:eastAsia="zh-CN"/>
        </w:rPr>
        <w:t>；</w:t>
      </w:r>
      <w:r>
        <w:rPr>
          <w:rFonts w:hint="eastAsia" w:ascii="仿宋_GB2312" w:eastAsia="仿宋_GB2312"/>
          <w:sz w:val="32"/>
          <w:szCs w:val="32"/>
        </w:rPr>
        <w:t>完成小组</w:t>
      </w:r>
      <w:r>
        <w:rPr>
          <w:rFonts w:hint="eastAsia" w:ascii="仿宋_GB2312" w:eastAsia="仿宋_GB2312"/>
          <w:sz w:val="32"/>
          <w:szCs w:val="32"/>
          <w:lang w:val="en-US" w:eastAsia="zh-CN"/>
        </w:rPr>
        <w:t>6</w:t>
      </w:r>
      <w:r>
        <w:rPr>
          <w:rFonts w:hint="eastAsia" w:ascii="仿宋_GB2312" w:eastAsia="仿宋_GB2312"/>
          <w:sz w:val="32"/>
          <w:szCs w:val="32"/>
        </w:rPr>
        <w:t>个，</w:t>
      </w:r>
      <w:r>
        <w:rPr>
          <w:rFonts w:hint="eastAsia" w:ascii="仿宋_GB2312" w:eastAsia="仿宋_GB2312"/>
          <w:sz w:val="32"/>
          <w:szCs w:val="32"/>
          <w:lang w:val="en-US" w:eastAsia="zh-CN"/>
        </w:rPr>
        <w:t>32节，服务294人次，分别</w:t>
      </w:r>
      <w:r>
        <w:rPr>
          <w:rFonts w:hint="eastAsia" w:ascii="仿宋_GB2312" w:eastAsia="仿宋_GB2312"/>
          <w:sz w:val="32"/>
          <w:szCs w:val="32"/>
        </w:rPr>
        <w:t>完成协议指标量的</w:t>
      </w:r>
      <w:r>
        <w:rPr>
          <w:rFonts w:hint="eastAsia" w:ascii="仿宋_GB2312" w:eastAsia="仿宋_GB2312"/>
          <w:sz w:val="32"/>
          <w:szCs w:val="32"/>
          <w:lang w:val="en-US" w:eastAsia="zh-CN"/>
        </w:rPr>
        <w:t>120.00</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rPr>
        <w:t>128.00%、196.00%；</w:t>
      </w:r>
      <w:r>
        <w:rPr>
          <w:rFonts w:hint="eastAsia" w:ascii="仿宋_GB2312" w:eastAsia="仿宋_GB2312"/>
          <w:sz w:val="32"/>
          <w:szCs w:val="32"/>
        </w:rPr>
        <w:t>完成社区活动</w:t>
      </w:r>
      <w:r>
        <w:rPr>
          <w:rFonts w:hint="eastAsia" w:ascii="仿宋_GB2312" w:eastAsia="仿宋_GB2312"/>
          <w:sz w:val="32"/>
          <w:szCs w:val="32"/>
          <w:lang w:val="en-US" w:eastAsia="zh-CN"/>
        </w:rPr>
        <w:t>57</w:t>
      </w:r>
      <w:r>
        <w:rPr>
          <w:rFonts w:hint="eastAsia" w:ascii="仿宋_GB2312" w:eastAsia="仿宋_GB2312"/>
          <w:sz w:val="32"/>
          <w:szCs w:val="32"/>
        </w:rPr>
        <w:t>次，</w:t>
      </w:r>
      <w:r>
        <w:rPr>
          <w:rFonts w:hint="eastAsia" w:ascii="仿宋_GB2312" w:eastAsia="仿宋_GB2312"/>
          <w:sz w:val="32"/>
          <w:szCs w:val="32"/>
          <w:lang w:eastAsia="zh-CN"/>
        </w:rPr>
        <w:t>服务</w:t>
      </w:r>
      <w:r>
        <w:rPr>
          <w:rFonts w:hint="eastAsia" w:ascii="仿宋_GB2312" w:eastAsia="仿宋_GB2312"/>
          <w:sz w:val="32"/>
          <w:szCs w:val="32"/>
          <w:lang w:val="en-US" w:eastAsia="zh-CN"/>
        </w:rPr>
        <w:t>6853人次</w:t>
      </w:r>
      <w:r>
        <w:rPr>
          <w:rFonts w:hint="eastAsia" w:ascii="仿宋_GB2312" w:eastAsia="仿宋_GB2312"/>
          <w:sz w:val="32"/>
          <w:szCs w:val="32"/>
        </w:rPr>
        <w:t>，分别完成协议指标量的</w:t>
      </w:r>
      <w:r>
        <w:rPr>
          <w:rFonts w:hint="eastAsia" w:ascii="仿宋_GB2312" w:eastAsia="仿宋_GB2312"/>
          <w:sz w:val="32"/>
          <w:szCs w:val="32"/>
          <w:lang w:val="en-US" w:eastAsia="zh-CN"/>
        </w:rPr>
        <w:t>237.50</w:t>
      </w:r>
      <w:r>
        <w:rPr>
          <w:rFonts w:hint="eastAsia" w:ascii="仿宋_GB2312" w:hAnsi="Times New Roman" w:eastAsia="仿宋_GB2312" w:cs="Times New Roman"/>
          <w:sz w:val="32"/>
          <w:szCs w:val="32"/>
          <w:lang w:val="zh-CN" w:eastAsia="zh-CN" w:bidi="zh-CN"/>
        </w:rPr>
        <w:t>%</w:t>
      </w:r>
      <w:r>
        <w:rPr>
          <w:rFonts w:hint="eastAsia" w:ascii="仿宋_GB2312" w:eastAsia="仿宋_GB2312"/>
          <w:sz w:val="32"/>
          <w:szCs w:val="32"/>
          <w:lang w:val="zh-CN" w:eastAsia="zh-CN" w:bidi="zh-CN"/>
        </w:rPr>
        <w:t>、</w:t>
      </w:r>
      <w:r>
        <w:rPr>
          <w:rFonts w:hint="eastAsia" w:ascii="仿宋_GB2312" w:eastAsia="仿宋_GB2312"/>
          <w:sz w:val="32"/>
          <w:szCs w:val="32"/>
          <w:lang w:val="en-US" w:eastAsia="zh-CN" w:bidi="zh-CN"/>
        </w:rPr>
        <w:t>1427.71</w:t>
      </w:r>
      <w:r>
        <w:rPr>
          <w:rFonts w:hint="eastAsia" w:ascii="仿宋_GB2312" w:hAnsi="Times New Roman" w:eastAsia="仿宋_GB2312" w:cs="Times New Roman"/>
          <w:sz w:val="32"/>
          <w:szCs w:val="32"/>
          <w:lang w:val="zh-CN" w:eastAsia="zh-CN" w:bidi="zh-CN"/>
        </w:rPr>
        <w:t>%；</w:t>
      </w:r>
      <w:r>
        <w:rPr>
          <w:rFonts w:hint="eastAsia" w:ascii="仿宋_GB2312" w:hAnsi="Times New Roman" w:eastAsia="仿宋_GB2312" w:cs="Times New Roman"/>
          <w:sz w:val="32"/>
          <w:szCs w:val="32"/>
          <w:lang w:val="en-US" w:eastAsia="zh-CN" w:bidi="zh-CN"/>
        </w:rPr>
        <w:t xml:space="preserve">培育志愿者61名，志愿者骨干25名，培育志愿者队伍3支，分别完成指标的122.00%、125.00%、150.00%（以上数据由社工站提供）。 </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从以上数据可知，</w:t>
      </w:r>
      <w:r>
        <w:rPr>
          <w:rFonts w:hint="eastAsia" w:ascii="仿宋_GB2312" w:eastAsia="仿宋_GB2312"/>
          <w:sz w:val="32"/>
          <w:szCs w:val="32"/>
          <w:lang w:eastAsia="zh-CN"/>
        </w:rPr>
        <w:t>石碁镇</w:t>
      </w:r>
      <w:r>
        <w:rPr>
          <w:rFonts w:hint="eastAsia" w:ascii="仿宋_GB2312" w:eastAsia="仿宋_GB2312"/>
          <w:sz w:val="32"/>
          <w:szCs w:val="32"/>
        </w:rPr>
        <w:t>社工站服务指标完成情况良好，在服务进度方面整体把握到位。</w:t>
      </w:r>
    </w:p>
    <w:p>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lang w:eastAsia="zh-CN"/>
        </w:rPr>
        <w:t>（三）</w:t>
      </w:r>
      <w:r>
        <w:rPr>
          <w:rFonts w:hint="eastAsia" w:ascii="仿宋_GB2312" w:eastAsia="仿宋_GB2312"/>
          <w:b/>
          <w:sz w:val="32"/>
          <w:szCs w:val="32"/>
        </w:rPr>
        <w:t>项目运营管理</w:t>
      </w:r>
    </w:p>
    <w:p>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b/>
          <w:sz w:val="32"/>
          <w:szCs w:val="32"/>
        </w:rPr>
      </w:pPr>
      <w:r>
        <w:rPr>
          <w:rFonts w:hint="eastAsia" w:ascii="仿宋_GB2312" w:eastAsia="仿宋_GB2312"/>
          <w:b/>
          <w:sz w:val="32"/>
          <w:szCs w:val="32"/>
        </w:rPr>
        <w:t>1.值得肯定的地方</w:t>
      </w:r>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eastAsia="zh-CN"/>
        </w:rPr>
      </w:pPr>
      <w:bookmarkStart w:id="26" w:name="bookmark31"/>
      <w:bookmarkEnd w:id="26"/>
      <w:r>
        <w:rPr>
          <w:rFonts w:hint="eastAsia" w:ascii="仿宋_GB2312" w:eastAsia="仿宋_GB2312"/>
          <w:sz w:val="32"/>
          <w:szCs w:val="32"/>
        </w:rPr>
        <w:t>通过与社工站主任、相关行政人员访谈，查阅相关资料，以及电访利益相关方等方式了解社工站运营管理情况，</w:t>
      </w:r>
      <w:r>
        <w:rPr>
          <w:rFonts w:hint="eastAsia" w:ascii="仿宋_GB2312" w:eastAsia="仿宋_GB2312"/>
          <w:sz w:val="32"/>
          <w:szCs w:val="32"/>
          <w:lang w:eastAsia="zh-CN"/>
        </w:rPr>
        <w:t>有以下几方面值得肯定：</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人员配备方面，截至2025年7月31日，社工站项目共配备社工21人，社工应到213人次，实到224人次，其中，持证社工16人，持证社工应到106.5人次，实到145人次，从业3年以上社工14人，占协议社工总人数的73.68%，持续在岗18人，稳岗率为94.73%。社工继续教育时数达标率151.04%。社工站项目负责人本周期内稳定在岗，自2012年10月起任职社工，2016年6月取得社会工作师职业水平证书，2015年11月起主要任职本机构的管理岗位，从事社工服务与管理累计年限6年以上，资质和资历符合相关要求。</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服务内控制度运行良好，通过各级工作会议监测服务进度，有效推进了服务落实。针对中期评估建议有后续跟进，能定期组织机构内评，检测服务质量。建立专业伦理价值规范和服务对象权益保障实践管理制度，开展了相关知识的教育学习，采取了知识考核、题目研讨以及社工绩效评价结合的方式落实相关考评，社工在服务开展过程中有不同程度的实践。</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社工站积极开展宣传工作。善用线上线下宣传渠道分享服务资讯，线下宣传以派发宣传资料及开展宣传活动等方式开展，基本能覆盖到各村居；线上宣传则通过内部、外部的媒体平台报道服务情况，涵盖电视媒体、各级别官方公众号媒体等，有效扩大了宣传范围。</w:t>
      </w:r>
    </w:p>
    <w:p>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PMingLiU"/>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bookmarkStart w:id="27" w:name="bookmark36"/>
      <w:bookmarkEnd w:id="27"/>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通过与社工站主任、相关行政人员访谈，查阅相关资料，以及电访利益相关方等方式了解社工站运营管理情况，</w:t>
      </w:r>
      <w:r>
        <w:rPr>
          <w:rFonts w:hint="eastAsia" w:ascii="仿宋_GB2312" w:eastAsia="仿宋_GB2312"/>
          <w:sz w:val="32"/>
          <w:szCs w:val="32"/>
          <w:lang w:eastAsia="zh-CN"/>
        </w:rPr>
        <w:t>有以下几方面需要关注：</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（1）持证社工16人，持证社工占协议社工比例84.21%，未超过85%。建议加强社工团队的专业化建设，按要求提高社工站的持证比例。</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社工站建立了公共事务及危机介入响应机制，但内容比较简单，只列出了机制适用范围和工作架构、职责，建议结合实际情况，界定公共事务和危机类别，按相应的介入原则，制定介入流程，细化执行指引，还要制定相关应急预案及开展演练，以备有效应对基层工作的挑战。</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针对服务整改的质量有待提高，例如困难群体的建档及访视跟进、服务成效提炼等方面仍需加强。建议加强对服务建议的理解，制定有效的整改措施，关注质量层面的改善，同时要优化服务整改情况的呈现，做好整改情况的总结。</w:t>
      </w:r>
    </w:p>
    <w:p>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b/>
          <w:sz w:val="32"/>
          <w:szCs w:val="32"/>
          <w:highlight w:val="none"/>
        </w:rPr>
      </w:pPr>
      <w:r>
        <w:rPr>
          <w:rFonts w:hint="eastAsia" w:ascii="仿宋_GB2312" w:eastAsia="仿宋_GB2312"/>
          <w:b/>
          <w:sz w:val="32"/>
          <w:szCs w:val="32"/>
          <w:highlight w:val="none"/>
          <w:lang w:eastAsia="zh-CN"/>
        </w:rPr>
        <w:t>（四）</w:t>
      </w:r>
      <w:r>
        <w:rPr>
          <w:rFonts w:hint="eastAsia" w:ascii="仿宋_GB2312" w:eastAsia="仿宋_GB2312"/>
          <w:b/>
          <w:sz w:val="32"/>
          <w:szCs w:val="32"/>
          <w:highlight w:val="none"/>
        </w:rPr>
        <w:t>服务成效和服务监测情况</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bookmarkStart w:id="28" w:name="bookmark40"/>
      <w:bookmarkEnd w:id="28"/>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社工站能够针对中期评估建议及时整改，在党建工作方面调整了“第一议题”作为党支部学习教育专有名词的表述为“知识学习教育”，有一位社工党员的组织关系及时转移到机构党支部，规范了学习教育，强化了党员管理，值得肯定。服务年度进一步健全了“党的知识主题共学机制”，开展主题学习11次，爱国主义教育活动4场，社工参与度高，有效提升社工团队的思想觉悟和政策认知水平；结合辖区困难群众和特殊困难群体需求，协助镇党委开展政策宣传32场，让村民及时了解党的各项惠民政策；牵手粤桂青年参观红色文化基地，传承红色基因；与10个党建共建单位联合开展党员志愿服务14场次，136人次党员志愿者参与，服务群众2529人次；配合镇街开展应急服务99次，派出社工参与应急146人次，涵盖未成年人陪审、家庭纠纷、家暴处理、危机介入、邻里纠纷等内容，及时化解危机，特别是积极参与“两热”防控应急服务，值得肯定。</w:t>
      </w:r>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及时针对新标导向变化调整服务策略，自上而下搭建社工站承担顶层设计和指挥中心、片区发挥枢纽作用、社工点落实服务执行的三层服务架构。服务设计围绕“友爱互助，和谐共融”的幸福石碁目标主题，站层面打造“暖心筑梦”特殊困难群众居家守护计划特色亮点项目和“曦益同行，善暖石碁”慈善融合服务项目，以“党建+慈善”链公益资源；片区层面通过运用“五社联动”机制，贯穿“健康、安全和文化”主题，制定5大服务计划；社工点层面收集个别化需求，落实服务执行的服务路径。完成了全镇19个村居17类特殊困难群体1232户1413人按新标分级和全覆盖建档服务，运用“五社联动”机制，联动“双岗双工”，力求实现全面多维度精准化服务。培育了2支老年志愿者队伍，联动了6个社区社会组织、4支志愿者队伍持续开展困难群众和特殊群体服务；完成探访8119人次，电访6784人次，重大节日探访13次，安排“红棉守护”热线716人次值班，通话总量10077人次，有效缓解了群众急难愁盼问题。</w:t>
      </w:r>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仿宋_GB2312" w:eastAsia="仿宋_GB2312"/>
          <w:sz w:val="32"/>
          <w:szCs w:val="32"/>
          <w:lang w:val="en-US" w:eastAsia="zh-CN"/>
        </w:rPr>
      </w:pPr>
      <w:r>
        <w:rPr>
          <w:rFonts w:hint="eastAsia" w:ascii="仿宋_GB2312" w:eastAsia="仿宋_GB2312"/>
          <w:sz w:val="32"/>
          <w:szCs w:val="32"/>
          <w:lang w:val="en-US" w:eastAsia="zh-CN"/>
        </w:rPr>
        <w:t>（3）特色亮点项目完成居家微改造22个、电线改造23个、居家垃圾杂物堆放39个、无障碍环境建设提升22个，探索“多元主体资源整合四步走”服务模式，成效务实可视化程度高。公益慈善项目通过实施特色公益活动、慈善文化推广、物资支持、慈善超市运营等5个计划，在4个村居开展慈善超市宣传、培育初老志愿队参与慈善超市服务，完成社区基金筹款500.8万元，自主链接物质资源折合44.86万元，成效显著。积极整合社区资源，成功获取市慈善会、区志协微心愿项目45个，资助金额8500元，社工站整合28个微心愿，助力困难群众特殊群体实现微心愿。通过电访、问卷调查等方式，共有108人接受调查，服务对象满意度95%以上。此外，收到感谢信33封、锦旗2面、获得市级以上媒体报道79篇，服务受到群众满意、政府认可和媒体报道。社工服务案例提炼9篇，积极发挥专业服务角色和作用。</w:t>
      </w:r>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经评委评估分析访谈情况和查阅项目调研、服务方案等各类服务工作痕迹记录资料，项目执行和成效总体情况有以下方面需关注：</w:t>
      </w:r>
      <w:bookmarkStart w:id="29" w:name="bookmark43"/>
      <w:bookmarkEnd w:id="29"/>
      <w:bookmarkStart w:id="30" w:name="bookmark45"/>
      <w:bookmarkEnd w:id="30"/>
      <w:bookmarkStart w:id="31" w:name="bookmark44"/>
      <w:bookmarkEnd w:id="31"/>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党建方面，社工站在组织建设和党员管理方面都存在进一步健全和完善的空间，建议抓住当前市、区、镇街各级政府党委部门都在全面推进党的组织全覆盖的大背景下，通过独立、联合等创新形式建立党支部，完善社工站项目党组织建设；与此同时，在党员管理方面的整改尚未完成，有一位社工党员的组织关系不在机构或者属地党组织，在一定程度上影响了按《中国共产党章程》要求对党员社工进行教育、管理、监督和服务的开展，根据《中国共产党党员教育管理工作条例》和《中国共产党流动党员管理办法》等规定，“党员原则上要及时转接组织关系，低于6个月的要履行主动衔接管理责任，流出地流入地党组织要履行双重管理责任，党员要主动参加流入地党组织的党内组织生活”，建议加快党员社工的组织关系转移或者纳入属地流动党员管理。因此，通过成立党组织转移组织关系或者纳入工作地党组织流动党员管理来解决党员教育管理监督和服务的问题。</w:t>
      </w:r>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在现有的服务策略和理念指导下进一步优化调整服务设计，一是服务框架图搭建存在将两种不同维度和评估导向的元素并列的情况，建议正确处理资源和服务主线之间的关系；二是服务计划与项目的边界不清晰，特别是片区层面服务所运用的“针对群体共性需求皆以‘五社联动’项目化服务去跟进”解决困难特殊群体精准化服务问题的通用做法，建议片区层面做好兜底群体分类和模块化服务；三是项目化思维仍然占据了服务的主导地位，一定程度上与“双百”模式和政策导向有偏差，建议从站、片、点三个层面上有选择把控重点，确保兜底服务的基本保障；四是从服务执行层面看，重点不明显，要强化资源整合，注重服务协同，社工点则聚焦兜底服务和问题解决。</w:t>
      </w:r>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基于辖区残疾人群体占比大、困境长者多、低保对象和困境儿童均超过百人的实际情况，需要关注重点人群的服务，进一步提升兜底服务的针对性和精准度，优化需求调研的方式方法，落实评估指标体系注重通过进村入户、走访交友、座谈交流、社区调查等田野方法，深入村居，与兜底对象建立关系，结合《广州市社工站购买服务项目服务清单（民政领域社会工作）》的兜底性民生服务清单中17类兜底对象的共性需求和个别化需求，精准摸清问题，制定针对性强的服务计划，夯实兜底服务社工主业。站侧重基础性民生服务、片点则侧重兜底性民生服务和普惠性民生服务。同时，要整合现有的“特色服务项目”“五社联动项目”和“公益慈善项目”，融合打造有石碁特色的，以公益慈善为目的，充分运用社会资金或资源策划实施具备良好经济效益、社会效益和可持续性的创新服务项目。</w:t>
      </w:r>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（4）持续完善广州社工“红棉守护”热线后台服务记录，联动的志愿者队伍、社区社会组织，需更聚焦在困难群众和特殊群体服务上来，加强老年志愿者队伍的培育和服务。</w:t>
      </w:r>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3" w:firstLineChars="200"/>
        <w:jc w:val="both"/>
        <w:textAlignment w:val="auto"/>
        <w:rPr>
          <w:rFonts w:hint="eastAsia"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服务质量情况</w:t>
      </w:r>
    </w:p>
    <w:p>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第一片区：金山村、桥山村、文边村、凌边村</w:t>
      </w:r>
    </w:p>
    <w:p>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bookmarkStart w:id="32" w:name="bookmark48"/>
      <w:bookmarkEnd w:id="32"/>
      <w:bookmarkStart w:id="33" w:name="bookmark47"/>
      <w:bookmarkEnd w:id="33"/>
      <w:bookmarkStart w:id="34" w:name="bookmark46"/>
      <w:bookmarkEnd w:id="34"/>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团队在地化程度高，熟悉本土情况，为开展本土化服务项目奠定了良好基础；服务文档严格按照评估要求有序归类，索引清晰，便于日常督导及评估核查工作的高效开展。各项服务指标均按计划顺利完成，全面符合合同约定要求，在服务数量与质量上均达到预期标准，展现了良好的服务执行力。</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）针对片区内金山村、桥山村、文边村、凌边村的290名困难群众和特殊群体，已建立完善的服务对象家庭信息汇总表，对17类困难群众和特殊群体实现基本建档与动态跟进，切实保障了其基本生活需求。</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）注重将社会工作专业价值观深度融入服务实践全过程，在与服务对象互动、问题解决及资源链接等各环节，均体现专业伦理与价值导向，提升了服务的专业性与实效性。</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需系统性强化服务需求评估的精准性与全面性。应注重整合多主体（如服务对象、家属、社区工作者等）、多方法（如入户访谈、焦点小组、文献研究等）获取的信息，确保全面掌握在册17类困难群体及特殊群众的实际情况。尤其要针对17类群体的内部差异特征（如年龄结构、困难程度、服务偏好等）开展精细化调研，精准识别重点服务对象及其核心需求，为兜底服务的有效落实提供坚实依据，切实保障特殊困难群体的基本权益。</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应提升调查问卷设计与分析的专业性。调查问卷的设计需增强专业性与适用性，减少“情绪管理”“边缘家庭”等易造成理解偏差的抽象专业术语，采用通俗易懂的表述，提升问卷的可操作性与信息收集的准确性。同时，调查报告的分析方法亟待完善，不应单纯以百分比高低判定群体需求的重要性，需重视小比例群体的需求与特征，构建更科学的分析框架（如结合需求紧迫性、服务可行性等维度），全面呈现各类群体的服务需求，为服务设计提供精准指引。</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要健全服务成效评价体系的科学性与多元性。服务成效评价需突破单一模式，避免将参加者意见反馈表作为主要甚至唯一评价方式，应丰富评价手段，结合过程观察、深度访谈、服务对象追踪等多元方式获取真实有效的成效信息。具体而言，在个案工作中，需确保前期问题需求与后期成效评价的对应性，形成“需求识别—介入服务—成效评估”的完整闭环，建议引入标准化科学量表量化评估社会工作介入后的实际成效；在小组工作与社区活动中，需建立服务前后的量化对比机制，通过数据表格、变化示意图等直观形式呈现服务对象的能力提升、问题改善等变化，以全面、客观反映服务实效。</w:t>
      </w:r>
    </w:p>
    <w:p>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第二片区：大龙社区、岐山社区、塱边村、莲塘村、小龙村</w:t>
      </w:r>
    </w:p>
    <w:p>
      <w:pPr>
        <w:pStyle w:val="11"/>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第二片区服务规范落实执行情况良好。查阅片区二部分的个案资料，小组资料和社区活动资料，社工能按照专业服务规范流程及指引开展相关服务，尤其是个案资料，未成年人的危机个案服务有监护人签名，档案资料比较详尽清晰。</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第二片区社工重视困难群众和特殊群体的建档及服务。下半年迅速按照新的服务清单要求对片区内的困难群众和特殊群体开展全面的建档工作。目前已经对292户，329人进行“一户一档，一人一案”建档，实现100%全覆盖。截至2025年7月31日，已累计对困难群众和特殊群体进行了超过累计电访1809人次，探访1406人次，实现微心愿15个，申报居家微改造4个（完成结项3个），开展专业个案5人，资源链接</w:t>
      </w:r>
      <w:bookmarkStart w:id="43" w:name="_GoBack"/>
      <w:bookmarkEnd w:id="43"/>
      <w:r>
        <w:rPr>
          <w:rFonts w:hint="eastAsia" w:ascii="仿宋_GB2312" w:eastAsia="仿宋_GB2312"/>
          <w:sz w:val="32"/>
          <w:szCs w:val="32"/>
          <w:lang w:val="en-US" w:eastAsia="zh-CN"/>
        </w:rPr>
        <w:t>累计440人次，结合传统节日、极端天气，通过探访、电访的形式，开展重大节日电访、探访全覆盖服务3场次，恶劣天气提醒、两热预防等服务4次。</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第二片区社工专业服务精神较好，各项服务指标完成情况良好。第二片区一共配置了5名社工。社工在服务困难群众和特殊群体时展现了较好的专业服务精神，如对典型案例（202409-1-1）的服务中，社工从2024年9月开始到2025年7月持续跟进服务对象的情况，一共跟进为39次。第二片区各项服务指标都能按服务进度合理推进，完成率较高。</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（4）第二片区社工站能较好地落实跟踪回访工作，有效地巩固服务成效。社工在个案结案后都能及时对服务对象开展跟踪回访，了解服务对象的具体情况，积极防范意外风险，巩固服务成效。</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3"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bookmarkStart w:id="35" w:name="bookmark57"/>
      <w:bookmarkEnd w:id="35"/>
      <w:r>
        <w:rPr>
          <w:rFonts w:hint="eastAsia" w:ascii="仿宋_GB2312" w:eastAsia="仿宋_GB2312"/>
          <w:sz w:val="32"/>
          <w:szCs w:val="32"/>
          <w:lang w:val="en-US" w:eastAsia="zh-CN"/>
        </w:rPr>
        <w:t>（1）建议第二片区社工注意进一步夯实困难群众和特殊群体的建档与服务。目前为困难群众和特殊群体制定的服务计划，针对性还不够，对于部分比较难接触的服务对象，其探访服务频率未能达到要求，服务对象的基本情况表中某些信息还有疏漏，对于个别困难群众和特殊群体的疑难问题或重点需求的回应度不够，建议要注意进一步完善。</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（2）建议第二片区要注意在新的周期中，按照最新的服务清单要求，重新做好片区的服务规划，要进一步聚焦困难群众和特殊群体服务。</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3" w:firstLineChars="200"/>
        <w:jc w:val="both"/>
        <w:textAlignment w:val="auto"/>
        <w:rPr>
          <w:rFonts w:hint="eastAsia" w:ascii="仿宋_GB2312" w:eastAsia="仿宋_GB2312"/>
          <w:b/>
          <w:sz w:val="32"/>
          <w:szCs w:val="32"/>
          <w:lang w:eastAsia="zh-CN"/>
        </w:rPr>
      </w:pPr>
      <w:r>
        <w:rPr>
          <w:rFonts w:hint="eastAsia" w:ascii="仿宋_GB2312" w:eastAsia="仿宋_GB2312"/>
          <w:b/>
          <w:sz w:val="32"/>
          <w:szCs w:val="32"/>
          <w:lang w:eastAsia="zh-CN"/>
        </w:rPr>
        <w:t>第三片区：南浦村、永善村、官涌村、石碁村</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3" w:firstLineChars="200"/>
        <w:jc w:val="both"/>
        <w:textAlignment w:val="auto"/>
        <w:rPr>
          <w:rFonts w:ascii="仿宋_GB2312" w:eastAsia="仿宋_GB2312"/>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值得肯定的地方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经评委评估分析访谈情况和查阅项目调研、家访、个案服务等各类服务工作痕迹记录资料，该项目以下几方面值得肯定：</w:t>
      </w:r>
      <w:bookmarkStart w:id="36" w:name="bookmark58"/>
      <w:bookmarkEnd w:id="36"/>
      <w:bookmarkStart w:id="37" w:name="bookmark59"/>
      <w:bookmarkEnd w:id="37"/>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bookmarkStart w:id="38" w:name="bookmark60"/>
      <w:bookmarkEnd w:id="38"/>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前期对服务对象需求开展了深度调研，精准识别出困难群体在情感支持、政策知晓度方面的核心需求，以及普通群体对认知能力提升的需求，并据此针对性制定“心灵守望，政策我知”和“关爱困境，温暖守望”等服务计划，形成“需求识别—计划制定—服务回应”的完整闭环，服务设计的靶向性与适配性较强，有效实现了对不同群体需求的精准回应。</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服务团队对“五社联动”工作模式的践行具有主动性与实效性，通过有效联动村委党支部、企业党支部、社区社会组织、社区志愿者等多元主体，构建起结构稳固、运行高效的特殊困难群体社区帮扶网络。尤其在重大节假日、特殊天气及流行病等关键节点，能及时传递灾害预警资讯并配送关爱物资，确保社区温暖精准覆盖需求群体，体现了服务的及时性与人文关怀。</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）“五社聚能</w:t>
      </w:r>
      <w:r>
        <w:rPr>
          <w:rFonts w:hint="eastAsia" w:ascii="宋体" w:hAnsi="宋体" w:eastAsia="宋体" w:cs="宋体"/>
          <w:sz w:val="32"/>
          <w:szCs w:val="32"/>
          <w:lang w:eastAsia="zh-CN"/>
        </w:rPr>
        <w:t>·</w:t>
      </w:r>
      <w:r>
        <w:rPr>
          <w:rFonts w:hint="eastAsia" w:ascii="仿宋_GB2312" w:eastAsia="仿宋_GB2312"/>
          <w:sz w:val="32"/>
          <w:szCs w:val="32"/>
          <w:lang w:eastAsia="zh-CN"/>
        </w:rPr>
        <w:t>智慧赋能”计划的实施展现出清晰的服务逻辑与多元的实践路径。通过搭建社区参与平台与服务合作机制，以数字认知训练、知识讲座、专业运动指导等丰富形式，既推动了社区多主体深度融入认知障碍管理工作，又切实提升了长者的健康认知意识与自我管理能力，在促进社区协同治理与改善服务对象生活质量方面均取得积极成效，服务目标与实际成效的契合度较高。</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3" w:firstLineChars="200"/>
        <w:jc w:val="both"/>
        <w:textAlignment w:val="auto"/>
        <w:rPr>
          <w:rFonts w:ascii="仿宋_GB2312" w:eastAsia="仿宋_GB2312"/>
          <w:b/>
          <w:bCs/>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需要关注的地方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经评委评估分析访谈情况和查阅项目调研、家访、个案服务等各类服务工作痕迹记录资料，该项目以下几方面需关注：</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eastAsia="zh-CN"/>
        </w:rPr>
      </w:pPr>
      <w:bookmarkStart w:id="39" w:name="bookmark61"/>
      <w:bookmarkEnd w:id="39"/>
      <w:bookmarkStart w:id="40" w:name="bookmark62"/>
      <w:bookmarkEnd w:id="40"/>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服务需求评估体系需系统性优化。应强化多主体、多方法信息的整合应用，全面掌握在册17类困难群体及特殊群众的实际情况，尤其要针对群体内部差异开展精细化调研，精准识别重点对象核心需求，为兜底服务落实提供坚实依据。同时，调查问卷设计需提升专业性与适配性，减少“情绪管理”“边缘家庭”等抽象术语，增强通俗性与可理解性；调查报告分析应突破“以百分比论重要性”的局限，重视小比例群体需求，采用科学分析框架全面呈现各类群体需求，为服务设计提供精准指引。</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三级服务管理机制与服务规划需深化完善。应进一步理顺“社工站-社区片区-社工点”三级管理机制，强化片区服务统筹意识，建立“自下而上汇总需求、自上而下科学安排”的闭环服务流程。在年度服务规划中，需清晰区分服务产出与服务内容的边界，将拟定的服务框架有机嵌入具体计划，提升规划实操性；同时要重点关注社区活动对17类困难群体的覆盖广度及与片区服务主旨的契合度，确保服务跟进与需求评估的一致性，持续提升入户建档率，为精准服务奠定基础。</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服务成效评价体系的科学性与专业性亟待加强。应丰富评价手段，避免单一依赖参加者意见反馈表，结合观察、访谈等多元方式获取真实信息。在个案工作中，需确保前期问题需求与后期成效评价的对应性，形成完整闭环，建议引入科学量表量化介入成效；在小组工作与社区活动中，需突破“单一结束后评价”模式，建立前后量化对比机制，通过表格、示意图等直观形式呈现服务后的变化，全面反映服务实效。</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3" w:firstLineChars="200"/>
        <w:jc w:val="both"/>
        <w:textAlignment w:val="auto"/>
        <w:rPr>
          <w:rFonts w:hint="eastAsia" w:ascii="仿宋_GB2312" w:eastAsia="仿宋_GB2312"/>
          <w:b/>
          <w:color w:val="auto"/>
          <w:sz w:val="32"/>
          <w:szCs w:val="32"/>
          <w:lang w:eastAsia="zh-CN"/>
        </w:rPr>
      </w:pPr>
      <w:r>
        <w:rPr>
          <w:rFonts w:hint="eastAsia" w:ascii="仿宋_GB2312" w:eastAsia="仿宋_GB2312"/>
          <w:b/>
          <w:color w:val="auto"/>
          <w:sz w:val="32"/>
          <w:szCs w:val="32"/>
          <w:lang w:eastAsia="zh-CN"/>
        </w:rPr>
        <w:t>第四片区：低涌村、海傍村、前锋村</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3" w:firstLineChars="200"/>
        <w:jc w:val="both"/>
        <w:textAlignment w:val="auto"/>
        <w:rPr>
          <w:rFonts w:ascii="仿宋_GB2312" w:eastAsia="仿宋_GB2312"/>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值得肯定的地方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等各类服务工作痕迹记录资料，该项目以下几方面值得肯定：</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eastAsia="zh-CN"/>
        </w:rPr>
      </w:pPr>
      <w:r>
        <w:rPr>
          <w:rFonts w:hint="eastAsia" w:ascii="仿宋_GB2312" w:eastAsia="仿宋_GB2312"/>
          <w:b w:val="0"/>
          <w:bCs/>
          <w:color w:val="auto"/>
          <w:sz w:val="32"/>
          <w:szCs w:val="32"/>
          <w:lang w:eastAsia="zh-CN"/>
        </w:rPr>
        <w:t>（1）第四片区在服务周期之初通过多样化方式，深入村（居），与村（居）建立关系，围绕困难群众和特殊群体问题和需求，形成了具体需求调研报告，同时绘制《社区资产地图》《社区问题地图》《服务对象社区分布地图》等，为后续服务计划制定及服务的具体落实等奠定了很好的基础。</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eastAsia="zh-CN"/>
        </w:rPr>
      </w:pPr>
      <w:r>
        <w:rPr>
          <w:rFonts w:hint="eastAsia" w:ascii="仿宋_GB2312" w:eastAsia="仿宋_GB2312"/>
          <w:b w:val="0"/>
          <w:bCs/>
          <w:color w:val="auto"/>
          <w:sz w:val="32"/>
          <w:szCs w:val="32"/>
          <w:lang w:eastAsia="zh-CN"/>
        </w:rPr>
        <w:t>（2）第四片区积极开展困难群众和特殊群体的建档及服务。本评估周期片区四对306户，共352名困难群众和特殊群体进行“一户一档”建档，实现100%建档全覆盖。截至2025年8月21日，累计对困境群体进行超过1854人次的电访，1612人次探访。通过入户探访、物资派发等形式，开展重大节日关怀活动2场，累计慰问服务对象约700人次。</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eastAsia="zh-CN"/>
        </w:rPr>
      </w:pPr>
      <w:r>
        <w:rPr>
          <w:rFonts w:hint="eastAsia" w:ascii="仿宋_GB2312" w:eastAsia="仿宋_GB2312"/>
          <w:b w:val="0"/>
          <w:bCs/>
          <w:color w:val="auto"/>
          <w:sz w:val="32"/>
          <w:szCs w:val="32"/>
          <w:lang w:eastAsia="zh-CN"/>
        </w:rPr>
        <w:t>（3）第四片区社工积极协助落实政策。社工围绕“残疾人两项补贴”“石碁镇长者饭堂配餐”“广州市医疗救助政策”“居家养老政策”“长期护理保险政策”六大主题民生兜底政策宣传活动18场次，覆盖困难群众和特殊群体516人次，所建立的“三精准”工作法，有效提升了政策宣传的效果。</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eastAsia="zh-CN"/>
        </w:rPr>
      </w:pPr>
      <w:r>
        <w:rPr>
          <w:rFonts w:hint="eastAsia" w:ascii="仿宋_GB2312" w:eastAsia="仿宋_GB2312"/>
          <w:b w:val="0"/>
          <w:bCs/>
          <w:color w:val="auto"/>
          <w:sz w:val="32"/>
          <w:szCs w:val="32"/>
          <w:lang w:eastAsia="zh-CN"/>
        </w:rPr>
        <w:t>（4）第四片区各项服务指标推进进度合理，完成情况良好。社工专业服务角色和作用发挥较好。第四片区所有服务指标都已经按照协议完成，部分服务指标还超额完成。社工在服务过程中，尤其是针对困难群众和特殊群体服务中较好地发挥了专业服务角色和作用。</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3" w:firstLineChars="200"/>
        <w:jc w:val="both"/>
        <w:textAlignment w:val="auto"/>
        <w:rPr>
          <w:rFonts w:hint="eastAsia" w:ascii="仿宋_GB2312" w:eastAsia="仿宋_GB2312"/>
          <w:b/>
          <w:bCs w:val="0"/>
          <w:color w:val="auto"/>
          <w:sz w:val="32"/>
          <w:szCs w:val="32"/>
          <w:lang w:val="en-US" w:eastAsia="zh-CN"/>
        </w:rPr>
      </w:pPr>
      <w:r>
        <w:rPr>
          <w:rFonts w:hint="eastAsia" w:ascii="仿宋_GB2312" w:eastAsia="仿宋_GB2312"/>
          <w:b/>
          <w:bCs w:val="0"/>
          <w:color w:val="auto"/>
          <w:sz w:val="32"/>
          <w:szCs w:val="32"/>
          <w:lang w:val="en-US" w:eastAsia="zh-CN"/>
        </w:rPr>
        <w:t>2.需要关注的地方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经评委评估分析访谈情况和查阅项目调研、服务方案等各类服务工作痕迹记录资料，该项目情况有以下方面需要关注：</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1）建议第四片区的社工注意进一步提升专业服务能力，尤其是个案服务能力。目前查阅的个案存在案主需求评估不够全面深入，服务目标设定不够合理等问题，建议社工要注意进一步提升专业能力，利用专业优势解决困难群众和特殊群体的疑难问题和重点需求的能力还有待进一步提高。</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default" w:ascii="仿宋_GB2312" w:eastAsia="仿宋_GB2312"/>
          <w:b/>
          <w:bCs w:val="0"/>
          <w:color w:val="auto"/>
          <w:sz w:val="32"/>
          <w:szCs w:val="32"/>
          <w:lang w:val="en-US" w:eastAsia="zh-CN"/>
        </w:rPr>
      </w:pPr>
      <w:r>
        <w:rPr>
          <w:rFonts w:hint="eastAsia" w:ascii="仿宋_GB2312" w:eastAsia="仿宋_GB2312"/>
          <w:b w:val="0"/>
          <w:bCs/>
          <w:color w:val="auto"/>
          <w:sz w:val="32"/>
          <w:szCs w:val="32"/>
          <w:lang w:val="en-US" w:eastAsia="zh-CN"/>
        </w:rPr>
        <w:t>（2）建议第四片区在新的服务周期中注意进一步落实困难群众和特殊群体的服务。目前个别服务对象档案还存在资料的疏漏，部分服务资料填写不完整等问题。建议社工在新周期对困难群众和特殊群体的服务要注意精准化和深度化。</w:t>
      </w:r>
      <w:r>
        <w:rPr>
          <w:rFonts w:hint="default" w:ascii="仿宋_GB2312" w:eastAsia="仿宋_GB2312"/>
          <w:b/>
          <w:bCs w:val="0"/>
          <w:color w:val="auto"/>
          <w:sz w:val="32"/>
          <w:szCs w:val="32"/>
          <w:lang w:val="en-US" w:eastAsia="zh-CN"/>
        </w:rPr>
        <w:t xml:space="preserve">                                    </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3" w:firstLineChars="200"/>
        <w:jc w:val="both"/>
        <w:textAlignment w:val="auto"/>
        <w:rPr>
          <w:rFonts w:hint="eastAsia" w:ascii="仿宋_GB2312" w:eastAsia="仿宋_GB2312"/>
          <w:b/>
          <w:color w:val="auto"/>
          <w:sz w:val="32"/>
          <w:szCs w:val="32"/>
          <w:lang w:val="en-US" w:eastAsia="zh-CN"/>
        </w:rPr>
      </w:pPr>
      <w:r>
        <w:rPr>
          <w:rFonts w:hint="eastAsia" w:ascii="仿宋_GB2312" w:eastAsia="仿宋_GB2312"/>
          <w:b/>
          <w:color w:val="auto"/>
          <w:sz w:val="32"/>
          <w:szCs w:val="32"/>
          <w:lang w:eastAsia="zh-CN"/>
        </w:rPr>
        <w:t>第五片区：长坦村、雁洲村、大刀沙村</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3" w:firstLineChars="200"/>
        <w:jc w:val="both"/>
        <w:textAlignment w:val="auto"/>
        <w:rPr>
          <w:rFonts w:ascii="仿宋_GB2312" w:eastAsia="仿宋_GB2312"/>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值得肯定的地方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等各类服务工作痕迹记录资料，该项目以下几方面值得肯定：</w:t>
      </w:r>
    </w:p>
    <w:p>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（1）问题解决及改善情况良好。能认真协助村居处理相关重点难点问题，完整保存服务过程记录，列出问题解决比照清单，服务过程链条清晰、有依有据、沟通充分、记载完整。</w:t>
      </w:r>
    </w:p>
    <w:p>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2）提供高于评估等级及指标要求的服务。能够根据17类困难群众和特殊群体的评级具体情况，设置对应等级的服务，所有服务频次、数量都能按要求完成，且有一部分服务高于指标要求，尤其是电访、探访的场次超标完成，对服务对象做到“密切关注、及时帮扶”。</w:t>
      </w:r>
    </w:p>
    <w:p>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3）提升了困难群众及特殊群体的社会融入度及社区支持网络覆盖率。通过“温暖家园”及“安全家园”项目，践行“五社联动”机制，积极链接与整合资源，认真开展政策宣传与倡导，以点面结合的结构化方式提供服务，做到“精准施策”与“广泛服务”相结合，一定程度上营造了社区基层治理“党群合唱”的局面。</w:t>
      </w:r>
    </w:p>
    <w:p>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left="800" w:leftChars="0"/>
        <w:jc w:val="both"/>
        <w:textAlignment w:val="auto"/>
        <w:rPr>
          <w:rFonts w:hint="eastAsia" w:ascii="仿宋_GB2312" w:eastAsia="仿宋_GB2312"/>
          <w:b/>
          <w:bCs w:val="0"/>
          <w:color w:val="auto"/>
          <w:sz w:val="32"/>
          <w:szCs w:val="32"/>
          <w:lang w:val="en-US" w:eastAsia="zh-CN"/>
        </w:rPr>
      </w:pPr>
      <w:r>
        <w:rPr>
          <w:rFonts w:hint="eastAsia" w:ascii="仿宋_GB2312" w:eastAsia="仿宋_GB2312"/>
          <w:b/>
          <w:bCs w:val="0"/>
          <w:color w:val="auto"/>
          <w:sz w:val="32"/>
          <w:szCs w:val="32"/>
          <w:lang w:val="en-US" w:eastAsia="zh-CN"/>
        </w:rPr>
        <w:t>2.需要关注的地方</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经评委评估分析访谈情况和查阅项目调研、服务方案等各类服务工作痕迹记录资料，该项目情况有以下方面需要关注：</w:t>
      </w:r>
    </w:p>
    <w:p>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（1）经典服务案例的质量尚需提高。建议用“问题聚焦——需求分析——重点难点——解决策略——服务成效——亮点创新”的框架来优化写作结构。</w:t>
      </w:r>
    </w:p>
    <w:p>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工作结构不够均衡。社工团队在完成各指标任务时，上半段节奏较快、频次高，下半段则节奏较慢、频次低，如“温暖家园共建计划”全周期共16场社区活动，其中，上半周期开展12场，占比75%；下半周期开展4场，占比25%，如此易导致社工阶段性工作压力大，且服务周期性遇冷的现象。建议关注工作量的均衡问题，争取相对平衡地覆盖各阶段。</w:t>
      </w:r>
    </w:p>
    <w:p>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（3）雁洲村、长坦村的社区导向报告内容不全。建议完善两村的社区导向报告，认真做社区总体情况的分析，对问题症结进行把脉判断，尤其需要关注“可利用资源”的内容。</w:t>
      </w:r>
    </w:p>
    <w:p>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leftChars="200"/>
        <w:jc w:val="both"/>
        <w:textAlignment w:val="auto"/>
        <w:rPr>
          <w:rFonts w:hint="eastAsia" w:ascii="仿宋_GB2312" w:eastAsia="仿宋_GB2312"/>
          <w:b/>
          <w:color w:val="auto"/>
          <w:sz w:val="32"/>
          <w:szCs w:val="32"/>
        </w:rPr>
      </w:pPr>
      <w:r>
        <w:rPr>
          <w:rFonts w:hint="eastAsia" w:ascii="仿宋_GB2312" w:eastAsia="仿宋_GB2312"/>
          <w:b/>
          <w:color w:val="auto"/>
          <w:sz w:val="32"/>
          <w:szCs w:val="32"/>
        </w:rPr>
        <w:t>（六）购买方反馈情况</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3"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1.值得肯定的地方</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购买方（</w:t>
      </w:r>
      <w:r>
        <w:rPr>
          <w:rFonts w:hint="eastAsia" w:ascii="仿宋_GB2312" w:eastAsia="仿宋_GB2312"/>
          <w:sz w:val="32"/>
          <w:szCs w:val="32"/>
          <w:lang w:eastAsia="zh-CN"/>
        </w:rPr>
        <w:t>石碁镇人民政府</w:t>
      </w:r>
      <w:r>
        <w:rPr>
          <w:rFonts w:hint="eastAsia" w:ascii="仿宋_GB2312" w:eastAsia="仿宋_GB2312"/>
          <w:sz w:val="32"/>
          <w:szCs w:val="32"/>
        </w:rPr>
        <w:t>）代表认为，</w:t>
      </w:r>
      <w:r>
        <w:rPr>
          <w:rFonts w:hint="eastAsia" w:ascii="仿宋_GB2312" w:eastAsia="仿宋_GB2312"/>
          <w:sz w:val="32"/>
          <w:szCs w:val="32"/>
          <w:lang w:eastAsia="zh-CN"/>
        </w:rPr>
        <w:t>社工工作态度良好，主动服务，积极配合镇各职能部门和各村居开展工作；社工站与我镇保持沟通联系，每月定期提交工作简报、汇报服务数据，主动交流突发情况和遇到的困难及解决方案。</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3"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2.需要关注的地方</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仿宋_GB2312" w:eastAsia="仿宋_GB2312"/>
          <w:sz w:val="32"/>
          <w:szCs w:val="32"/>
          <w:lang w:val="en-US" w:eastAsia="zh-CN"/>
        </w:rPr>
      </w:pPr>
      <w:r>
        <w:rPr>
          <w:rFonts w:hint="eastAsia" w:ascii="仿宋_GB2312" w:eastAsia="仿宋_GB2312"/>
          <w:sz w:val="32"/>
          <w:szCs w:val="32"/>
        </w:rPr>
        <w:t>购买方（</w:t>
      </w:r>
      <w:r>
        <w:rPr>
          <w:rFonts w:hint="eastAsia" w:ascii="仿宋_GB2312" w:eastAsia="仿宋_GB2312"/>
          <w:sz w:val="32"/>
          <w:szCs w:val="32"/>
          <w:lang w:eastAsia="zh-CN"/>
        </w:rPr>
        <w:t>石碁镇人民政府</w:t>
      </w:r>
      <w:r>
        <w:rPr>
          <w:rFonts w:hint="eastAsia" w:ascii="仿宋_GB2312" w:eastAsia="仿宋_GB2312"/>
          <w:sz w:val="32"/>
          <w:szCs w:val="32"/>
        </w:rPr>
        <w:t>）代表认为，</w:t>
      </w:r>
      <w:r>
        <w:rPr>
          <w:rFonts w:hint="eastAsia" w:ascii="仿宋_GB2312" w:eastAsia="仿宋_GB2312"/>
          <w:sz w:val="32"/>
          <w:szCs w:val="32"/>
          <w:lang w:eastAsia="zh-CN"/>
        </w:rPr>
        <w:t>鼓励未持证的员工积极参与考证，进一步提升站点的持证水平</w:t>
      </w:r>
      <w:r>
        <w:rPr>
          <w:rFonts w:hint="eastAsia" w:ascii="仿宋_GB2312" w:eastAsia="仿宋_GB2312"/>
          <w:sz w:val="32"/>
          <w:szCs w:val="32"/>
          <w:lang w:val="en-US" w:eastAsia="zh-CN"/>
        </w:rPr>
        <w:t>。</w:t>
      </w:r>
    </w:p>
    <w:p>
      <w:pPr>
        <w:pStyle w:val="11"/>
        <w:keepNext w:val="0"/>
        <w:keepLines w:val="0"/>
        <w:pageBreakBefore w:val="0"/>
        <w:widowControl w:val="0"/>
        <w:numPr>
          <w:ilvl w:val="0"/>
          <w:numId w:val="1"/>
        </w:numPr>
        <w:kinsoku/>
        <w:wordWrap/>
        <w:overflowPunct/>
        <w:topLinePunct w:val="0"/>
        <w:autoSpaceDE/>
        <w:autoSpaceDN/>
        <w:bidi w:val="0"/>
        <w:adjustRightInd/>
        <w:snapToGrid/>
        <w:spacing w:after="120" w:line="540" w:lineRule="exact"/>
        <w:ind w:firstLine="643"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1"/>
        <w:keepNext w:val="0"/>
        <w:keepLines w:val="0"/>
        <w:pageBreakBefore w:val="0"/>
        <w:widowControl w:val="0"/>
        <w:numPr>
          <w:ilvl w:val="0"/>
          <w:numId w:val="0"/>
        </w:numPr>
        <w:kinsoku/>
        <w:wordWrap/>
        <w:overflowPunct/>
        <w:topLinePunct w:val="0"/>
        <w:autoSpaceDE/>
        <w:autoSpaceDN/>
        <w:bidi w:val="0"/>
        <w:adjustRightInd/>
        <w:snapToGrid/>
        <w:spacing w:after="12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w:t>
      </w:r>
      <w:r>
        <w:rPr>
          <w:rFonts w:hint="eastAsia" w:ascii="仿宋_GB2312" w:eastAsia="仿宋_GB2312"/>
          <w:sz w:val="32"/>
          <w:szCs w:val="32"/>
          <w:lang w:eastAsia="zh-CN"/>
        </w:rPr>
        <w:t>服务方案</w:t>
      </w:r>
      <w:r>
        <w:rPr>
          <w:rFonts w:hint="eastAsia" w:ascii="仿宋_GB2312" w:eastAsia="仿宋_GB2312"/>
          <w:sz w:val="32"/>
          <w:szCs w:val="32"/>
        </w:rPr>
        <w:t>等各类服务工作痕迹记录资料，该项目以下几方面值得肯定：</w:t>
      </w:r>
    </w:p>
    <w:p>
      <w:pPr>
        <w:pStyle w:val="11"/>
        <w:keepNext w:val="0"/>
        <w:keepLines w:val="0"/>
        <w:pageBreakBefore w:val="0"/>
        <w:widowControl w:val="0"/>
        <w:numPr>
          <w:ilvl w:val="0"/>
          <w:numId w:val="0"/>
        </w:numPr>
        <w:kinsoku/>
        <w:wordWrap/>
        <w:overflowPunct/>
        <w:topLinePunct w:val="0"/>
        <w:autoSpaceDE/>
        <w:autoSpaceDN/>
        <w:bidi w:val="0"/>
        <w:adjustRightInd/>
        <w:snapToGrid/>
        <w:spacing w:after="12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w:t>
      </w:r>
      <w:r>
        <w:rPr>
          <w:rFonts w:hint="eastAsia" w:ascii="仿宋_GB2312" w:eastAsia="仿宋_GB2312"/>
          <w:sz w:val="32"/>
          <w:szCs w:val="32"/>
        </w:rPr>
        <w:t>项目能够结合服务发展、团队现状、社工需求做分层分类分析，形成分层分类的目标与细致、可操作性强的实施计划，并辅以培训、督导与共学制度加强管理，设计多元的评价反馈机制落实过程监测，定期检视实施情况，并为下一步优化提出合理化的对策与建议。在内部共学方面，制定了《团队成长共学制度》，明确内容模块、形式及组织分工等，并对学习表现优秀的员工，以及在共学活动中提出创新建议并被采纳的团队或个人，给予一定</w:t>
      </w:r>
      <w:r>
        <w:rPr>
          <w:rFonts w:hint="eastAsia" w:ascii="仿宋_GB2312" w:eastAsia="仿宋_GB2312"/>
          <w:sz w:val="32"/>
          <w:szCs w:val="32"/>
          <w:lang w:eastAsia="zh-CN"/>
        </w:rPr>
        <w:t>激励</w:t>
      </w:r>
      <w:r>
        <w:rPr>
          <w:rFonts w:hint="eastAsia" w:ascii="仿宋_GB2312" w:eastAsia="仿宋_GB2312"/>
          <w:sz w:val="32"/>
          <w:szCs w:val="32"/>
        </w:rPr>
        <w:t>措施，营造了较好的学习成长氛围。</w:t>
      </w:r>
    </w:p>
    <w:p>
      <w:pPr>
        <w:pStyle w:val="11"/>
        <w:keepNext w:val="0"/>
        <w:keepLines w:val="0"/>
        <w:pageBreakBefore w:val="0"/>
        <w:widowControl w:val="0"/>
        <w:numPr>
          <w:ilvl w:val="0"/>
          <w:numId w:val="0"/>
        </w:numPr>
        <w:kinsoku/>
        <w:wordWrap/>
        <w:overflowPunct/>
        <w:topLinePunct w:val="0"/>
        <w:autoSpaceDE/>
        <w:autoSpaceDN/>
        <w:bidi w:val="0"/>
        <w:adjustRightInd/>
        <w:snapToGrid/>
        <w:spacing w:after="12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rPr>
        <w:t>项目团队重视服务力量建设。项目社工与各村（居）沟通顺畅，定期报告社工站服务计划及总结，并推动“双工”联动，促进信息共享，服务转介和协同，尤其是每月互通困难群众和特殊群体的台账信息，把握辖区困难群众和特殊群体需求，有助于项目团队扎根社区，与服务对象建立好关系，打开工作局面，进而提供更加贴合实际的</w:t>
      </w:r>
      <w:r>
        <w:rPr>
          <w:rFonts w:hint="eastAsia" w:ascii="仿宋_GB2312" w:eastAsia="仿宋_GB2312"/>
          <w:sz w:val="32"/>
          <w:szCs w:val="32"/>
          <w:lang w:eastAsia="zh-CN"/>
        </w:rPr>
        <w:t>精细化服务</w:t>
      </w:r>
      <w:r>
        <w:rPr>
          <w:rFonts w:hint="eastAsia" w:ascii="仿宋_GB2312" w:eastAsia="仿宋_GB2312"/>
          <w:sz w:val="32"/>
          <w:szCs w:val="32"/>
        </w:rPr>
        <w:t>。</w:t>
      </w:r>
    </w:p>
    <w:p>
      <w:pPr>
        <w:pStyle w:val="11"/>
        <w:keepNext w:val="0"/>
        <w:keepLines w:val="0"/>
        <w:pageBreakBefore w:val="0"/>
        <w:widowControl w:val="0"/>
        <w:numPr>
          <w:ilvl w:val="0"/>
          <w:numId w:val="0"/>
        </w:numPr>
        <w:kinsoku/>
        <w:wordWrap/>
        <w:overflowPunct/>
        <w:topLinePunct w:val="0"/>
        <w:autoSpaceDE/>
        <w:autoSpaceDN/>
        <w:bidi w:val="0"/>
        <w:adjustRightInd/>
        <w:snapToGrid/>
        <w:spacing w:after="12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w:t>
      </w:r>
      <w:r>
        <w:rPr>
          <w:rFonts w:hint="eastAsia" w:ascii="仿宋_GB2312" w:eastAsia="仿宋_GB2312"/>
          <w:sz w:val="32"/>
          <w:szCs w:val="32"/>
        </w:rPr>
        <w:t>项目重视成果宣传，基本保持每月在《社会与公益》公众号推广服务信息，同时多次获得省、市级主流媒体及行业平台报道宣传，充分展示社工站服务成效及社工风采，同时，结合中期评估的意见，项目调动社工实务研究动力，积极梳理过往个案、社区服务经验，反思服务短板，提炼产出9篇服务案例文章。</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3" w:firstLineChars="200"/>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w:t>
      </w:r>
      <w:r>
        <w:rPr>
          <w:rFonts w:hint="eastAsia" w:ascii="仿宋_GB2312" w:eastAsia="仿宋_GB2312"/>
          <w:b/>
          <w:bCs/>
          <w:sz w:val="32"/>
          <w:szCs w:val="32"/>
          <w:lang w:eastAsia="zh-CN"/>
        </w:rPr>
        <w:t>需要关注的地</w:t>
      </w:r>
      <w:r>
        <w:rPr>
          <w:rFonts w:hint="eastAsia" w:ascii="仿宋_GB2312" w:eastAsia="仿宋_GB2312"/>
          <w:b/>
          <w:bCs/>
          <w:sz w:val="32"/>
          <w:szCs w:val="32"/>
          <w:lang w:val="en-US" w:eastAsia="zh-CN"/>
        </w:rPr>
        <w:t>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经评委评估分析访谈情况和查阅项目调研、服务方案等各类服务工作痕迹记录资料，该项目情况有以下方面需要关注：</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建议厘清“共学”与“培训”的内涵与外延，结合社工成长需求、服务需求进行多维度、多层次的内部共学内容、形式等设计，动员和发挥项目社工的主体性，推进社工实务经验梳理与“传、帮、带”，以更好地搭建项目人才梯队，促进人员专业能力提升。同时，优化学习成效的跟踪机制，运用科学的方法对社工的成长情况进行动态监测，推动团队专业素养提升的可视化展现。</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项目团队暂未形成突出的研究成果。建议项目持续鼓励社工书写，结合能力提升体系的规划持续提升团队研究能力，持续优化已有稿件质量，积极参与全国性案例征集、全国性论坛征稿、国家级期刊征稿等活动，产出服务案例，争取在国家级期刊上发表，力求在实务研究产出方面取得突破。</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方正小标宋简体" w:hAnsi="方正小标宋简体" w:eastAsia="方正小标宋简体" w:cs="方正小标宋简体"/>
          <w:b/>
          <w:bCs/>
          <w:sz w:val="32"/>
          <w:szCs w:val="32"/>
          <w:lang w:val="en-US" w:eastAsia="zh-CN"/>
        </w:rPr>
      </w:pPr>
      <w:bookmarkStart w:id="41" w:name="bookmark86"/>
      <w:r>
        <w:rPr>
          <w:rFonts w:hint="eastAsia" w:ascii="方正小标宋简体" w:hAnsi="方正小标宋简体" w:eastAsia="方正小标宋简体" w:cs="方正小标宋简体"/>
          <w:b/>
          <w:bCs/>
          <w:sz w:val="32"/>
          <w:szCs w:val="32"/>
          <w:lang w:val="en-US" w:eastAsia="zh-CN"/>
        </w:rPr>
        <w:t>三、评估反馈</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评估反馈主要分为两大环节，一是现场反馈环节，二是对评估报告初稿的意见反馈环节。本次石碁镇社工站的反馈如下：</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1.现场反馈</w:t>
      </w:r>
      <w:r>
        <w:rPr>
          <w:rFonts w:hint="eastAsia" w:ascii="仿宋_GB2312" w:eastAsia="仿宋_GB2312"/>
          <w:sz w:val="32"/>
          <w:szCs w:val="32"/>
          <w:lang w:val="en-US" w:eastAsia="zh-CN"/>
        </w:rPr>
        <w:t>：经过为期一天的评估，评委针对石碁镇社工站的情况，进行了现场总结反馈，在总结反馈环节，石碁镇社工站表示对评委们提出的意见和建议无异议。</w:t>
      </w:r>
    </w:p>
    <w:p>
      <w:pPr>
        <w:pStyle w:val="11"/>
        <w:keepNext w:val="0"/>
        <w:keepLines w:val="0"/>
        <w:pageBreakBefore w:val="0"/>
        <w:widowControl w:val="0"/>
        <w:kinsoku/>
        <w:wordWrap/>
        <w:overflowPunct/>
        <w:topLinePunct w:val="0"/>
        <w:autoSpaceDE/>
        <w:autoSpaceDN/>
        <w:bidi w:val="0"/>
        <w:adjustRightInd/>
        <w:snapToGrid/>
        <w:spacing w:after="120" w:line="560" w:lineRule="exact"/>
        <w:ind w:firstLine="643" w:firstLineChars="200"/>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2.对评估报告初稿的反馈</w:t>
      </w:r>
      <w:r>
        <w:rPr>
          <w:rFonts w:hint="eastAsia" w:ascii="仿宋_GB2312" w:eastAsia="仿宋_GB2312"/>
          <w:sz w:val="32"/>
          <w:szCs w:val="32"/>
          <w:lang w:val="en-US" w:eastAsia="zh-CN"/>
        </w:rPr>
        <w:t>：番禺区民政局、石碁镇人民政府、石碁镇社工站对评估报告初稿无异议。</w:t>
      </w:r>
    </w:p>
    <w:bookmarkEnd w:id="41"/>
    <w:p>
      <w:pPr>
        <w:pStyle w:val="11"/>
        <w:keepNext w:val="0"/>
        <w:keepLines w:val="0"/>
        <w:pageBreakBefore w:val="0"/>
        <w:widowControl w:val="0"/>
        <w:kinsoku/>
        <w:wordWrap/>
        <w:overflowPunct/>
        <w:topLinePunct w:val="0"/>
        <w:autoSpaceDE/>
        <w:autoSpaceDN/>
        <w:bidi w:val="0"/>
        <w:adjustRightInd/>
        <w:snapToGrid/>
        <w:spacing w:after="0" w:line="560" w:lineRule="exact"/>
        <w:ind w:firstLine="643" w:firstLineChars="200"/>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四、评估等级</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经过评估，石碁镇社工站本次末期评估的等级为</w:t>
      </w:r>
      <w:r>
        <w:rPr>
          <w:rFonts w:hint="eastAsia" w:ascii="仿宋_GB2312" w:eastAsia="仿宋_GB2312"/>
          <w:b/>
          <w:bCs/>
          <w:sz w:val="32"/>
          <w:szCs w:val="32"/>
          <w:lang w:val="en-US" w:eastAsia="zh-CN"/>
        </w:rPr>
        <w:t>“良好”（87.46分）</w:t>
      </w:r>
      <w:r>
        <w:rPr>
          <w:rFonts w:hint="eastAsia" w:ascii="仿宋_GB2312" w:eastAsia="仿宋_GB2312"/>
          <w:sz w:val="32"/>
          <w:szCs w:val="32"/>
          <w:lang w:val="en-US" w:eastAsia="zh-CN"/>
        </w:rPr>
        <w:t>。</w:t>
      </w:r>
    </w:p>
    <w:p>
      <w:pPr>
        <w:pStyle w:val="11"/>
        <w:spacing w:after="0" w:line="560" w:lineRule="exact"/>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5"/>
        <w:gridCol w:w="1508"/>
        <w:gridCol w:w="1514"/>
        <w:gridCol w:w="1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pStyle w:val="11"/>
              <w:spacing w:after="0" w:line="560" w:lineRule="exact"/>
              <w:jc w:val="center"/>
              <w:rPr>
                <w:rFonts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评估内容</w:t>
            </w:r>
          </w:p>
        </w:tc>
        <w:tc>
          <w:tcPr>
            <w:tcW w:w="728" w:type="pct"/>
            <w:noWrap w:val="0"/>
            <w:vAlign w:val="center"/>
          </w:tcPr>
          <w:p>
            <w:pPr>
              <w:pStyle w:val="11"/>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pPr>
              <w:pStyle w:val="11"/>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pPr>
              <w:pStyle w:val="11"/>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专业服务板块</w:t>
            </w:r>
          </w:p>
        </w:tc>
        <w:tc>
          <w:tcPr>
            <w:tcW w:w="728" w:type="pct"/>
            <w:noWrap w:val="0"/>
            <w:vAlign w:val="center"/>
          </w:tcPr>
          <w:p>
            <w:pPr>
              <w:keepNext w:val="0"/>
              <w:keepLines w:val="0"/>
              <w:widowControl/>
              <w:suppressLineNumbers w:val="0"/>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55</w:t>
            </w:r>
          </w:p>
        </w:tc>
        <w:tc>
          <w:tcPr>
            <w:tcW w:w="731" w:type="pct"/>
            <w:noWrap w:val="0"/>
            <w:vAlign w:val="center"/>
          </w:tcPr>
          <w:p>
            <w:pPr>
              <w:keepNext w:val="0"/>
              <w:keepLines w:val="0"/>
              <w:widowControl/>
              <w:suppressLineNumbers w:val="0"/>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45.91</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45.91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29"/>
                <w:rFonts w:hint="default" w:ascii="仿宋_GB2312" w:hAnsi="仿宋_GB2312" w:eastAsia="仿宋_GB2312" w:cs="仿宋_GB2312"/>
                <w:sz w:val="28"/>
                <w:szCs w:val="28"/>
                <w:lang w:eastAsia="zh-CN" w:bidi="ar"/>
              </w:rPr>
              <w:t>购买方</w:t>
            </w:r>
          </w:p>
        </w:tc>
        <w:tc>
          <w:tcPr>
            <w:tcW w:w="728" w:type="pct"/>
            <w:noWrap w:val="0"/>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20</w:t>
            </w:r>
          </w:p>
        </w:tc>
        <w:tc>
          <w:tcPr>
            <w:tcW w:w="731" w:type="pct"/>
            <w:noWrap w:val="0"/>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i w:val="0"/>
                <w:iCs w:val="0"/>
                <w:color w:val="000000"/>
                <w:kern w:val="0"/>
                <w:sz w:val="28"/>
                <w:szCs w:val="28"/>
                <w:u w:val="none"/>
                <w:lang w:val="en-US" w:eastAsia="zh-CN" w:bidi="ar"/>
              </w:rPr>
              <w:t>20</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728" w:type="pct"/>
            <w:noWrap w:val="0"/>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15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12.65</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29"/>
                <w:rFonts w:hint="default" w:ascii="仿宋_GB2312" w:hAnsi="仿宋_GB2312" w:eastAsia="仿宋_GB2312" w:cs="仿宋_GB2312"/>
                <w:sz w:val="28"/>
                <w:szCs w:val="28"/>
                <w:lang w:eastAsia="zh-CN" w:bidi="ar"/>
              </w:rPr>
              <w:t>监督方</w:t>
            </w:r>
          </w:p>
        </w:tc>
        <w:tc>
          <w:tcPr>
            <w:tcW w:w="728" w:type="pct"/>
            <w:noWrap w:val="0"/>
            <w:vAlign w:val="center"/>
          </w:tcPr>
          <w:p>
            <w:pPr>
              <w:keepNext w:val="0"/>
              <w:keepLines w:val="0"/>
              <w:widowControl/>
              <w:suppressLineNumbers w:val="0"/>
              <w:jc w:val="center"/>
              <w:textAlignment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i w:val="0"/>
                <w:iCs w:val="0"/>
                <w:color w:val="000000"/>
                <w:kern w:val="0"/>
                <w:sz w:val="28"/>
                <w:szCs w:val="28"/>
                <w:u w:val="none"/>
                <w:lang w:val="en-US"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8.9</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pPr>
              <w:pStyle w:val="11"/>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87.46</w:t>
            </w:r>
          </w:p>
        </w:tc>
      </w:tr>
    </w:tbl>
    <w:p>
      <w:pPr>
        <w:pStyle w:val="11"/>
        <w:keepNext w:val="0"/>
        <w:keepLines w:val="0"/>
        <w:pageBreakBefore w:val="0"/>
        <w:widowControl w:val="0"/>
        <w:tabs>
          <w:tab w:val="left" w:pos="1263"/>
        </w:tabs>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方正小标宋简体" w:hAnsi="方正小标宋简体" w:eastAsia="方正小标宋简体" w:cs="方正小标宋简体"/>
          <w:sz w:val="32"/>
          <w:szCs w:val="32"/>
        </w:rPr>
      </w:pPr>
      <w:bookmarkStart w:id="42" w:name="bookmark87"/>
      <w:r>
        <w:rPr>
          <w:rFonts w:hint="eastAsia" w:ascii="方正小标宋简体" w:hAnsi="方正小标宋简体" w:eastAsia="方正小标宋简体" w:cs="方正小标宋简体"/>
          <w:b/>
          <w:bCs/>
          <w:sz w:val="32"/>
          <w:szCs w:val="32"/>
        </w:rPr>
        <w:t>五</w:t>
      </w:r>
      <w:bookmarkEnd w:id="42"/>
      <w:r>
        <w:rPr>
          <w:rFonts w:hint="eastAsia" w:ascii="方正小标宋简体" w:hAnsi="方正小标宋简体" w:eastAsia="方正小标宋简体" w:cs="方正小标宋简体"/>
          <w:b/>
          <w:bCs/>
          <w:sz w:val="32"/>
          <w:szCs w:val="32"/>
        </w:rPr>
        <w:t>、结语</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eastAsia="zh-CN"/>
        </w:rPr>
        <w:t>石碁镇社工服务站在番禺区民政局、</w:t>
      </w:r>
      <w:r>
        <w:rPr>
          <w:rFonts w:hint="eastAsia" w:ascii="仿宋_GB2312" w:eastAsia="仿宋_GB2312"/>
          <w:color w:val="auto"/>
          <w:sz w:val="32"/>
          <w:szCs w:val="32"/>
          <w:lang w:eastAsia="zh-CN"/>
        </w:rPr>
        <w:t>石碁镇党委和石碁镇人民政府</w:t>
      </w:r>
      <w:r>
        <w:rPr>
          <w:rFonts w:hint="eastAsia" w:ascii="仿宋_GB2312" w:eastAsia="仿宋_GB2312"/>
          <w:sz w:val="32"/>
          <w:szCs w:val="32"/>
          <w:lang w:eastAsia="zh-CN"/>
        </w:rPr>
        <w:t>的大力支持下，在广州市阳光天使社会工作服务中心的努力下，已运营接近一年</w:t>
      </w:r>
      <w:r>
        <w:rPr>
          <w:rFonts w:hint="eastAsia" w:ascii="仿宋_GB2312" w:eastAsia="仿宋_GB2312"/>
          <w:sz w:val="32"/>
          <w:szCs w:val="32"/>
          <w:lang w:val="en-US" w:eastAsia="zh-CN"/>
        </w:rPr>
        <w:t>时间</w:t>
      </w:r>
      <w:r>
        <w:rPr>
          <w:rFonts w:hint="eastAsia" w:ascii="仿宋_GB2312" w:eastAsia="仿宋_GB2312"/>
          <w:sz w:val="32"/>
          <w:szCs w:val="32"/>
          <w:lang w:eastAsia="zh-CN"/>
        </w:rPr>
        <w:t>，</w:t>
      </w:r>
      <w:r>
        <w:rPr>
          <w:rFonts w:hint="eastAsia" w:ascii="仿宋_GB2312" w:eastAsia="仿宋_GB2312"/>
          <w:sz w:val="32"/>
          <w:szCs w:val="32"/>
          <w:lang w:val="en-US" w:eastAsia="zh-CN"/>
        </w:rPr>
        <w:t>社工站人员管理情况良好，在地化程度高，熟悉本土情况，服务内控制度运行良好，积极开展宣传工作，积极配合镇各职能部门和各村居开展工作，关注辖区内的困难群众和特殊群体，服务对象的满意度较高。</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建议石碁镇社工站完善社工站党组织建设，提升站点的持证水平，提升专业服务能力，进一步落实困难群众和特殊群体的服务，及时针对新标导向变化调整服务策略，进一步优化困难群众和特殊群体的个别化需求评估，加强服务成效的管理意识，持续提升团队研究能力，力求在实务研究产出方面取得突破。</w:t>
      </w:r>
    </w:p>
    <w:p>
      <w:pPr>
        <w:tabs>
          <w:tab w:val="left" w:pos="1960"/>
        </w:tabs>
        <w:spacing w:line="560" w:lineRule="exact"/>
        <w:rPr>
          <w:rFonts w:hint="eastAsia" w:ascii="仿宋_GB2312" w:hAnsi="仿宋_GB2312" w:eastAsia="仿宋_GB2312" w:cs="仿宋_GB2312"/>
          <w:sz w:val="32"/>
          <w:szCs w:val="32"/>
          <w:lang w:eastAsia="zh-CN"/>
        </w:rPr>
      </w:pPr>
    </w:p>
    <w:p>
      <w:pPr>
        <w:tabs>
          <w:tab w:val="left" w:pos="1960"/>
        </w:tabs>
        <w:spacing w:line="560" w:lineRule="exact"/>
        <w:rPr>
          <w:rFonts w:hint="eastAsia" w:ascii="仿宋_GB2312" w:hAnsi="仿宋_GB2312" w:eastAsia="仿宋_GB2312" w:cs="仿宋_GB2312"/>
          <w:sz w:val="32"/>
          <w:szCs w:val="32"/>
          <w:lang w:eastAsia="zh-CN"/>
        </w:rPr>
      </w:pPr>
    </w:p>
    <w:p>
      <w:pPr>
        <w:tabs>
          <w:tab w:val="left" w:pos="1960"/>
        </w:tabs>
        <w:spacing w:line="560" w:lineRule="exact"/>
        <w:ind w:firstLine="5120" w:firstLineChars="16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广州市番禺区社会组织联合会</w:t>
      </w:r>
    </w:p>
    <w:p>
      <w:pPr>
        <w:tabs>
          <w:tab w:val="left" w:pos="1960"/>
        </w:tabs>
        <w:spacing w:line="560" w:lineRule="exact"/>
        <w:ind w:firstLine="6400" w:firstLineChars="2000"/>
        <w:rPr>
          <w:rFonts w:hint="eastAsia"/>
          <w:sz w:val="32"/>
          <w:szCs w:val="32"/>
          <w:lang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lang w:eastAsia="zh-CN"/>
        </w:rPr>
        <w:t>日</w:t>
      </w:r>
    </w:p>
    <w:sectPr>
      <w:footerReference r:id="rId3" w:type="default"/>
      <w:footerReference r:id="rId4" w:type="even"/>
      <w:pgSz w:w="11900" w:h="16840"/>
      <w:pgMar w:top="1298" w:right="879" w:bottom="1372" w:left="884" w:header="457" w:footer="448" w:gutter="0"/>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PMingLiU">
    <w:altName w:val="PMingLiU-ExtB"/>
    <w:panose1 w:val="02020500000000000000"/>
    <w:charset w:val="88"/>
    <w:family w:val="auto"/>
    <w:pitch w:val="default"/>
    <w:sig w:usb0="00000000" w:usb1="00000000" w:usb2="00000016" w:usb3="00000000" w:csb0="0010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7167EC6"/>
    <w:multiLevelType w:val="singleLevel"/>
    <w:tmpl w:val="C7167EC6"/>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181"/>
  <w:drawingGridVerticalSpacing w:val="181"/>
  <w:displayHorizontalDrawingGridEvery w:val="1"/>
  <w:displayVerticalDrawingGridEvery w:val="1"/>
  <w:noPunctuationKerning w:val="1"/>
  <w:characterSpacingControl w:val="compressPunctuation"/>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7A652B"/>
    <w:rsid w:val="00060BA1"/>
    <w:rsid w:val="00074709"/>
    <w:rsid w:val="000A0900"/>
    <w:rsid w:val="000B3DAE"/>
    <w:rsid w:val="000D5928"/>
    <w:rsid w:val="00100EBB"/>
    <w:rsid w:val="0012595B"/>
    <w:rsid w:val="00157E47"/>
    <w:rsid w:val="0018010D"/>
    <w:rsid w:val="00186418"/>
    <w:rsid w:val="001D2782"/>
    <w:rsid w:val="001D2B83"/>
    <w:rsid w:val="00206D04"/>
    <w:rsid w:val="00212EC9"/>
    <w:rsid w:val="002154A1"/>
    <w:rsid w:val="002327CA"/>
    <w:rsid w:val="00234BF7"/>
    <w:rsid w:val="00253F6B"/>
    <w:rsid w:val="0027170F"/>
    <w:rsid w:val="002D05DE"/>
    <w:rsid w:val="00317FA2"/>
    <w:rsid w:val="00350F47"/>
    <w:rsid w:val="003665AE"/>
    <w:rsid w:val="003669C1"/>
    <w:rsid w:val="003803C8"/>
    <w:rsid w:val="003C77C6"/>
    <w:rsid w:val="003E3ADE"/>
    <w:rsid w:val="00411967"/>
    <w:rsid w:val="00422D04"/>
    <w:rsid w:val="00427C8B"/>
    <w:rsid w:val="0043145C"/>
    <w:rsid w:val="00454645"/>
    <w:rsid w:val="00460DFB"/>
    <w:rsid w:val="00472704"/>
    <w:rsid w:val="00494EC2"/>
    <w:rsid w:val="004B4603"/>
    <w:rsid w:val="004C08B5"/>
    <w:rsid w:val="004C39BE"/>
    <w:rsid w:val="004D275E"/>
    <w:rsid w:val="004D63C6"/>
    <w:rsid w:val="004E1129"/>
    <w:rsid w:val="004E68D2"/>
    <w:rsid w:val="00551005"/>
    <w:rsid w:val="005870E4"/>
    <w:rsid w:val="00592E2C"/>
    <w:rsid w:val="005E26E4"/>
    <w:rsid w:val="005F2CD6"/>
    <w:rsid w:val="005F43E0"/>
    <w:rsid w:val="005F731D"/>
    <w:rsid w:val="006030FC"/>
    <w:rsid w:val="00621D94"/>
    <w:rsid w:val="006B287E"/>
    <w:rsid w:val="006C3B93"/>
    <w:rsid w:val="00722105"/>
    <w:rsid w:val="00725084"/>
    <w:rsid w:val="00735243"/>
    <w:rsid w:val="00755D16"/>
    <w:rsid w:val="00775053"/>
    <w:rsid w:val="007A652B"/>
    <w:rsid w:val="007A70D6"/>
    <w:rsid w:val="007C21CD"/>
    <w:rsid w:val="007E71CF"/>
    <w:rsid w:val="007F0C37"/>
    <w:rsid w:val="00815087"/>
    <w:rsid w:val="00851DFE"/>
    <w:rsid w:val="008538F3"/>
    <w:rsid w:val="00880358"/>
    <w:rsid w:val="0089092A"/>
    <w:rsid w:val="008B383B"/>
    <w:rsid w:val="008C125C"/>
    <w:rsid w:val="008C5415"/>
    <w:rsid w:val="00907658"/>
    <w:rsid w:val="009120D0"/>
    <w:rsid w:val="00917057"/>
    <w:rsid w:val="009445F8"/>
    <w:rsid w:val="00972F07"/>
    <w:rsid w:val="00983E06"/>
    <w:rsid w:val="0098709A"/>
    <w:rsid w:val="009C606E"/>
    <w:rsid w:val="009E2FF6"/>
    <w:rsid w:val="009F7F69"/>
    <w:rsid w:val="00A014E1"/>
    <w:rsid w:val="00A40E6C"/>
    <w:rsid w:val="00A60E1C"/>
    <w:rsid w:val="00A76D16"/>
    <w:rsid w:val="00A824A1"/>
    <w:rsid w:val="00AB0C45"/>
    <w:rsid w:val="00AC3733"/>
    <w:rsid w:val="00AC5FDD"/>
    <w:rsid w:val="00B1281B"/>
    <w:rsid w:val="00B17816"/>
    <w:rsid w:val="00B3659A"/>
    <w:rsid w:val="00B70EE4"/>
    <w:rsid w:val="00BA63BD"/>
    <w:rsid w:val="00BC269B"/>
    <w:rsid w:val="00C429AC"/>
    <w:rsid w:val="00C71ADB"/>
    <w:rsid w:val="00CB390D"/>
    <w:rsid w:val="00CC190C"/>
    <w:rsid w:val="00CD6A08"/>
    <w:rsid w:val="00CD7A60"/>
    <w:rsid w:val="00CF18CD"/>
    <w:rsid w:val="00D05FB1"/>
    <w:rsid w:val="00D14CC9"/>
    <w:rsid w:val="00D176FF"/>
    <w:rsid w:val="00D21EDF"/>
    <w:rsid w:val="00D81DB4"/>
    <w:rsid w:val="00DB28B2"/>
    <w:rsid w:val="00DB7BCB"/>
    <w:rsid w:val="00DC025C"/>
    <w:rsid w:val="00DD1554"/>
    <w:rsid w:val="00E0354E"/>
    <w:rsid w:val="00E75BAC"/>
    <w:rsid w:val="00E840C1"/>
    <w:rsid w:val="00EB3B89"/>
    <w:rsid w:val="00EF06EA"/>
    <w:rsid w:val="00F27336"/>
    <w:rsid w:val="00F30FE5"/>
    <w:rsid w:val="00F32FDD"/>
    <w:rsid w:val="00F45A3B"/>
    <w:rsid w:val="00FE4689"/>
    <w:rsid w:val="02A20B47"/>
    <w:rsid w:val="02BC3862"/>
    <w:rsid w:val="04F87532"/>
    <w:rsid w:val="080B7CE8"/>
    <w:rsid w:val="0CAD0F0E"/>
    <w:rsid w:val="0DFA2141"/>
    <w:rsid w:val="0F5F621B"/>
    <w:rsid w:val="11DF6E40"/>
    <w:rsid w:val="12A57677"/>
    <w:rsid w:val="155B596A"/>
    <w:rsid w:val="17C37D14"/>
    <w:rsid w:val="191A18A1"/>
    <w:rsid w:val="19F84D3C"/>
    <w:rsid w:val="1E3C569C"/>
    <w:rsid w:val="27351044"/>
    <w:rsid w:val="28276E95"/>
    <w:rsid w:val="2E474078"/>
    <w:rsid w:val="305D0FA1"/>
    <w:rsid w:val="30B0352C"/>
    <w:rsid w:val="317E53E5"/>
    <w:rsid w:val="322E3E07"/>
    <w:rsid w:val="32E75E2A"/>
    <w:rsid w:val="33733380"/>
    <w:rsid w:val="337C4ADF"/>
    <w:rsid w:val="34275581"/>
    <w:rsid w:val="34C04A0F"/>
    <w:rsid w:val="35251A88"/>
    <w:rsid w:val="358947C0"/>
    <w:rsid w:val="35DC5B4E"/>
    <w:rsid w:val="363F1298"/>
    <w:rsid w:val="36447BAA"/>
    <w:rsid w:val="366E76BE"/>
    <w:rsid w:val="380500CD"/>
    <w:rsid w:val="382C41F8"/>
    <w:rsid w:val="386A37A9"/>
    <w:rsid w:val="39C82C53"/>
    <w:rsid w:val="3A3C3EA8"/>
    <w:rsid w:val="3BF64F6F"/>
    <w:rsid w:val="3CD86842"/>
    <w:rsid w:val="3D246C4A"/>
    <w:rsid w:val="3EE16F43"/>
    <w:rsid w:val="405A57B2"/>
    <w:rsid w:val="40FD2F42"/>
    <w:rsid w:val="41C11822"/>
    <w:rsid w:val="447847A3"/>
    <w:rsid w:val="476E09E7"/>
    <w:rsid w:val="48B80921"/>
    <w:rsid w:val="49191669"/>
    <w:rsid w:val="49A2779A"/>
    <w:rsid w:val="49D84C94"/>
    <w:rsid w:val="49F61E0E"/>
    <w:rsid w:val="4BAE2A13"/>
    <w:rsid w:val="51A82DBE"/>
    <w:rsid w:val="54A96001"/>
    <w:rsid w:val="57DF1037"/>
    <w:rsid w:val="58BA0675"/>
    <w:rsid w:val="58D36FD9"/>
    <w:rsid w:val="638628D7"/>
    <w:rsid w:val="687B72EE"/>
    <w:rsid w:val="692C52D6"/>
    <w:rsid w:val="6B001D41"/>
    <w:rsid w:val="6BAA5C54"/>
    <w:rsid w:val="6D2800D2"/>
    <w:rsid w:val="6DEB82C1"/>
    <w:rsid w:val="6FF43256"/>
    <w:rsid w:val="70827212"/>
    <w:rsid w:val="72FDB6E1"/>
    <w:rsid w:val="74A70E32"/>
    <w:rsid w:val="75B4336E"/>
    <w:rsid w:val="76204B6E"/>
    <w:rsid w:val="76504984"/>
    <w:rsid w:val="78582392"/>
    <w:rsid w:val="7B8C4F01"/>
    <w:rsid w:val="7BFF964B"/>
    <w:rsid w:val="7C145D5E"/>
    <w:rsid w:val="7C2C4FEC"/>
    <w:rsid w:val="7CD505C0"/>
    <w:rsid w:val="7EA128FE"/>
    <w:rsid w:val="7ECF3FCE"/>
    <w:rsid w:val="7F6F1612"/>
    <w:rsid w:val="8FFAA539"/>
    <w:rsid w:val="CD47E969"/>
    <w:rsid w:val="D9EF3C45"/>
    <w:rsid w:val="DBDEB521"/>
    <w:rsid w:val="F516F2DB"/>
    <w:rsid w:val="FEDF0686"/>
    <w:rsid w:val="FF31AFF0"/>
    <w:rsid w:val="FF7C2F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28"/>
    <w:qFormat/>
    <w:uiPriority w:val="0"/>
    <w:pPr>
      <w:tabs>
        <w:tab w:val="center" w:pos="4153"/>
        <w:tab w:val="right" w:pos="8306"/>
      </w:tabs>
      <w:snapToGrid w:val="0"/>
    </w:pPr>
    <w:rPr>
      <w:sz w:val="18"/>
      <w:szCs w:val="18"/>
    </w:rPr>
  </w:style>
  <w:style w:type="paragraph" w:styleId="4">
    <w:name w:val="header"/>
    <w:basedOn w:val="1"/>
    <w:link w:val="27"/>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Heading #1|1_"/>
    <w:basedOn w:val="7"/>
    <w:link w:val="9"/>
    <w:qFormat/>
    <w:uiPriority w:val="0"/>
    <w:rPr>
      <w:rFonts w:ascii="宋体" w:hAnsi="宋体" w:eastAsia="宋体" w:cs="宋体"/>
      <w:sz w:val="40"/>
      <w:szCs w:val="40"/>
      <w:u w:val="none"/>
      <w:shd w:val="clear" w:color="auto" w:fill="auto"/>
      <w:lang w:val="zh-TW" w:eastAsia="zh-TW" w:bidi="zh-TW"/>
    </w:rPr>
  </w:style>
  <w:style w:type="paragraph" w:customStyle="1" w:styleId="9">
    <w:name w:val="Heading #1|1"/>
    <w:basedOn w:val="1"/>
    <w:link w:val="8"/>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0">
    <w:name w:val="Body text|1_"/>
    <w:basedOn w:val="7"/>
    <w:link w:val="11"/>
    <w:qFormat/>
    <w:uiPriority w:val="0"/>
    <w:rPr>
      <w:rFonts w:ascii="宋体" w:hAnsi="宋体" w:eastAsia="宋体" w:cs="宋体"/>
      <w:sz w:val="28"/>
      <w:szCs w:val="28"/>
      <w:u w:val="none"/>
      <w:shd w:val="clear" w:color="auto" w:fill="auto"/>
      <w:lang w:val="zh-TW" w:eastAsia="zh-TW" w:bidi="zh-TW"/>
    </w:rPr>
  </w:style>
  <w:style w:type="paragraph" w:customStyle="1" w:styleId="11">
    <w:name w:val="Body text|1"/>
    <w:basedOn w:val="1"/>
    <w:link w:val="10"/>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2">
    <w:name w:val="Header or footer|2_"/>
    <w:basedOn w:val="7"/>
    <w:link w:val="13"/>
    <w:qFormat/>
    <w:uiPriority w:val="0"/>
    <w:rPr>
      <w:sz w:val="20"/>
      <w:szCs w:val="20"/>
      <w:u w:val="none"/>
      <w:shd w:val="clear" w:color="auto" w:fill="auto"/>
      <w:lang w:val="zh-TW" w:eastAsia="zh-TW" w:bidi="zh-TW"/>
    </w:rPr>
  </w:style>
  <w:style w:type="paragraph" w:customStyle="1" w:styleId="13">
    <w:name w:val="Header or footer|2"/>
    <w:basedOn w:val="1"/>
    <w:link w:val="12"/>
    <w:qFormat/>
    <w:uiPriority w:val="0"/>
    <w:rPr>
      <w:sz w:val="20"/>
      <w:szCs w:val="20"/>
      <w:lang w:val="zh-TW" w:eastAsia="zh-TW" w:bidi="zh-TW"/>
    </w:rPr>
  </w:style>
  <w:style w:type="character" w:customStyle="1" w:styleId="14">
    <w:name w:val="Header or footer|1_"/>
    <w:basedOn w:val="7"/>
    <w:link w:val="15"/>
    <w:qFormat/>
    <w:uiPriority w:val="0"/>
    <w:rPr>
      <w:rFonts w:ascii="宋体" w:hAnsi="宋体" w:eastAsia="宋体" w:cs="宋体"/>
      <w:sz w:val="26"/>
      <w:szCs w:val="26"/>
      <w:u w:val="none"/>
      <w:shd w:val="clear" w:color="auto" w:fill="auto"/>
      <w:lang w:val="zh-TW" w:eastAsia="zh-TW" w:bidi="zh-TW"/>
    </w:rPr>
  </w:style>
  <w:style w:type="paragraph" w:customStyle="1" w:styleId="15">
    <w:name w:val="Header or footer|1"/>
    <w:basedOn w:val="1"/>
    <w:link w:val="14"/>
    <w:qFormat/>
    <w:uiPriority w:val="0"/>
    <w:rPr>
      <w:rFonts w:ascii="宋体" w:hAnsi="宋体" w:eastAsia="宋体" w:cs="宋体"/>
      <w:sz w:val="26"/>
      <w:szCs w:val="26"/>
      <w:lang w:val="zh-TW" w:eastAsia="zh-TW" w:bidi="zh-TW"/>
    </w:rPr>
  </w:style>
  <w:style w:type="character" w:customStyle="1" w:styleId="16">
    <w:name w:val="Body text|2_"/>
    <w:basedOn w:val="7"/>
    <w:link w:val="17"/>
    <w:qFormat/>
    <w:uiPriority w:val="0"/>
    <w:rPr>
      <w:rFonts w:ascii="宋体" w:hAnsi="宋体" w:eastAsia="宋体" w:cs="宋体"/>
      <w:sz w:val="22"/>
      <w:szCs w:val="22"/>
      <w:u w:val="none"/>
      <w:shd w:val="clear" w:color="auto" w:fill="auto"/>
      <w:lang w:val="zh-TW" w:eastAsia="zh-TW" w:bidi="zh-TW"/>
    </w:rPr>
  </w:style>
  <w:style w:type="paragraph" w:customStyle="1" w:styleId="17">
    <w:name w:val="Body text|2"/>
    <w:basedOn w:val="1"/>
    <w:link w:val="16"/>
    <w:qFormat/>
    <w:uiPriority w:val="0"/>
    <w:pPr>
      <w:spacing w:after="240"/>
    </w:pPr>
    <w:rPr>
      <w:rFonts w:ascii="宋体" w:hAnsi="宋体" w:eastAsia="宋体" w:cs="宋体"/>
      <w:sz w:val="22"/>
      <w:szCs w:val="22"/>
      <w:lang w:val="zh-TW" w:eastAsia="zh-TW" w:bidi="zh-TW"/>
    </w:rPr>
  </w:style>
  <w:style w:type="character" w:customStyle="1" w:styleId="18">
    <w:name w:val="Other|1_"/>
    <w:basedOn w:val="7"/>
    <w:link w:val="19"/>
    <w:qFormat/>
    <w:uiPriority w:val="0"/>
    <w:rPr>
      <w:rFonts w:ascii="宋体" w:hAnsi="宋体" w:eastAsia="宋体" w:cs="宋体"/>
      <w:sz w:val="28"/>
      <w:szCs w:val="28"/>
      <w:u w:val="none"/>
      <w:shd w:val="clear" w:color="auto" w:fill="auto"/>
      <w:lang w:val="zh-TW" w:eastAsia="zh-TW" w:bidi="zh-TW"/>
    </w:rPr>
  </w:style>
  <w:style w:type="paragraph" w:customStyle="1" w:styleId="19">
    <w:name w:val="Other|1"/>
    <w:basedOn w:val="1"/>
    <w:link w:val="18"/>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0">
    <w:name w:val="Other|2_"/>
    <w:basedOn w:val="7"/>
    <w:link w:val="21"/>
    <w:qFormat/>
    <w:uiPriority w:val="0"/>
    <w:rPr>
      <w:rFonts w:ascii="宋体" w:hAnsi="宋体" w:eastAsia="宋体" w:cs="宋体"/>
      <w:sz w:val="15"/>
      <w:szCs w:val="15"/>
      <w:u w:val="none"/>
      <w:shd w:val="clear" w:color="auto" w:fill="auto"/>
      <w:lang w:val="zh-TW" w:eastAsia="zh-TW" w:bidi="zh-TW"/>
    </w:rPr>
  </w:style>
  <w:style w:type="paragraph" w:customStyle="1" w:styleId="21">
    <w:name w:val="Other|2"/>
    <w:basedOn w:val="1"/>
    <w:link w:val="20"/>
    <w:qFormat/>
    <w:uiPriority w:val="0"/>
    <w:pPr>
      <w:spacing w:line="177" w:lineRule="exact"/>
      <w:jc w:val="center"/>
    </w:pPr>
    <w:rPr>
      <w:rFonts w:ascii="宋体" w:hAnsi="宋体" w:eastAsia="宋体" w:cs="宋体"/>
      <w:sz w:val="15"/>
      <w:szCs w:val="15"/>
      <w:lang w:val="zh-TW" w:eastAsia="zh-TW" w:bidi="zh-TW"/>
    </w:rPr>
  </w:style>
  <w:style w:type="character" w:customStyle="1" w:styleId="22">
    <w:name w:val="Body text|3_"/>
    <w:basedOn w:val="7"/>
    <w:link w:val="23"/>
    <w:qFormat/>
    <w:uiPriority w:val="0"/>
    <w:rPr>
      <w:rFonts w:ascii="宋体" w:hAnsi="宋体" w:eastAsia="宋体" w:cs="宋体"/>
      <w:sz w:val="15"/>
      <w:szCs w:val="15"/>
      <w:u w:val="none"/>
      <w:shd w:val="clear" w:color="auto" w:fill="auto"/>
      <w:lang w:val="zh-TW" w:eastAsia="zh-TW" w:bidi="zh-TW"/>
    </w:rPr>
  </w:style>
  <w:style w:type="paragraph" w:customStyle="1" w:styleId="23">
    <w:name w:val="Body text|3"/>
    <w:basedOn w:val="1"/>
    <w:link w:val="22"/>
    <w:qFormat/>
    <w:uiPriority w:val="0"/>
    <w:rPr>
      <w:rFonts w:ascii="宋体" w:hAnsi="宋体" w:eastAsia="宋体" w:cs="宋体"/>
      <w:sz w:val="15"/>
      <w:szCs w:val="15"/>
      <w:lang w:val="zh-TW" w:eastAsia="zh-TW" w:bidi="zh-TW"/>
    </w:rPr>
  </w:style>
  <w:style w:type="character" w:customStyle="1" w:styleId="24">
    <w:name w:val="Picture caption|1_"/>
    <w:basedOn w:val="7"/>
    <w:link w:val="25"/>
    <w:qFormat/>
    <w:uiPriority w:val="0"/>
    <w:rPr>
      <w:rFonts w:ascii="宋体" w:hAnsi="宋体" w:eastAsia="宋体" w:cs="宋体"/>
      <w:sz w:val="20"/>
      <w:szCs w:val="20"/>
      <w:u w:val="none"/>
      <w:shd w:val="clear" w:color="auto" w:fill="auto"/>
      <w:lang w:val="zh-TW" w:eastAsia="zh-TW" w:bidi="zh-TW"/>
    </w:rPr>
  </w:style>
  <w:style w:type="paragraph" w:customStyle="1" w:styleId="25">
    <w:name w:val="Picture caption|1"/>
    <w:basedOn w:val="1"/>
    <w:link w:val="24"/>
    <w:qFormat/>
    <w:uiPriority w:val="0"/>
    <w:pPr>
      <w:jc w:val="center"/>
    </w:pPr>
    <w:rPr>
      <w:rFonts w:ascii="宋体" w:hAnsi="宋体" w:eastAsia="宋体" w:cs="宋体"/>
      <w:sz w:val="20"/>
      <w:szCs w:val="20"/>
      <w:lang w:val="zh-TW" w:eastAsia="zh-TW" w:bidi="zh-TW"/>
    </w:rPr>
  </w:style>
  <w:style w:type="paragraph" w:styleId="26">
    <w:name w:val="List Paragraph"/>
    <w:basedOn w:val="1"/>
    <w:qFormat/>
    <w:uiPriority w:val="34"/>
    <w:pPr>
      <w:ind w:firstLine="420" w:firstLineChars="200"/>
    </w:pPr>
  </w:style>
  <w:style w:type="character" w:customStyle="1" w:styleId="27">
    <w:name w:val="页眉 Char"/>
    <w:basedOn w:val="7"/>
    <w:link w:val="4"/>
    <w:qFormat/>
    <w:uiPriority w:val="0"/>
    <w:rPr>
      <w:rFonts w:eastAsia="Times New Roman"/>
      <w:color w:val="000000"/>
      <w:sz w:val="18"/>
      <w:szCs w:val="18"/>
      <w:lang w:eastAsia="en-US" w:bidi="en-US"/>
    </w:rPr>
  </w:style>
  <w:style w:type="character" w:customStyle="1" w:styleId="28">
    <w:name w:val="页脚 Char"/>
    <w:basedOn w:val="7"/>
    <w:link w:val="3"/>
    <w:qFormat/>
    <w:uiPriority w:val="0"/>
    <w:rPr>
      <w:rFonts w:eastAsia="Times New Roman"/>
      <w:color w:val="000000"/>
      <w:sz w:val="18"/>
      <w:szCs w:val="18"/>
      <w:lang w:eastAsia="en-US" w:bidi="en-US"/>
    </w:rPr>
  </w:style>
  <w:style w:type="character" w:customStyle="1" w:styleId="29">
    <w:name w:val="font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13649</Words>
  <Characters>14104</Characters>
  <Lines>75</Lines>
  <Paragraphs>21</Paragraphs>
  <TotalTime>118</TotalTime>
  <ScaleCrop>false</ScaleCrop>
  <LinksUpToDate>false</LinksUpToDate>
  <CharactersWithSpaces>14143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2023-07-28T19:06:00Z</dcterms:created>
  <dc:creator>WPS Office</dc:creator>
  <cp:lastModifiedBy>Administrator</cp:lastModifiedBy>
  <dcterms:modified xsi:type="dcterms:W3CDTF">2025-09-30T02:32:38Z</dcterms:modified>
  <dc:title>KM_C364e-20200923144555</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43F6DEB5F7EC4FBEA8189402BBBB5D8A_13</vt:lpwstr>
  </property>
  <property fmtid="{D5CDD505-2E9C-101B-9397-08002B2CF9AE}" pid="4" name="KSOTemplateDocerSaveRecord">
    <vt:lpwstr>eyJoZGlkIjoiZDZhZGYwNTVjNmEwZDlmYmM0M2UzYmUxZTMyY2ZhNTgiLCJ1c2VySWQiOiIyOTU1NTMyNTMifQ==</vt:lpwstr>
  </property>
</Properties>
</file>