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keepLines/>
        <w:spacing w:before="0" w:after="0" w:line="560" w:lineRule="exact"/>
        <w:rPr>
          <w:rFonts w:ascii="方正小标宋简体" w:eastAsia="方正小标宋简体"/>
          <w:color w:val="auto"/>
          <w:lang w:val="en-US"/>
        </w:rPr>
      </w:pPr>
      <w:bookmarkStart w:id="58" w:name="_GoBack"/>
      <w:bookmarkEnd w:id="58"/>
      <w:bookmarkStart w:id="0" w:name="bookmark0"/>
      <w:bookmarkStart w:id="1" w:name="bookmark1"/>
      <w:bookmarkStart w:id="2" w:name="bookmark2"/>
    </w:p>
    <w:p>
      <w:pPr>
        <w:pStyle w:val="11"/>
        <w:keepNext/>
        <w:keepLines/>
        <w:spacing w:before="0" w:after="0" w:line="560" w:lineRule="exact"/>
        <w:rPr>
          <w:rFonts w:ascii="方正小标宋简体" w:eastAsia="PMingLiU"/>
          <w:color w:val="auto"/>
          <w:lang w:val="en-US"/>
        </w:rPr>
      </w:pPr>
    </w:p>
    <w:p>
      <w:pPr>
        <w:pStyle w:val="11"/>
        <w:keepNext/>
        <w:keepLines/>
        <w:spacing w:before="0" w:after="0" w:line="560" w:lineRule="exact"/>
        <w:rPr>
          <w:rFonts w:ascii="方正小标宋简体" w:eastAsia="PMingLiU"/>
          <w:color w:val="auto"/>
          <w:lang w:val="en-US"/>
        </w:rPr>
      </w:pPr>
    </w:p>
    <w:p>
      <w:pPr>
        <w:pStyle w:val="11"/>
        <w:keepNext/>
        <w:keepLines/>
        <w:spacing w:before="0" w:after="0" w:line="560" w:lineRule="exact"/>
        <w:rPr>
          <w:rFonts w:ascii="方正小标宋简体" w:eastAsia="方正小标宋简体"/>
          <w:b/>
          <w:bCs/>
          <w:color w:val="auto"/>
          <w:sz w:val="44"/>
          <w:szCs w:val="44"/>
        </w:rPr>
      </w:pPr>
      <w:r>
        <w:rPr>
          <w:rFonts w:hint="eastAsia" w:ascii="方正小标宋简体" w:eastAsia="方正小标宋简体"/>
          <w:b/>
          <w:bCs/>
          <w:color w:val="auto"/>
          <w:sz w:val="44"/>
          <w:szCs w:val="44"/>
          <w:lang w:val="en-US" w:eastAsia="zh-CN"/>
        </w:rPr>
        <w:t>大龙街</w:t>
      </w:r>
      <w:r>
        <w:rPr>
          <w:rFonts w:hint="eastAsia" w:ascii="方正小标宋简体" w:eastAsia="方正小标宋简体"/>
          <w:b/>
          <w:bCs/>
          <w:color w:val="auto"/>
          <w:sz w:val="44"/>
          <w:szCs w:val="44"/>
          <w:lang w:val="en-US"/>
        </w:rPr>
        <w:t>社工</w:t>
      </w:r>
      <w:r>
        <w:rPr>
          <w:rFonts w:hint="eastAsia" w:ascii="方正小标宋简体" w:eastAsia="方正小标宋简体"/>
          <w:b/>
          <w:bCs/>
          <w:color w:val="auto"/>
          <w:sz w:val="44"/>
          <w:szCs w:val="44"/>
        </w:rPr>
        <w:t>服务站</w:t>
      </w:r>
      <w:r>
        <w:rPr>
          <w:rFonts w:hint="eastAsia" w:ascii="方正小标宋简体" w:eastAsia="方正小标宋简体"/>
          <w:b/>
          <w:bCs/>
          <w:color w:val="auto"/>
          <w:sz w:val="44"/>
          <w:szCs w:val="44"/>
          <w:lang w:eastAsia="zh-CN"/>
        </w:rPr>
        <w:t>末期</w:t>
      </w:r>
      <w:r>
        <w:rPr>
          <w:rFonts w:hint="eastAsia" w:ascii="方正小标宋简体" w:eastAsia="方正小标宋简体"/>
          <w:b/>
          <w:bCs/>
          <w:color w:val="auto"/>
          <w:sz w:val="44"/>
          <w:szCs w:val="44"/>
        </w:rPr>
        <w:t>评估报告</w:t>
      </w:r>
      <w:bookmarkEnd w:id="0"/>
      <w:bookmarkEnd w:id="1"/>
      <w:bookmarkEnd w:id="2"/>
    </w:p>
    <w:p>
      <w:pPr>
        <w:pStyle w:val="11"/>
        <w:keepNext/>
        <w:keepLines/>
        <w:spacing w:before="0" w:after="0" w:line="560" w:lineRule="exact"/>
        <w:rPr>
          <w:rFonts w:ascii="方正小标宋简体" w:eastAsia="方正小标宋简体"/>
          <w:b/>
          <w:bCs/>
          <w:color w:val="auto"/>
          <w:sz w:val="44"/>
          <w:szCs w:val="44"/>
          <w:lang w:eastAsia="zh-CN"/>
        </w:rPr>
      </w:pPr>
      <w:r>
        <w:rPr>
          <w:rFonts w:hint="eastAsia" w:ascii="方正小标宋简体" w:eastAsia="方正小标宋简体"/>
          <w:b/>
          <w:bCs/>
          <w:color w:val="auto"/>
          <w:sz w:val="44"/>
          <w:szCs w:val="44"/>
          <w:lang w:eastAsia="zh-CN"/>
        </w:rPr>
        <w:t>（202</w:t>
      </w:r>
      <w:r>
        <w:rPr>
          <w:rFonts w:hint="eastAsia" w:ascii="方正小标宋简体" w:eastAsia="方正小标宋简体"/>
          <w:b/>
          <w:bCs/>
          <w:color w:val="auto"/>
          <w:sz w:val="44"/>
          <w:szCs w:val="44"/>
          <w:lang w:val="en-US" w:eastAsia="zh-CN"/>
        </w:rPr>
        <w:t>4</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26</w:t>
      </w:r>
      <w:r>
        <w:rPr>
          <w:rFonts w:hint="eastAsia" w:ascii="方正小标宋简体" w:eastAsia="方正小标宋简体"/>
          <w:b/>
          <w:bCs/>
          <w:color w:val="auto"/>
          <w:sz w:val="44"/>
          <w:szCs w:val="44"/>
          <w:lang w:eastAsia="zh-CN"/>
        </w:rPr>
        <w:t>日—202</w:t>
      </w:r>
      <w:r>
        <w:rPr>
          <w:rFonts w:hint="eastAsia" w:ascii="方正小标宋简体" w:eastAsia="方正小标宋简体"/>
          <w:b/>
          <w:bCs/>
          <w:color w:val="auto"/>
          <w:sz w:val="44"/>
          <w:szCs w:val="44"/>
          <w:lang w:val="en-US" w:eastAsia="zh-CN"/>
        </w:rPr>
        <w:t>5</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25</w:t>
      </w:r>
      <w:r>
        <w:rPr>
          <w:rFonts w:hint="eastAsia" w:ascii="方正小标宋简体" w:eastAsia="方正小标宋简体"/>
          <w:b/>
          <w:bCs/>
          <w:color w:val="auto"/>
          <w:sz w:val="44"/>
          <w:szCs w:val="44"/>
          <w:lang w:eastAsia="zh-CN"/>
        </w:rPr>
        <w:t>日）</w:t>
      </w:r>
    </w:p>
    <w:p>
      <w:pPr>
        <w:pStyle w:val="13"/>
        <w:spacing w:after="0" w:line="560" w:lineRule="exact"/>
        <w:ind w:firstLine="2529" w:firstLineChars="900"/>
        <w:jc w:val="both"/>
        <w:rPr>
          <w:rFonts w:ascii="仿宋_GB2312" w:eastAsia="PMingLiU"/>
          <w:b/>
          <w:color w:val="auto"/>
        </w:rPr>
      </w:pPr>
      <w:bookmarkStart w:id="3" w:name="bookmark3"/>
      <w:bookmarkStart w:id="4" w:name="bookmark5"/>
      <w:bookmarkStart w:id="5" w:name="bookmark4"/>
    </w:p>
    <w:p>
      <w:pPr>
        <w:pStyle w:val="13"/>
        <w:spacing w:after="0" w:line="560" w:lineRule="exact"/>
        <w:ind w:firstLine="2529" w:firstLineChars="900"/>
        <w:jc w:val="both"/>
        <w:rPr>
          <w:rFonts w:ascii="仿宋_GB2312" w:eastAsia="PMingLiU"/>
          <w:b/>
          <w:color w:val="auto"/>
        </w:rPr>
      </w:pPr>
    </w:p>
    <w:p>
      <w:pPr>
        <w:pStyle w:val="13"/>
        <w:spacing w:after="0" w:line="560" w:lineRule="exact"/>
        <w:ind w:firstLine="2529" w:firstLineChars="900"/>
        <w:jc w:val="both"/>
        <w:rPr>
          <w:rFonts w:ascii="仿宋_GB2312" w:eastAsia="PMingLiU"/>
          <w:b/>
          <w:color w:val="auto"/>
        </w:rPr>
      </w:pPr>
    </w:p>
    <w:p>
      <w:pPr>
        <w:pStyle w:val="13"/>
        <w:spacing w:after="0" w:line="560" w:lineRule="exact"/>
        <w:ind w:firstLine="2529" w:firstLineChars="900"/>
        <w:jc w:val="both"/>
        <w:rPr>
          <w:rFonts w:ascii="仿宋_GB2312" w:eastAsia="PMingLiU"/>
          <w:b/>
          <w:color w:val="auto"/>
        </w:rPr>
      </w:pPr>
    </w:p>
    <w:p>
      <w:pPr>
        <w:pStyle w:val="13"/>
        <w:spacing w:after="0" w:line="560" w:lineRule="exact"/>
        <w:ind w:firstLine="2529" w:firstLineChars="900"/>
        <w:jc w:val="both"/>
        <w:rPr>
          <w:rFonts w:ascii="仿宋_GB2312" w:eastAsia="PMingLiU"/>
          <w:b/>
          <w:color w:val="auto"/>
        </w:rPr>
      </w:pPr>
    </w:p>
    <w:p>
      <w:pPr>
        <w:pStyle w:val="13"/>
        <w:spacing w:after="0" w:line="560" w:lineRule="exact"/>
        <w:ind w:firstLine="2529" w:firstLineChars="900"/>
        <w:jc w:val="both"/>
        <w:rPr>
          <w:rFonts w:ascii="仿宋_GB2312" w:eastAsia="PMingLiU"/>
          <w:b/>
          <w:color w:val="auto"/>
        </w:rPr>
      </w:pPr>
    </w:p>
    <w:p>
      <w:pPr>
        <w:pStyle w:val="13"/>
        <w:spacing w:after="0" w:line="560" w:lineRule="exact"/>
        <w:ind w:firstLine="2529" w:firstLineChars="900"/>
        <w:jc w:val="both"/>
        <w:rPr>
          <w:rFonts w:ascii="仿宋_GB2312" w:eastAsia="PMingLiU"/>
          <w:b/>
          <w:color w:val="auto"/>
        </w:rPr>
      </w:pPr>
    </w:p>
    <w:p>
      <w:pPr>
        <w:pStyle w:val="13"/>
        <w:spacing w:after="0" w:line="560" w:lineRule="exact"/>
        <w:ind w:firstLine="2529" w:firstLineChars="900"/>
        <w:jc w:val="both"/>
        <w:rPr>
          <w:rFonts w:ascii="仿宋_GB2312" w:eastAsia="PMingLiU"/>
          <w:b/>
          <w:color w:val="auto"/>
        </w:rPr>
      </w:pPr>
    </w:p>
    <w:p>
      <w:pPr>
        <w:pStyle w:val="13"/>
        <w:spacing w:after="0" w:line="560" w:lineRule="exact"/>
        <w:ind w:firstLine="2529" w:firstLineChars="900"/>
        <w:jc w:val="both"/>
        <w:rPr>
          <w:rFonts w:ascii="仿宋_GB2312" w:eastAsia="PMingLiU"/>
          <w:b/>
          <w:color w:val="auto"/>
        </w:rPr>
      </w:pPr>
    </w:p>
    <w:p>
      <w:pPr>
        <w:pStyle w:val="13"/>
        <w:spacing w:after="0" w:line="560" w:lineRule="exact"/>
        <w:ind w:firstLine="2529" w:firstLineChars="900"/>
        <w:jc w:val="both"/>
        <w:rPr>
          <w:rFonts w:ascii="仿宋_GB2312" w:eastAsia="PMingLiU"/>
          <w:b/>
          <w:color w:val="auto"/>
        </w:rPr>
      </w:pPr>
    </w:p>
    <w:p>
      <w:pPr>
        <w:pStyle w:val="13"/>
        <w:spacing w:after="0" w:line="560" w:lineRule="exact"/>
        <w:ind w:firstLine="2085" w:firstLineChars="742"/>
        <w:jc w:val="both"/>
        <w:rPr>
          <w:rFonts w:ascii="仿宋_GB2312" w:eastAsia="仿宋_GB2312"/>
          <w:b/>
          <w:color w:val="auto"/>
        </w:rPr>
      </w:pPr>
      <w:r>
        <w:rPr>
          <w:rFonts w:hint="eastAsia" w:ascii="仿宋_GB2312" w:eastAsia="仿宋_GB2312"/>
          <w:b/>
          <w:color w:val="auto"/>
        </w:rPr>
        <w:t>评估委托方：广州市</w:t>
      </w:r>
      <w:r>
        <w:rPr>
          <w:rFonts w:hint="eastAsia" w:ascii="仿宋_GB2312" w:eastAsia="仿宋_GB2312"/>
          <w:b/>
          <w:color w:val="auto"/>
          <w:lang w:val="en-US"/>
        </w:rPr>
        <w:t>番禺</w:t>
      </w:r>
      <w:r>
        <w:rPr>
          <w:rFonts w:hint="eastAsia" w:ascii="仿宋_GB2312" w:eastAsia="仿宋_GB2312"/>
          <w:b/>
          <w:color w:val="auto"/>
        </w:rPr>
        <w:t>区民政局</w:t>
      </w:r>
    </w:p>
    <w:p>
      <w:pPr>
        <w:pStyle w:val="13"/>
        <w:spacing w:after="0" w:line="560" w:lineRule="exact"/>
        <w:ind w:firstLine="2085" w:firstLineChars="742"/>
        <w:jc w:val="both"/>
        <w:rPr>
          <w:rFonts w:ascii="仿宋_GB2312" w:eastAsia="仿宋_GB2312"/>
          <w:b/>
          <w:color w:val="auto"/>
        </w:rPr>
      </w:pPr>
      <w:r>
        <w:rPr>
          <w:rFonts w:hint="eastAsia" w:ascii="仿宋_GB2312" w:eastAsia="仿宋_GB2312"/>
          <w:b/>
          <w:color w:val="auto"/>
        </w:rPr>
        <w:t>项目购买方：广州市</w:t>
      </w:r>
      <w:r>
        <w:rPr>
          <w:rFonts w:hint="eastAsia" w:ascii="仿宋_GB2312" w:eastAsia="仿宋_GB2312"/>
          <w:b/>
          <w:color w:val="auto"/>
          <w:lang w:val="en-US"/>
        </w:rPr>
        <w:t>番禺区</w:t>
      </w:r>
      <w:r>
        <w:rPr>
          <w:rFonts w:hint="eastAsia" w:ascii="仿宋_GB2312" w:eastAsia="仿宋_GB2312"/>
          <w:b/>
          <w:color w:val="auto"/>
          <w:lang w:val="en-US" w:eastAsia="zh-CN"/>
        </w:rPr>
        <w:t>大龙街</w:t>
      </w:r>
      <w:r>
        <w:rPr>
          <w:rFonts w:hint="eastAsia" w:ascii="仿宋_GB2312" w:eastAsia="仿宋_GB2312"/>
          <w:b/>
          <w:color w:val="auto"/>
          <w:lang w:val="en-US"/>
        </w:rPr>
        <w:t>道办事处</w:t>
      </w:r>
    </w:p>
    <w:p>
      <w:pPr>
        <w:pStyle w:val="13"/>
        <w:spacing w:after="0" w:line="560" w:lineRule="exact"/>
        <w:ind w:firstLine="2085" w:firstLineChars="742"/>
        <w:jc w:val="both"/>
        <w:rPr>
          <w:rFonts w:ascii="仿宋_GB2312" w:eastAsia="仿宋_GB2312"/>
          <w:b/>
          <w:color w:val="auto"/>
          <w:lang w:eastAsia="zh-CN"/>
        </w:rPr>
      </w:pPr>
      <w:r>
        <w:rPr>
          <w:rFonts w:hint="eastAsia" w:ascii="仿宋_GB2312" w:eastAsia="仿宋_GB2312"/>
          <w:b/>
          <w:color w:val="auto"/>
        </w:rPr>
        <w:t>项目承办方：广州市</w:t>
      </w:r>
      <w:r>
        <w:rPr>
          <w:rFonts w:hint="eastAsia" w:ascii="仿宋_GB2312" w:eastAsia="仿宋_GB2312"/>
          <w:b/>
          <w:color w:val="auto"/>
          <w:lang w:eastAsia="zh-CN"/>
        </w:rPr>
        <w:t>阳光天使</w:t>
      </w:r>
      <w:r>
        <w:rPr>
          <w:rFonts w:hint="eastAsia" w:ascii="仿宋_GB2312" w:eastAsia="仿宋_GB2312"/>
          <w:b/>
          <w:color w:val="auto"/>
          <w:lang w:val="en-US" w:eastAsia="zh-CN"/>
        </w:rPr>
        <w:t>社会工作服务中心</w:t>
      </w:r>
    </w:p>
    <w:p>
      <w:pPr>
        <w:pStyle w:val="13"/>
        <w:spacing w:after="0" w:line="560" w:lineRule="exact"/>
        <w:ind w:firstLine="2085" w:firstLineChars="742"/>
        <w:jc w:val="both"/>
        <w:rPr>
          <w:rFonts w:ascii="仿宋_GB2312" w:eastAsia="仿宋_GB2312"/>
          <w:b/>
          <w:color w:val="auto"/>
        </w:rPr>
      </w:pPr>
      <w:r>
        <w:rPr>
          <w:rFonts w:hint="eastAsia" w:ascii="仿宋_GB2312" w:eastAsia="仿宋_GB2312"/>
          <w:b/>
          <w:color w:val="auto"/>
        </w:rPr>
        <w:t>项目评估方：</w:t>
      </w:r>
      <w:r>
        <w:rPr>
          <w:rFonts w:hint="eastAsia" w:ascii="仿宋_GB2312" w:eastAsia="仿宋_GB2312"/>
          <w:b/>
          <w:color w:val="auto"/>
          <w:lang w:val="en-US"/>
        </w:rPr>
        <w:t>广州市番禺区</w:t>
      </w:r>
      <w:r>
        <w:rPr>
          <w:rFonts w:hint="eastAsia" w:ascii="仿宋_GB2312" w:eastAsia="仿宋_GB2312"/>
          <w:b/>
          <w:color w:val="auto"/>
        </w:rPr>
        <w:t>社会组织联合会</w:t>
      </w:r>
    </w:p>
    <w:p>
      <w:pPr>
        <w:pStyle w:val="13"/>
        <w:spacing w:after="0" w:line="560" w:lineRule="exact"/>
        <w:ind w:firstLine="2085" w:firstLineChars="742"/>
        <w:jc w:val="both"/>
        <w:rPr>
          <w:rFonts w:ascii="仿宋_GB2312" w:eastAsia="仿宋_GB2312"/>
          <w:b/>
          <w:color w:val="auto"/>
        </w:rPr>
      </w:pPr>
      <w:r>
        <w:rPr>
          <w:rFonts w:hint="eastAsia" w:ascii="仿宋_GB2312" w:eastAsia="仿宋_GB2312"/>
          <w:b/>
          <w:color w:val="auto"/>
        </w:rPr>
        <w:t>评估日期：</w:t>
      </w:r>
      <w:r>
        <w:rPr>
          <w:rFonts w:hint="eastAsia" w:ascii="仿宋_GB2312" w:eastAsia="仿宋_GB2312"/>
          <w:b/>
          <w:color w:val="auto"/>
          <w:lang w:val="en-US" w:eastAsia="zh-CN"/>
        </w:rPr>
        <w:t>2025年8</w:t>
      </w:r>
      <w:r>
        <w:rPr>
          <w:rFonts w:hint="eastAsia" w:ascii="仿宋_GB2312" w:eastAsia="仿宋_GB2312"/>
          <w:b/>
          <w:color w:val="auto"/>
          <w:lang w:val="en-US"/>
        </w:rPr>
        <w:t>月</w:t>
      </w:r>
      <w:r>
        <w:rPr>
          <w:rFonts w:hint="eastAsia" w:ascii="仿宋_GB2312" w:eastAsia="仿宋_GB2312"/>
          <w:b/>
          <w:color w:val="auto"/>
          <w:lang w:val="en-US" w:eastAsia="zh-CN"/>
        </w:rPr>
        <w:t>21</w:t>
      </w:r>
      <w:r>
        <w:rPr>
          <w:rFonts w:hint="eastAsia" w:ascii="仿宋_GB2312" w:eastAsia="仿宋_GB2312"/>
          <w:b/>
          <w:color w:val="auto"/>
          <w:lang w:val="en-US"/>
        </w:rPr>
        <w:t>日</w:t>
      </w:r>
    </w:p>
    <w:p>
      <w:pPr>
        <w:pStyle w:val="13"/>
        <w:spacing w:after="0" w:line="240" w:lineRule="auto"/>
        <w:ind w:firstLine="0"/>
        <w:rPr>
          <w:color w:val="auto"/>
        </w:rPr>
      </w:pPr>
    </w:p>
    <w:p>
      <w:pPr>
        <w:pStyle w:val="13"/>
        <w:spacing w:after="0" w:line="240" w:lineRule="auto"/>
        <w:ind w:firstLine="0"/>
        <w:rPr>
          <w:color w:val="auto"/>
        </w:rPr>
      </w:pPr>
    </w:p>
    <w:p>
      <w:pPr>
        <w:pStyle w:val="13"/>
        <w:spacing w:after="0" w:line="240" w:lineRule="auto"/>
        <w:ind w:firstLine="0"/>
        <w:rPr>
          <w:color w:val="auto"/>
        </w:rPr>
      </w:pPr>
    </w:p>
    <w:p>
      <w:pPr>
        <w:pStyle w:val="13"/>
        <w:spacing w:after="0" w:line="240" w:lineRule="auto"/>
        <w:ind w:firstLine="0"/>
        <w:rPr>
          <w:color w:val="auto"/>
        </w:rPr>
      </w:pPr>
    </w:p>
    <w:p>
      <w:pPr>
        <w:pStyle w:val="13"/>
        <w:spacing w:after="0" w:line="240" w:lineRule="auto"/>
        <w:ind w:firstLine="0"/>
        <w:rPr>
          <w:rFonts w:eastAsia="PMingLiU"/>
          <w:color w:val="auto"/>
        </w:rPr>
        <w:sectPr>
          <w:pgSz w:w="11900" w:h="16840"/>
          <w:pgMar w:top="1301" w:right="876" w:bottom="1373" w:left="885" w:header="457" w:footer="448" w:gutter="0"/>
          <w:cols w:space="720" w:num="1"/>
          <w:docGrid w:linePitch="360" w:charSpace="0"/>
        </w:sectPr>
      </w:pPr>
    </w:p>
    <w:p>
      <w:pPr>
        <w:pStyle w:val="13"/>
        <w:spacing w:after="0" w:line="240" w:lineRule="auto"/>
        <w:ind w:firstLine="0"/>
        <w:rPr>
          <w:color w:val="auto"/>
        </w:rPr>
      </w:pPr>
    </w:p>
    <w:p>
      <w:pPr>
        <w:pStyle w:val="11"/>
        <w:keepNext/>
        <w:keepLines/>
        <w:spacing w:before="0" w:after="0" w:line="560" w:lineRule="exact"/>
        <w:rPr>
          <w:rFonts w:ascii="方正小标宋简体" w:eastAsia="方正小标宋简体"/>
          <w:b/>
          <w:bCs/>
          <w:color w:val="auto"/>
          <w:sz w:val="44"/>
          <w:szCs w:val="44"/>
          <w:lang w:val="en-US"/>
        </w:rPr>
      </w:pPr>
      <w:r>
        <w:rPr>
          <w:rFonts w:hint="eastAsia" w:ascii="方正小标宋简体" w:eastAsia="方正小标宋简体"/>
          <w:b/>
          <w:bCs/>
          <w:color w:val="auto"/>
          <w:sz w:val="44"/>
          <w:szCs w:val="44"/>
          <w:lang w:val="en-US" w:eastAsia="zh-CN"/>
        </w:rPr>
        <w:t>大龙街</w:t>
      </w:r>
      <w:r>
        <w:rPr>
          <w:rFonts w:ascii="方正小标宋简体" w:eastAsia="方正小标宋简体"/>
          <w:b/>
          <w:bCs/>
          <w:color w:val="auto"/>
          <w:sz w:val="44"/>
          <w:szCs w:val="44"/>
          <w:lang w:val="en-US"/>
        </w:rPr>
        <w:t>社工服务站</w:t>
      </w:r>
      <w:r>
        <w:rPr>
          <w:rFonts w:hint="eastAsia" w:ascii="方正小标宋简体" w:eastAsia="方正小标宋简体"/>
          <w:b/>
          <w:bCs/>
          <w:color w:val="auto"/>
          <w:sz w:val="44"/>
          <w:szCs w:val="44"/>
          <w:lang w:val="en-US" w:eastAsia="zh-CN"/>
        </w:rPr>
        <w:t>末期</w:t>
      </w:r>
      <w:r>
        <w:rPr>
          <w:rFonts w:ascii="方正小标宋简体" w:eastAsia="方正小标宋简体"/>
          <w:b/>
          <w:bCs/>
          <w:color w:val="auto"/>
          <w:sz w:val="44"/>
          <w:szCs w:val="44"/>
          <w:lang w:val="en-US"/>
        </w:rPr>
        <w:t>评估报告</w:t>
      </w:r>
      <w:bookmarkEnd w:id="3"/>
      <w:bookmarkEnd w:id="4"/>
      <w:bookmarkEnd w:id="5"/>
    </w:p>
    <w:p>
      <w:pPr>
        <w:pStyle w:val="11"/>
        <w:keepNext/>
        <w:keepLines/>
        <w:spacing w:before="0" w:after="0" w:line="560" w:lineRule="exact"/>
        <w:rPr>
          <w:rFonts w:ascii="方正小标宋简体" w:eastAsia="方正小标宋简体"/>
          <w:b/>
          <w:bCs/>
          <w:color w:val="auto"/>
          <w:sz w:val="44"/>
          <w:szCs w:val="44"/>
          <w:lang w:val="en-US"/>
        </w:rPr>
      </w:pPr>
      <w:r>
        <w:rPr>
          <w:rFonts w:hint="eastAsia" w:ascii="方正小标宋简体" w:eastAsia="方正小标宋简体"/>
          <w:b/>
          <w:bCs/>
          <w:color w:val="auto"/>
          <w:sz w:val="44"/>
          <w:szCs w:val="44"/>
          <w:lang w:eastAsia="zh-CN"/>
        </w:rPr>
        <w:t>（202</w:t>
      </w:r>
      <w:r>
        <w:rPr>
          <w:rFonts w:hint="eastAsia" w:ascii="方正小标宋简体" w:eastAsia="方正小标宋简体"/>
          <w:b/>
          <w:bCs/>
          <w:color w:val="auto"/>
          <w:sz w:val="44"/>
          <w:szCs w:val="44"/>
          <w:lang w:val="en-US" w:eastAsia="zh-CN"/>
        </w:rPr>
        <w:t>4</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26</w:t>
      </w:r>
      <w:r>
        <w:rPr>
          <w:rFonts w:hint="eastAsia" w:ascii="方正小标宋简体" w:eastAsia="方正小标宋简体"/>
          <w:b/>
          <w:bCs/>
          <w:color w:val="auto"/>
          <w:sz w:val="44"/>
          <w:szCs w:val="44"/>
          <w:lang w:eastAsia="zh-CN"/>
        </w:rPr>
        <w:t>日—202</w:t>
      </w:r>
      <w:r>
        <w:rPr>
          <w:rFonts w:hint="eastAsia" w:ascii="方正小标宋简体" w:eastAsia="方正小标宋简体"/>
          <w:b/>
          <w:bCs/>
          <w:color w:val="auto"/>
          <w:sz w:val="44"/>
          <w:szCs w:val="44"/>
          <w:lang w:val="en-US" w:eastAsia="zh-CN"/>
        </w:rPr>
        <w:t>5</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25</w:t>
      </w:r>
      <w:r>
        <w:rPr>
          <w:rFonts w:hint="eastAsia" w:ascii="方正小标宋简体" w:eastAsia="方正小标宋简体"/>
          <w:b/>
          <w:bCs/>
          <w:color w:val="auto"/>
          <w:sz w:val="44"/>
          <w:szCs w:val="44"/>
          <w:lang w:eastAsia="zh-CN"/>
        </w:rPr>
        <w:t>日）</w:t>
      </w:r>
    </w:p>
    <w:p>
      <w:pPr>
        <w:pStyle w:val="13"/>
        <w:spacing w:after="0" w:line="560" w:lineRule="exact"/>
        <w:ind w:firstLine="0"/>
        <w:rPr>
          <w:color w:val="auto"/>
        </w:rPr>
      </w:pPr>
    </w:p>
    <w:p>
      <w:pPr>
        <w:pStyle w:val="13"/>
        <w:pageBreakBefore w:val="0"/>
        <w:widowControl w:val="0"/>
        <w:kinsoku/>
        <w:wordWrap/>
        <w:overflowPunct/>
        <w:topLinePunct w:val="0"/>
        <w:autoSpaceDE/>
        <w:autoSpaceDN/>
        <w:bidi w:val="0"/>
        <w:adjustRightInd/>
        <w:snapToGrid/>
        <w:spacing w:after="0" w:line="560" w:lineRule="exact"/>
        <w:ind w:firstLine="578"/>
        <w:jc w:val="both"/>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大龙街</w:t>
      </w:r>
      <w:r>
        <w:rPr>
          <w:rFonts w:hint="eastAsia" w:ascii="仿宋_GB2312" w:eastAsia="仿宋_GB2312"/>
          <w:color w:val="auto"/>
          <w:sz w:val="32"/>
          <w:szCs w:val="32"/>
        </w:rPr>
        <w:t>社工服务站（简称</w:t>
      </w:r>
      <w:r>
        <w:rPr>
          <w:rFonts w:hint="eastAsia" w:ascii="仿宋_GB2312" w:eastAsia="仿宋_GB2312"/>
          <w:color w:val="auto"/>
          <w:sz w:val="32"/>
          <w:szCs w:val="32"/>
          <w:lang w:val="en-US" w:eastAsia="zh-CN"/>
        </w:rPr>
        <w:t>大龙街</w:t>
      </w:r>
      <w:r>
        <w:rPr>
          <w:rFonts w:hint="eastAsia" w:ascii="仿宋_GB2312" w:eastAsia="仿宋_GB2312"/>
          <w:color w:val="auto"/>
          <w:sz w:val="32"/>
          <w:szCs w:val="32"/>
        </w:rPr>
        <w:t>社工站）</w:t>
      </w:r>
      <w:r>
        <w:rPr>
          <w:rFonts w:hint="eastAsia" w:ascii="仿宋_GB2312" w:eastAsia="仿宋_GB2312"/>
          <w:color w:val="auto"/>
          <w:sz w:val="32"/>
          <w:szCs w:val="32"/>
          <w:lang w:eastAsia="zh-CN"/>
        </w:rPr>
        <w:t>末期</w:t>
      </w:r>
      <w:r>
        <w:rPr>
          <w:rFonts w:hint="eastAsia" w:ascii="仿宋_GB2312" w:eastAsia="仿宋_GB2312"/>
          <w:color w:val="auto"/>
          <w:sz w:val="32"/>
          <w:szCs w:val="32"/>
        </w:rPr>
        <w:t>报告，是专业评估人员通过对</w:t>
      </w:r>
      <w:r>
        <w:rPr>
          <w:rFonts w:hint="eastAsia" w:ascii="仿宋_GB2312" w:eastAsia="仿宋_GB2312"/>
          <w:color w:val="auto"/>
          <w:sz w:val="32"/>
          <w:szCs w:val="32"/>
          <w:lang w:val="en-US" w:eastAsia="zh-CN"/>
        </w:rPr>
        <w:t>大龙街</w:t>
      </w:r>
      <w:r>
        <w:rPr>
          <w:rFonts w:hint="eastAsia" w:ascii="仿宋_GB2312" w:eastAsia="仿宋_GB2312"/>
          <w:color w:val="auto"/>
          <w:sz w:val="32"/>
          <w:szCs w:val="32"/>
        </w:rPr>
        <w:t>社工站项目阶段性服务的全面调查、综合分析和科学判断，确定目标是否可行，总结服务开展情况，以及服务成效体现的总结文书。经过</w:t>
      </w:r>
      <w:r>
        <w:rPr>
          <w:rFonts w:hint="eastAsia" w:ascii="仿宋_GB2312" w:hAnsi="Times New Roman" w:eastAsia="仿宋_GB2312" w:cs="Times New Roman"/>
          <w:color w:val="auto"/>
          <w:sz w:val="32"/>
          <w:szCs w:val="32"/>
        </w:rPr>
        <w:t>5</w:t>
      </w:r>
      <w:r>
        <w:rPr>
          <w:rFonts w:hint="eastAsia" w:ascii="仿宋_GB2312" w:eastAsia="仿宋_GB2312"/>
          <w:color w:val="auto"/>
          <w:sz w:val="32"/>
          <w:szCs w:val="32"/>
        </w:rPr>
        <w:t>位专家及</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名工作人员</w:t>
      </w:r>
      <w:r>
        <w:rPr>
          <w:rFonts w:hint="eastAsia" w:ascii="仿宋_GB2312" w:eastAsia="仿宋_GB2312"/>
          <w:color w:val="auto"/>
          <w:sz w:val="32"/>
          <w:szCs w:val="32"/>
          <w:lang w:val="en-US"/>
        </w:rPr>
        <w:t>对</w:t>
      </w:r>
      <w:r>
        <w:rPr>
          <w:rFonts w:hint="eastAsia" w:ascii="仿宋_GB2312" w:eastAsia="仿宋_GB2312"/>
          <w:color w:val="auto"/>
          <w:sz w:val="32"/>
          <w:szCs w:val="32"/>
        </w:rPr>
        <w:t>社工站展开为期一天的实地考察、访谈、查阅资料等形式的评估，形成此报告。</w:t>
      </w:r>
      <w:r>
        <w:rPr>
          <w:rFonts w:hint="eastAsia" w:ascii="仿宋_GB2312" w:eastAsia="仿宋_GB2312"/>
          <w:color w:val="auto"/>
          <w:sz w:val="32"/>
          <w:szCs w:val="32"/>
          <w:lang w:val="en-US" w:eastAsia="zh-CN"/>
        </w:rPr>
        <w:t>大龙街</w:t>
      </w:r>
      <w:r>
        <w:rPr>
          <w:rFonts w:hint="eastAsia" w:ascii="仿宋_GB2312" w:eastAsia="仿宋_GB2312"/>
          <w:color w:val="auto"/>
          <w:sz w:val="32"/>
          <w:szCs w:val="32"/>
        </w:rPr>
        <w:t>社工站可以将此报告作为参考，进行服务完善和提升，从多方面</w:t>
      </w:r>
      <w:r>
        <w:rPr>
          <w:rFonts w:hint="eastAsia" w:ascii="仿宋_GB2312" w:eastAsia="仿宋_GB2312"/>
          <w:color w:val="auto"/>
          <w:sz w:val="32"/>
          <w:szCs w:val="32"/>
          <w:lang w:eastAsia="zh-CN"/>
        </w:rPr>
        <w:t>夯实</w:t>
      </w:r>
      <w:r>
        <w:rPr>
          <w:rFonts w:hint="eastAsia" w:ascii="仿宋_GB2312" w:eastAsia="仿宋_GB2312"/>
          <w:color w:val="auto"/>
          <w:sz w:val="32"/>
          <w:szCs w:val="32"/>
        </w:rPr>
        <w:t>服务基础，拓展服务面，提升服务的专业化水平。本报告尽量呈现社工站的实际情况，因评估时间较短的关系，社工站部分服务成效不完全体现在报告</w:t>
      </w:r>
      <w:r>
        <w:rPr>
          <w:rFonts w:hint="eastAsia" w:ascii="仿宋_GB2312" w:eastAsia="仿宋_GB2312"/>
          <w:color w:val="auto"/>
          <w:sz w:val="32"/>
          <w:szCs w:val="32"/>
          <w:lang w:eastAsia="zh-CN"/>
        </w:rPr>
        <w:t>中</w:t>
      </w:r>
      <w:r>
        <w:rPr>
          <w:rFonts w:hint="eastAsia" w:ascii="仿宋_GB2312" w:eastAsia="仿宋_GB2312"/>
          <w:color w:val="auto"/>
          <w:sz w:val="32"/>
          <w:szCs w:val="32"/>
        </w:rPr>
        <w:t>。</w:t>
      </w:r>
    </w:p>
    <w:p>
      <w:pPr>
        <w:pStyle w:val="11"/>
        <w:keepNext/>
        <w:keepLines/>
        <w:pageBreakBefore w:val="0"/>
        <w:widowControl w:val="0"/>
        <w:kinsoku/>
        <w:wordWrap/>
        <w:overflowPunct/>
        <w:topLinePunct w:val="0"/>
        <w:autoSpaceDE/>
        <w:autoSpaceDN/>
        <w:bidi w:val="0"/>
        <w:adjustRightInd/>
        <w:snapToGrid/>
        <w:spacing w:before="0" w:after="0" w:line="560" w:lineRule="exact"/>
        <w:ind w:firstLine="642"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一、</w:t>
      </w:r>
      <w:r>
        <w:rPr>
          <w:rFonts w:hint="eastAsia" w:ascii="方正小标宋简体" w:eastAsia="方正小标宋简体"/>
          <w:b/>
          <w:bCs/>
          <w:color w:val="auto"/>
          <w:sz w:val="32"/>
          <w:szCs w:val="28"/>
          <w:lang w:val="en-US" w:eastAsia="zh-CN"/>
        </w:rPr>
        <w:t>末期</w:t>
      </w:r>
      <w:r>
        <w:rPr>
          <w:rFonts w:hint="eastAsia" w:ascii="方正小标宋简体" w:eastAsia="方正小标宋简体"/>
          <w:b/>
          <w:bCs/>
          <w:color w:val="auto"/>
          <w:sz w:val="32"/>
          <w:szCs w:val="28"/>
          <w:lang w:val="en-US"/>
        </w:rPr>
        <w:t>评估背景</w:t>
      </w:r>
    </w:p>
    <w:p>
      <w:pPr>
        <w:pStyle w:val="13"/>
        <w:pageBreakBefore w:val="0"/>
        <w:widowControl w:val="0"/>
        <w:kinsoku/>
        <w:wordWrap/>
        <w:overflowPunct/>
        <w:topLinePunct w:val="0"/>
        <w:autoSpaceDE/>
        <w:autoSpaceDN/>
        <w:bidi w:val="0"/>
        <w:adjustRightInd/>
        <w:snapToGrid/>
        <w:spacing w:after="0" w:line="560" w:lineRule="exact"/>
        <w:ind w:firstLine="578"/>
        <w:jc w:val="both"/>
        <w:textAlignment w:val="auto"/>
        <w:rPr>
          <w:rFonts w:ascii="仿宋_GB2312" w:eastAsia="仿宋_GB2312"/>
          <w:color w:val="auto"/>
          <w:sz w:val="32"/>
          <w:szCs w:val="32"/>
          <w:lang w:val="en-US" w:eastAsia="zh-CN"/>
        </w:rPr>
      </w:pPr>
      <w:r>
        <w:rPr>
          <w:rFonts w:hint="eastAsia" w:ascii="仿宋_GB2312" w:eastAsia="仿宋_GB2312"/>
          <w:color w:val="auto"/>
          <w:sz w:val="32"/>
          <w:szCs w:val="32"/>
          <w:lang w:val="en-US" w:eastAsia="zh-CN"/>
        </w:rPr>
        <w:t>2025年8月21日，番禺区社会组织联合会5位评委及2名工作人员对大龙街社工站展开了末期评估工作。评估为期1天，主要通过听取社工站介绍、实地考察、查阅资料、面谈（访谈）、填写问卷、入户困难群众询问等形式，对大龙街社工站的项目管理、服务开展情况以及项目成效等方面进行评估。评估团队主要完成了以下几方面的工作：</w:t>
      </w:r>
    </w:p>
    <w:p>
      <w:pPr>
        <w:pStyle w:val="13"/>
        <w:keepNext w:val="0"/>
        <w:keepLines w:val="0"/>
        <w:pageBreakBefore w:val="0"/>
        <w:widowControl w:val="0"/>
        <w:kinsoku/>
        <w:wordWrap/>
        <w:overflowPunct/>
        <w:topLinePunct w:val="0"/>
        <w:autoSpaceDE/>
        <w:autoSpaceDN/>
        <w:bidi w:val="0"/>
        <w:adjustRightInd/>
        <w:snapToGrid/>
        <w:spacing w:line="560" w:lineRule="exact"/>
        <w:ind w:firstLine="642" w:firstLineChars="200"/>
        <w:jc w:val="both"/>
        <w:textAlignment w:val="auto"/>
        <w:rPr>
          <w:rFonts w:ascii="仿宋_GB2312" w:eastAsia="仿宋_GB2312"/>
          <w:sz w:val="32"/>
          <w:szCs w:val="32"/>
        </w:rPr>
      </w:pPr>
      <w:bookmarkStart w:id="6" w:name="bookmark6"/>
      <w:bookmarkEnd w:id="6"/>
      <w:bookmarkStart w:id="7" w:name="bookmark13"/>
      <w:r>
        <w:rPr>
          <w:rFonts w:hint="eastAsia" w:ascii="仿宋_GB2312" w:eastAsia="仿宋_GB2312"/>
          <w:b/>
          <w:sz w:val="32"/>
          <w:szCs w:val="32"/>
          <w:lang w:val="en-US"/>
        </w:rPr>
        <w:t>1.</w:t>
      </w:r>
      <w:r>
        <w:rPr>
          <w:rFonts w:hint="eastAsia" w:ascii="仿宋_GB2312" w:eastAsia="仿宋_GB2312"/>
          <w:b/>
          <w:sz w:val="32"/>
          <w:szCs w:val="32"/>
        </w:rPr>
        <w:t>听取介绍。</w:t>
      </w:r>
      <w:r>
        <w:rPr>
          <w:rFonts w:hint="eastAsia" w:ascii="仿宋_GB2312" w:eastAsia="仿宋_GB2312"/>
          <w:sz w:val="32"/>
          <w:szCs w:val="32"/>
        </w:rPr>
        <w:t>由社工站负责人介绍社工站的运营及服务情况</w:t>
      </w:r>
      <w:r>
        <w:rPr>
          <w:rFonts w:hint="eastAsia" w:ascii="仿宋_GB2312" w:eastAsia="仿宋_GB2312"/>
          <w:sz w:val="32"/>
          <w:szCs w:val="32"/>
          <w:lang w:eastAsia="zh-CN"/>
        </w:rPr>
        <w:t>、</w:t>
      </w:r>
      <w:r>
        <w:rPr>
          <w:rFonts w:hint="eastAsia" w:ascii="仿宋_GB2312" w:eastAsia="仿宋_GB2312"/>
          <w:sz w:val="32"/>
          <w:szCs w:val="32"/>
        </w:rPr>
        <w:t>各项指标完成情况。</w:t>
      </w:r>
    </w:p>
    <w:p>
      <w:pPr>
        <w:pStyle w:val="13"/>
        <w:keepNext w:val="0"/>
        <w:keepLines w:val="0"/>
        <w:pageBreakBefore w:val="0"/>
        <w:widowControl w:val="0"/>
        <w:tabs>
          <w:tab w:val="left" w:pos="981"/>
        </w:tabs>
        <w:kinsoku/>
        <w:wordWrap/>
        <w:overflowPunct/>
        <w:topLinePunct w:val="0"/>
        <w:autoSpaceDE/>
        <w:autoSpaceDN/>
        <w:bidi w:val="0"/>
        <w:adjustRightInd/>
        <w:snapToGrid/>
        <w:spacing w:after="0" w:line="560" w:lineRule="exact"/>
        <w:ind w:firstLine="642" w:firstLineChars="200"/>
        <w:jc w:val="both"/>
        <w:textAlignment w:val="auto"/>
        <w:rPr>
          <w:rFonts w:ascii="仿宋_GB2312" w:eastAsia="仿宋_GB2312"/>
          <w:sz w:val="32"/>
          <w:szCs w:val="32"/>
        </w:rPr>
      </w:pPr>
      <w:bookmarkStart w:id="8" w:name="bookmark7"/>
      <w:bookmarkEnd w:id="8"/>
      <w:r>
        <w:rPr>
          <w:rFonts w:hint="eastAsia" w:ascii="仿宋_GB2312" w:eastAsia="仿宋_GB2312"/>
          <w:b/>
          <w:sz w:val="32"/>
          <w:szCs w:val="32"/>
          <w:lang w:val="en-US"/>
        </w:rPr>
        <w:t>2.实地观察。</w:t>
      </w:r>
      <w:r>
        <w:rPr>
          <w:rFonts w:hint="eastAsia" w:ascii="仿宋_GB2312" w:eastAsia="仿宋_GB2312"/>
          <w:sz w:val="32"/>
          <w:szCs w:val="32"/>
        </w:rPr>
        <w:t>主要针对社工站硬件建设情况方面进行观察</w:t>
      </w:r>
      <w:r>
        <w:rPr>
          <w:rFonts w:hint="eastAsia" w:ascii="仿宋_GB2312" w:eastAsia="仿宋_GB2312"/>
          <w:sz w:val="32"/>
          <w:szCs w:val="32"/>
          <w:lang w:eastAsia="zh-CN"/>
        </w:rPr>
        <w:t>，</w:t>
      </w:r>
      <w:r>
        <w:rPr>
          <w:rFonts w:hint="eastAsia" w:ascii="仿宋_GB2312" w:eastAsia="仿宋_GB2312"/>
          <w:sz w:val="32"/>
          <w:szCs w:val="32"/>
        </w:rPr>
        <w:t>以评估其设施开展专业服务的适宜性。</w:t>
      </w:r>
    </w:p>
    <w:p>
      <w:pPr>
        <w:pStyle w:val="13"/>
        <w:keepNext w:val="0"/>
        <w:keepLines w:val="0"/>
        <w:pageBreakBefore w:val="0"/>
        <w:widowControl w:val="0"/>
        <w:tabs>
          <w:tab w:val="left" w:pos="976"/>
        </w:tabs>
        <w:kinsoku/>
        <w:wordWrap/>
        <w:overflowPunct/>
        <w:topLinePunct w:val="0"/>
        <w:autoSpaceDE/>
        <w:autoSpaceDN/>
        <w:bidi w:val="0"/>
        <w:adjustRightInd/>
        <w:snapToGrid/>
        <w:spacing w:after="0" w:line="560" w:lineRule="exact"/>
        <w:ind w:firstLine="642" w:firstLineChars="200"/>
        <w:jc w:val="both"/>
        <w:textAlignment w:val="auto"/>
        <w:rPr>
          <w:rFonts w:ascii="仿宋_GB2312" w:eastAsia="仿宋_GB2312"/>
          <w:sz w:val="32"/>
          <w:szCs w:val="32"/>
        </w:rPr>
      </w:pPr>
      <w:bookmarkStart w:id="9" w:name="bookmark8"/>
      <w:bookmarkEnd w:id="9"/>
      <w:r>
        <w:rPr>
          <w:rFonts w:hint="eastAsia" w:ascii="仿宋_GB2312" w:eastAsia="仿宋_GB2312"/>
          <w:b/>
          <w:sz w:val="32"/>
          <w:szCs w:val="32"/>
          <w:lang w:val="en-US"/>
        </w:rPr>
        <w:t>3.查阅资料。</w:t>
      </w:r>
      <w:r>
        <w:rPr>
          <w:rFonts w:hint="eastAsia" w:ascii="仿宋_GB2312" w:eastAsia="仿宋_GB2312"/>
          <w:sz w:val="32"/>
          <w:szCs w:val="32"/>
        </w:rPr>
        <w:t>查阅社工站行政、人事管理制度及专业服务记录等方面的资料。</w:t>
      </w:r>
    </w:p>
    <w:p>
      <w:pPr>
        <w:pStyle w:val="13"/>
        <w:keepNext w:val="0"/>
        <w:keepLines w:val="0"/>
        <w:pageBreakBefore w:val="0"/>
        <w:widowControl w:val="0"/>
        <w:tabs>
          <w:tab w:val="left" w:pos="986"/>
        </w:tabs>
        <w:kinsoku/>
        <w:wordWrap/>
        <w:overflowPunct/>
        <w:topLinePunct w:val="0"/>
        <w:autoSpaceDE/>
        <w:autoSpaceDN/>
        <w:bidi w:val="0"/>
        <w:adjustRightInd/>
        <w:snapToGrid/>
        <w:spacing w:after="120" w:line="560" w:lineRule="exact"/>
        <w:ind w:firstLine="642" w:firstLineChars="200"/>
        <w:jc w:val="both"/>
        <w:textAlignment w:val="auto"/>
        <w:rPr>
          <w:rFonts w:ascii="仿宋_GB2312" w:eastAsia="仿宋_GB2312"/>
          <w:sz w:val="32"/>
          <w:szCs w:val="32"/>
        </w:rPr>
      </w:pPr>
      <w:bookmarkStart w:id="10" w:name="bookmark9"/>
      <w:bookmarkEnd w:id="10"/>
      <w:r>
        <w:rPr>
          <w:rFonts w:hint="eastAsia" w:ascii="仿宋_GB2312" w:eastAsia="仿宋_GB2312"/>
          <w:b/>
          <w:sz w:val="32"/>
          <w:szCs w:val="32"/>
          <w:lang w:val="en-US"/>
        </w:rPr>
        <w:t>4.各项目访谈。</w:t>
      </w:r>
      <w:r>
        <w:rPr>
          <w:rFonts w:hint="eastAsia" w:ascii="仿宋_GB2312" w:eastAsia="仿宋_GB2312"/>
          <w:sz w:val="32"/>
          <w:szCs w:val="32"/>
        </w:rPr>
        <w:t>评委与各项目社工进行访谈，了解社工站服务推进情况</w:t>
      </w:r>
      <w:r>
        <w:rPr>
          <w:rFonts w:hint="eastAsia" w:ascii="仿宋_GB2312" w:eastAsia="仿宋_GB2312"/>
          <w:sz w:val="32"/>
          <w:szCs w:val="32"/>
          <w:lang w:eastAsia="zh-CN"/>
        </w:rPr>
        <w:t>，</w:t>
      </w:r>
      <w:r>
        <w:rPr>
          <w:rFonts w:hint="eastAsia" w:ascii="仿宋_GB2312" w:eastAsia="仿宋_GB2312"/>
          <w:sz w:val="32"/>
          <w:szCs w:val="32"/>
        </w:rPr>
        <w:t>了解社工对服务项目的理解，以及开展服务的总结反思。</w:t>
      </w:r>
    </w:p>
    <w:p>
      <w:pPr>
        <w:pStyle w:val="13"/>
        <w:keepNext w:val="0"/>
        <w:keepLines w:val="0"/>
        <w:pageBreakBefore w:val="0"/>
        <w:widowControl w:val="0"/>
        <w:tabs>
          <w:tab w:val="left" w:pos="986"/>
        </w:tabs>
        <w:kinsoku/>
        <w:wordWrap/>
        <w:overflowPunct/>
        <w:topLinePunct w:val="0"/>
        <w:autoSpaceDE/>
        <w:autoSpaceDN/>
        <w:bidi w:val="0"/>
        <w:adjustRightInd/>
        <w:snapToGrid/>
        <w:spacing w:after="120" w:line="560" w:lineRule="exact"/>
        <w:ind w:firstLine="642" w:firstLineChars="200"/>
        <w:jc w:val="both"/>
        <w:textAlignment w:val="auto"/>
        <w:rPr>
          <w:rFonts w:ascii="仿宋_GB2312" w:eastAsia="仿宋_GB2312"/>
          <w:sz w:val="32"/>
          <w:szCs w:val="32"/>
        </w:rPr>
      </w:pPr>
      <w:bookmarkStart w:id="11" w:name="bookmark10"/>
      <w:bookmarkEnd w:id="11"/>
      <w:r>
        <w:rPr>
          <w:rFonts w:hint="eastAsia" w:ascii="仿宋_GB2312" w:eastAsia="仿宋_GB2312"/>
          <w:b/>
          <w:sz w:val="32"/>
          <w:szCs w:val="32"/>
          <w:lang w:val="en-US"/>
        </w:rPr>
        <w:t>5.机构运营访谈。</w:t>
      </w:r>
      <w:r>
        <w:rPr>
          <w:rFonts w:hint="eastAsia" w:ascii="仿宋_GB2312" w:eastAsia="仿宋_GB2312"/>
          <w:sz w:val="32"/>
          <w:szCs w:val="32"/>
        </w:rPr>
        <w:t>主要与承办机构管理人员及行政人员进行访谈</w:t>
      </w:r>
      <w:r>
        <w:rPr>
          <w:rFonts w:hint="eastAsia" w:ascii="仿宋_GB2312" w:eastAsia="仿宋_GB2312"/>
          <w:sz w:val="32"/>
          <w:szCs w:val="32"/>
          <w:lang w:eastAsia="zh-CN"/>
        </w:rPr>
        <w:t>，</w:t>
      </w:r>
      <w:r>
        <w:rPr>
          <w:rFonts w:hint="eastAsia" w:ascii="仿宋_GB2312" w:eastAsia="仿宋_GB2312"/>
          <w:sz w:val="32"/>
          <w:szCs w:val="32"/>
        </w:rPr>
        <w:t>了解机构运营情况，查看机构行政配套制度等情况。</w:t>
      </w:r>
    </w:p>
    <w:p>
      <w:pPr>
        <w:pStyle w:val="13"/>
        <w:keepNext w:val="0"/>
        <w:keepLines w:val="0"/>
        <w:pageBreakBefore w:val="0"/>
        <w:widowControl w:val="0"/>
        <w:tabs>
          <w:tab w:val="left" w:pos="952"/>
        </w:tabs>
        <w:kinsoku/>
        <w:wordWrap/>
        <w:overflowPunct/>
        <w:topLinePunct w:val="0"/>
        <w:autoSpaceDE/>
        <w:autoSpaceDN/>
        <w:bidi w:val="0"/>
        <w:adjustRightInd/>
        <w:snapToGrid/>
        <w:spacing w:after="120" w:line="560" w:lineRule="exact"/>
        <w:ind w:firstLine="642" w:firstLineChars="200"/>
        <w:jc w:val="both"/>
        <w:textAlignment w:val="auto"/>
        <w:rPr>
          <w:rFonts w:ascii="仿宋_GB2312" w:eastAsia="仿宋_GB2312"/>
          <w:sz w:val="32"/>
          <w:szCs w:val="32"/>
        </w:rPr>
      </w:pPr>
      <w:bookmarkStart w:id="12" w:name="bookmark11"/>
      <w:bookmarkEnd w:id="12"/>
      <w:r>
        <w:rPr>
          <w:rFonts w:hint="eastAsia" w:ascii="仿宋_GB2312" w:eastAsia="仿宋_GB2312"/>
          <w:b/>
          <w:sz w:val="32"/>
          <w:szCs w:val="32"/>
          <w:lang w:val="en-US"/>
        </w:rPr>
        <w:t>6.利益相关方满意度及知晓度。</w:t>
      </w:r>
      <w:r>
        <w:rPr>
          <w:rFonts w:hint="eastAsia" w:ascii="仿宋_GB2312" w:eastAsia="仿宋_GB2312"/>
          <w:sz w:val="32"/>
          <w:szCs w:val="32"/>
        </w:rPr>
        <w:t>主要社工站在辖区内的知晓度以及各利益相关方对社工</w:t>
      </w:r>
      <w:r>
        <w:rPr>
          <w:rFonts w:hint="eastAsia" w:ascii="仿宋_GB2312" w:eastAsia="仿宋_GB2312"/>
          <w:sz w:val="32"/>
          <w:szCs w:val="32"/>
          <w:lang w:eastAsia="zh-CN"/>
        </w:rPr>
        <w:t>站</w:t>
      </w:r>
      <w:r>
        <w:rPr>
          <w:rFonts w:hint="eastAsia" w:ascii="仿宋_GB2312" w:eastAsia="仿宋_GB2312"/>
          <w:sz w:val="32"/>
          <w:szCs w:val="32"/>
        </w:rPr>
        <w:t>提供的服务以及过程</w:t>
      </w:r>
      <w:r>
        <w:rPr>
          <w:rFonts w:hint="eastAsia" w:ascii="仿宋_GB2312" w:eastAsia="仿宋_GB2312"/>
          <w:sz w:val="32"/>
          <w:szCs w:val="32"/>
          <w:lang w:eastAsia="zh-CN"/>
        </w:rPr>
        <w:t>中</w:t>
      </w:r>
      <w:r>
        <w:rPr>
          <w:rFonts w:hint="eastAsia" w:ascii="仿宋_GB2312" w:eastAsia="仿宋_GB2312"/>
          <w:sz w:val="32"/>
          <w:szCs w:val="32"/>
        </w:rPr>
        <w:t>的满意度。</w:t>
      </w:r>
    </w:p>
    <w:p>
      <w:pPr>
        <w:pStyle w:val="13"/>
        <w:keepNext w:val="0"/>
        <w:keepLines w:val="0"/>
        <w:pageBreakBefore w:val="0"/>
        <w:widowControl w:val="0"/>
        <w:tabs>
          <w:tab w:val="left" w:pos="986"/>
        </w:tabs>
        <w:kinsoku/>
        <w:wordWrap/>
        <w:overflowPunct/>
        <w:topLinePunct w:val="0"/>
        <w:autoSpaceDE/>
        <w:autoSpaceDN/>
        <w:bidi w:val="0"/>
        <w:adjustRightInd/>
        <w:snapToGrid/>
        <w:spacing w:after="120" w:line="560" w:lineRule="exact"/>
        <w:ind w:firstLine="642" w:firstLineChars="200"/>
        <w:jc w:val="both"/>
        <w:textAlignment w:val="auto"/>
        <w:rPr>
          <w:rFonts w:ascii="仿宋_GB2312" w:eastAsia="仿宋_GB2312"/>
          <w:sz w:val="32"/>
          <w:szCs w:val="32"/>
        </w:rPr>
      </w:pPr>
      <w:bookmarkStart w:id="13" w:name="bookmark12"/>
      <w:bookmarkEnd w:id="13"/>
      <w:r>
        <w:rPr>
          <w:rFonts w:hint="eastAsia" w:ascii="仿宋_GB2312" w:eastAsia="仿宋_GB2312"/>
          <w:b/>
          <w:sz w:val="32"/>
          <w:szCs w:val="32"/>
          <w:lang w:val="en-US"/>
        </w:rPr>
        <w:t>7.总结反馈。</w:t>
      </w:r>
      <w:r>
        <w:rPr>
          <w:rFonts w:hint="eastAsia" w:ascii="仿宋_GB2312" w:eastAsia="仿宋_GB2312"/>
          <w:sz w:val="32"/>
          <w:szCs w:val="32"/>
        </w:rPr>
        <w:t>由评委团队对评估进行总结，与社工站社工进行反馈，听取街道购买方对社工站工作开展的意见和建议，了解社工站同事对本次活动的反馈。</w:t>
      </w:r>
    </w:p>
    <w:p>
      <w:pPr>
        <w:pStyle w:val="13"/>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w:t>
      </w:r>
      <w:bookmarkEnd w:id="7"/>
      <w:r>
        <w:rPr>
          <w:rFonts w:hint="eastAsia" w:ascii="仿宋_GB2312" w:hAnsi="仿宋_GB2312" w:eastAsia="仿宋_GB2312" w:cs="仿宋_GB2312"/>
          <w:b/>
          <w:sz w:val="32"/>
          <w:szCs w:val="32"/>
        </w:rPr>
        <w:t>一）评估依据</w:t>
      </w:r>
    </w:p>
    <w:p>
      <w:pPr>
        <w:pStyle w:val="13"/>
        <w:pageBreakBefore w:val="0"/>
        <w:widowControl w:val="0"/>
        <w:numPr>
          <w:ilvl w:val="0"/>
          <w:numId w:val="1"/>
        </w:numPr>
        <w:tabs>
          <w:tab w:val="left" w:pos="981"/>
        </w:tabs>
        <w:kinsoku/>
        <w:wordWrap/>
        <w:overflowPunct/>
        <w:topLinePunct w:val="0"/>
        <w:autoSpaceDE/>
        <w:autoSpaceDN/>
        <w:bidi w:val="0"/>
        <w:adjustRightInd/>
        <w:snapToGrid/>
        <w:spacing w:after="0" w:line="560" w:lineRule="exact"/>
        <w:ind w:firstLine="642" w:firstLineChars="200"/>
        <w:jc w:val="both"/>
        <w:textAlignment w:val="auto"/>
        <w:rPr>
          <w:rFonts w:ascii="仿宋_GB2312" w:hAnsi="仿宋_GB2312" w:eastAsia="仿宋_GB2312" w:cs="仿宋_GB2312"/>
          <w:sz w:val="32"/>
          <w:szCs w:val="32"/>
        </w:rPr>
      </w:pPr>
      <w:bookmarkStart w:id="14" w:name="bookmark14"/>
      <w:bookmarkEnd w:id="14"/>
      <w:r>
        <w:rPr>
          <w:rFonts w:hint="eastAsia" w:ascii="仿宋_GB2312" w:hAnsi="仿宋_GB2312" w:eastAsia="仿宋_GB2312" w:cs="仿宋_GB2312"/>
          <w:b/>
          <w:bCs/>
          <w:sz w:val="32"/>
          <w:szCs w:val="32"/>
        </w:rPr>
        <w:t>政策依据：</w:t>
      </w:r>
      <w:bookmarkStart w:id="15" w:name="bookmark15"/>
      <w:bookmarkEnd w:id="15"/>
      <w:r>
        <w:rPr>
          <w:rFonts w:hint="eastAsia" w:ascii="仿宋_GB2312" w:hAnsi="仿宋_GB2312" w:eastAsia="仿宋_GB2312" w:cs="仿宋_GB2312"/>
          <w:sz w:val="32"/>
          <w:szCs w:val="32"/>
        </w:rPr>
        <w:t>《广州市社工站购买服务项目服务清单（民政领域社会工作）》《广州市社工站购买服务项目服务标准》《广州市社工站购买服务项目评估办法》《广州市社工服务站管理办法》《广州市社工站岗位职责》《政府购买服务管理办法》《广州市社会工作服务条例》等。</w:t>
      </w:r>
    </w:p>
    <w:p>
      <w:pPr>
        <w:pStyle w:val="13"/>
        <w:pageBreakBefore w:val="0"/>
        <w:widowControl w:val="0"/>
        <w:numPr>
          <w:ilvl w:val="0"/>
          <w:numId w:val="1"/>
        </w:numPr>
        <w:tabs>
          <w:tab w:val="left" w:pos="981"/>
        </w:tabs>
        <w:kinsoku/>
        <w:wordWrap/>
        <w:overflowPunct/>
        <w:topLinePunct w:val="0"/>
        <w:autoSpaceDE/>
        <w:autoSpaceDN/>
        <w:bidi w:val="0"/>
        <w:adjustRightInd/>
        <w:snapToGrid/>
        <w:spacing w:after="0" w:line="560" w:lineRule="exact"/>
        <w:ind w:firstLine="642"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评估标准依据：</w:t>
      </w:r>
      <w:r>
        <w:rPr>
          <w:rFonts w:hint="eastAsia" w:ascii="仿宋_GB2312" w:hAnsi="仿宋_GB2312" w:eastAsia="仿宋_GB2312" w:cs="仿宋_GB2312"/>
          <w:sz w:val="32"/>
          <w:szCs w:val="32"/>
        </w:rPr>
        <w:t>《广州市社工站购买服务项目评估指标体系》《广州市社工站购买服务项目协议》。</w:t>
      </w:r>
    </w:p>
    <w:p>
      <w:pPr>
        <w:pStyle w:val="13"/>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ascii="仿宋_GB2312" w:hAnsi="仿宋_GB2312" w:eastAsia="仿宋_GB2312" w:cs="仿宋_GB2312"/>
          <w:b/>
          <w:sz w:val="32"/>
          <w:szCs w:val="32"/>
        </w:rPr>
      </w:pPr>
      <w:bookmarkStart w:id="16" w:name="bookmark16"/>
      <w:r>
        <w:rPr>
          <w:rFonts w:hint="eastAsia" w:ascii="仿宋_GB2312" w:hAnsi="仿宋_GB2312" w:eastAsia="仿宋_GB2312" w:cs="仿宋_GB2312"/>
          <w:b/>
          <w:sz w:val="32"/>
          <w:szCs w:val="32"/>
        </w:rPr>
        <w:t>（</w:t>
      </w:r>
      <w:bookmarkEnd w:id="16"/>
      <w:r>
        <w:rPr>
          <w:rFonts w:hint="eastAsia" w:ascii="仿宋_GB2312" w:hAnsi="仿宋_GB2312" w:eastAsia="仿宋_GB2312" w:cs="仿宋_GB2312"/>
          <w:b/>
          <w:sz w:val="32"/>
          <w:szCs w:val="32"/>
        </w:rPr>
        <w:t>二）评估原则</w:t>
      </w:r>
    </w:p>
    <w:p>
      <w:pPr>
        <w:pStyle w:val="13"/>
        <w:pageBreakBefore w:val="0"/>
        <w:widowControl w:val="0"/>
        <w:numPr>
          <w:ilvl w:val="0"/>
          <w:numId w:val="2"/>
        </w:numPr>
        <w:tabs>
          <w:tab w:val="left" w:pos="986"/>
        </w:tabs>
        <w:kinsoku/>
        <w:wordWrap/>
        <w:overflowPunct/>
        <w:topLinePunct w:val="0"/>
        <w:autoSpaceDE/>
        <w:autoSpaceDN/>
        <w:bidi w:val="0"/>
        <w:adjustRightInd/>
        <w:snapToGrid/>
        <w:spacing w:after="0" w:line="560" w:lineRule="exact"/>
        <w:ind w:firstLine="642" w:firstLineChars="200"/>
        <w:jc w:val="both"/>
        <w:textAlignment w:val="auto"/>
        <w:rPr>
          <w:rFonts w:ascii="仿宋_GB2312" w:hAnsi="仿宋_GB2312" w:eastAsia="仿宋_GB2312" w:cs="仿宋_GB2312"/>
          <w:sz w:val="32"/>
          <w:szCs w:val="32"/>
        </w:rPr>
      </w:pPr>
      <w:bookmarkStart w:id="17" w:name="bookmark17"/>
      <w:bookmarkEnd w:id="17"/>
      <w:r>
        <w:rPr>
          <w:rFonts w:hint="eastAsia" w:ascii="仿宋_GB2312" w:hAnsi="仿宋_GB2312" w:eastAsia="仿宋_GB2312" w:cs="仿宋_GB2312"/>
          <w:b/>
          <w:sz w:val="32"/>
          <w:szCs w:val="32"/>
        </w:rPr>
        <w:t>真实诚信原则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评估要求项目运营方必须以实事求是的态度对待评估，本着诚实守信的原则，提供和展示能够真实、客观反映其项目运营状况的依据和有效资料，以供评估小组考察。</w:t>
      </w:r>
    </w:p>
    <w:p>
      <w:pPr>
        <w:pStyle w:val="13"/>
        <w:pageBreakBefore w:val="0"/>
        <w:widowControl w:val="0"/>
        <w:numPr>
          <w:ilvl w:val="0"/>
          <w:numId w:val="2"/>
        </w:numPr>
        <w:tabs>
          <w:tab w:val="left" w:pos="991"/>
        </w:tabs>
        <w:kinsoku/>
        <w:wordWrap/>
        <w:overflowPunct/>
        <w:topLinePunct w:val="0"/>
        <w:autoSpaceDE/>
        <w:autoSpaceDN/>
        <w:bidi w:val="0"/>
        <w:adjustRightInd/>
        <w:snapToGrid/>
        <w:spacing w:after="0" w:line="560" w:lineRule="exact"/>
        <w:ind w:firstLine="642" w:firstLineChars="200"/>
        <w:jc w:val="both"/>
        <w:textAlignment w:val="auto"/>
        <w:rPr>
          <w:rFonts w:ascii="仿宋_GB2312" w:hAnsi="仿宋_GB2312" w:eastAsia="仿宋_GB2312" w:cs="仿宋_GB2312"/>
          <w:sz w:val="32"/>
          <w:szCs w:val="32"/>
        </w:rPr>
      </w:pPr>
      <w:bookmarkStart w:id="18" w:name="bookmark18"/>
      <w:bookmarkEnd w:id="18"/>
      <w:r>
        <w:rPr>
          <w:rFonts w:hint="eastAsia" w:ascii="仿宋_GB2312" w:hAnsi="仿宋_GB2312" w:eastAsia="仿宋_GB2312" w:cs="仿宋_GB2312"/>
          <w:b/>
          <w:sz w:val="32"/>
          <w:szCs w:val="32"/>
        </w:rPr>
        <w:t>客观公正原则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评估要求所有评委恪守</w:t>
      </w:r>
      <w:r>
        <w:rPr>
          <w:rFonts w:hint="eastAsia" w:ascii="仿宋_GB2312" w:hAnsi="仿宋_GB2312" w:eastAsia="仿宋_GB2312" w:cs="仿宋_GB2312"/>
          <w:sz w:val="32"/>
          <w:szCs w:val="32"/>
          <w:lang w:val="zh-CN" w:eastAsia="zh-CN" w:bidi="zh-CN"/>
        </w:rPr>
        <w:t>“客</w:t>
      </w:r>
      <w:r>
        <w:rPr>
          <w:rFonts w:hint="eastAsia" w:ascii="仿宋_GB2312" w:hAnsi="仿宋_GB2312" w:eastAsia="仿宋_GB2312" w:cs="仿宋_GB2312"/>
          <w:sz w:val="32"/>
          <w:szCs w:val="32"/>
        </w:rPr>
        <w:t>观公正的第三方”评估者角色，依据事实和真实情况给出客观、中肯评价意见或结论。</w:t>
      </w:r>
    </w:p>
    <w:p>
      <w:pPr>
        <w:pStyle w:val="13"/>
        <w:pageBreakBefore w:val="0"/>
        <w:widowControl w:val="0"/>
        <w:numPr>
          <w:ilvl w:val="0"/>
          <w:numId w:val="2"/>
        </w:numPr>
        <w:tabs>
          <w:tab w:val="left" w:pos="976"/>
        </w:tabs>
        <w:kinsoku/>
        <w:wordWrap/>
        <w:overflowPunct/>
        <w:topLinePunct w:val="0"/>
        <w:autoSpaceDE/>
        <w:autoSpaceDN/>
        <w:bidi w:val="0"/>
        <w:adjustRightInd/>
        <w:snapToGrid/>
        <w:spacing w:after="0" w:line="560" w:lineRule="exact"/>
        <w:ind w:firstLine="642" w:firstLineChars="200"/>
        <w:jc w:val="both"/>
        <w:textAlignment w:val="auto"/>
        <w:rPr>
          <w:rFonts w:ascii="仿宋_GB2312" w:hAnsi="仿宋_GB2312" w:eastAsia="仿宋_GB2312" w:cs="仿宋_GB2312"/>
          <w:sz w:val="32"/>
          <w:szCs w:val="32"/>
        </w:rPr>
      </w:pPr>
      <w:bookmarkStart w:id="19" w:name="bookmark19"/>
      <w:bookmarkEnd w:id="19"/>
      <w:r>
        <w:rPr>
          <w:rFonts w:hint="eastAsia" w:ascii="仿宋_GB2312" w:hAnsi="仿宋_GB2312" w:eastAsia="仿宋_GB2312" w:cs="仿宋_GB2312"/>
          <w:b/>
          <w:sz w:val="32"/>
          <w:szCs w:val="32"/>
        </w:rPr>
        <w:t>证据为本原则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评估要求项目运营方应提供有事实依据的证明资料或记录，来展示其项目运营的真实状况和成效；同时，评估要求所有评委以真实有效的工作痕迹记录为依据，做出客观公正的专业评估分析和判断。</w:t>
      </w:r>
    </w:p>
    <w:p>
      <w:pPr>
        <w:pStyle w:val="13"/>
        <w:pageBreakBefore w:val="0"/>
        <w:widowControl w:val="0"/>
        <w:numPr>
          <w:ilvl w:val="0"/>
          <w:numId w:val="2"/>
        </w:numPr>
        <w:tabs>
          <w:tab w:val="left" w:pos="981"/>
        </w:tabs>
        <w:kinsoku/>
        <w:wordWrap/>
        <w:overflowPunct/>
        <w:topLinePunct w:val="0"/>
        <w:autoSpaceDE/>
        <w:autoSpaceDN/>
        <w:bidi w:val="0"/>
        <w:adjustRightInd/>
        <w:snapToGrid/>
        <w:spacing w:after="0" w:line="560" w:lineRule="exact"/>
        <w:ind w:firstLine="642" w:firstLineChars="200"/>
        <w:jc w:val="both"/>
        <w:textAlignment w:val="auto"/>
        <w:rPr>
          <w:rFonts w:ascii="仿宋_GB2312" w:hAnsi="仿宋_GB2312" w:eastAsia="仿宋_GB2312" w:cs="仿宋_GB2312"/>
          <w:sz w:val="32"/>
          <w:szCs w:val="32"/>
        </w:rPr>
      </w:pPr>
      <w:bookmarkStart w:id="20" w:name="bookmark20"/>
      <w:bookmarkEnd w:id="20"/>
      <w:r>
        <w:rPr>
          <w:rFonts w:hint="eastAsia" w:ascii="仿宋_GB2312" w:hAnsi="仿宋_GB2312" w:eastAsia="仿宋_GB2312" w:cs="仿宋_GB2312"/>
          <w:b/>
          <w:sz w:val="32"/>
          <w:szCs w:val="32"/>
        </w:rPr>
        <w:t>以评促进原则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评估要求评委要本着促进项目运营质量和成效的目标原则实施评估活动，给出评估指导意见，评估意见应具体、清晰、可行，能够切实指导项目运营团队持续改善服务成效和质量。</w:t>
      </w:r>
    </w:p>
    <w:p>
      <w:pPr>
        <w:pStyle w:val="13"/>
        <w:pageBreakBefore w:val="0"/>
        <w:widowControl w:val="0"/>
        <w:numPr>
          <w:ilvl w:val="0"/>
          <w:numId w:val="2"/>
        </w:numPr>
        <w:tabs>
          <w:tab w:val="left" w:pos="991"/>
        </w:tabs>
        <w:kinsoku/>
        <w:wordWrap/>
        <w:overflowPunct/>
        <w:topLinePunct w:val="0"/>
        <w:autoSpaceDE/>
        <w:autoSpaceDN/>
        <w:bidi w:val="0"/>
        <w:adjustRightInd/>
        <w:snapToGrid/>
        <w:spacing w:after="0" w:line="560" w:lineRule="exact"/>
        <w:ind w:firstLine="642" w:firstLineChars="200"/>
        <w:jc w:val="both"/>
        <w:textAlignment w:val="auto"/>
        <w:rPr>
          <w:rFonts w:ascii="仿宋_GB2312" w:hAnsi="仿宋_GB2312" w:eastAsia="仿宋_GB2312" w:cs="仿宋_GB2312"/>
          <w:sz w:val="32"/>
          <w:szCs w:val="32"/>
        </w:rPr>
      </w:pPr>
      <w:bookmarkStart w:id="21" w:name="bookmark21"/>
      <w:bookmarkEnd w:id="21"/>
      <w:r>
        <w:rPr>
          <w:rFonts w:hint="eastAsia" w:ascii="仿宋_GB2312" w:hAnsi="仿宋_GB2312" w:eastAsia="仿宋_GB2312" w:cs="仿宋_GB2312"/>
          <w:b/>
          <w:sz w:val="32"/>
          <w:szCs w:val="32"/>
        </w:rPr>
        <w:t>回避监督原则：</w:t>
      </w:r>
      <w:r>
        <w:rPr>
          <w:rFonts w:hint="eastAsia" w:ascii="仿宋_GB2312" w:hAnsi="仿宋_GB2312" w:eastAsia="仿宋_GB2312" w:cs="仿宋_GB2312"/>
          <w:sz w:val="32"/>
          <w:szCs w:val="32"/>
        </w:rPr>
        <w:t>评估要求评委在评估前与被评估方有单独接触、有利益关系或冲突的，均应回避；被评估方有权监督评估团队的评估工作，并有权提出合理异议或回避要求，以免评估失去公正性和可信度。</w:t>
      </w:r>
    </w:p>
    <w:p>
      <w:pPr>
        <w:pStyle w:val="13"/>
        <w:pageBreakBefore w:val="0"/>
        <w:widowControl w:val="0"/>
        <w:numPr>
          <w:ilvl w:val="0"/>
          <w:numId w:val="2"/>
        </w:numPr>
        <w:tabs>
          <w:tab w:val="left" w:pos="991"/>
        </w:tabs>
        <w:kinsoku/>
        <w:wordWrap/>
        <w:overflowPunct/>
        <w:topLinePunct w:val="0"/>
        <w:autoSpaceDE/>
        <w:autoSpaceDN/>
        <w:bidi w:val="0"/>
        <w:adjustRightInd/>
        <w:snapToGrid/>
        <w:spacing w:after="0" w:line="560" w:lineRule="exact"/>
        <w:ind w:firstLine="642" w:firstLineChars="200"/>
        <w:jc w:val="both"/>
        <w:textAlignment w:val="auto"/>
        <w:rPr>
          <w:rFonts w:ascii="仿宋_GB2312" w:hAnsi="仿宋_GB2312" w:eastAsia="仿宋_GB2312" w:cs="仿宋_GB2312"/>
          <w:sz w:val="32"/>
          <w:szCs w:val="32"/>
        </w:rPr>
      </w:pPr>
      <w:bookmarkStart w:id="22" w:name="bookmark22"/>
      <w:bookmarkEnd w:id="22"/>
      <w:r>
        <w:rPr>
          <w:rFonts w:hint="eastAsia" w:ascii="仿宋_GB2312" w:hAnsi="仿宋_GB2312" w:eastAsia="仿宋_GB2312" w:cs="仿宋_GB2312"/>
          <w:b/>
          <w:sz w:val="32"/>
          <w:szCs w:val="32"/>
        </w:rPr>
        <w:t>保密尊重原则：</w:t>
      </w:r>
      <w:r>
        <w:rPr>
          <w:rFonts w:hint="eastAsia" w:ascii="仿宋_GB2312" w:hAnsi="仿宋_GB2312" w:eastAsia="仿宋_GB2312" w:cs="仿宋_GB2312"/>
          <w:sz w:val="32"/>
          <w:szCs w:val="32"/>
        </w:rPr>
        <w:t>评估要求评委应尊重和保护其工作中所接触、发现或遇到的涉及服务对象隐私权等所有受法律保护的事项，并依法负有保密职责；评估要求评委在评估过程中应尊重被评估方的所有原创性专业技术、方法等成果，并依法负有保密职责。</w:t>
      </w:r>
    </w:p>
    <w:p>
      <w:pPr>
        <w:pStyle w:val="13"/>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ascii="仿宋_GB2312" w:hAnsi="仿宋_GB2312" w:eastAsia="仿宋_GB2312" w:cs="仿宋_GB2312"/>
          <w:b/>
          <w:sz w:val="32"/>
          <w:szCs w:val="32"/>
        </w:rPr>
      </w:pPr>
      <w:bookmarkStart w:id="23" w:name="bookmark23"/>
      <w:r>
        <w:rPr>
          <w:rFonts w:hint="eastAsia" w:ascii="仿宋_GB2312" w:hAnsi="仿宋_GB2312" w:eastAsia="仿宋_GB2312" w:cs="仿宋_GB2312"/>
          <w:b/>
          <w:sz w:val="32"/>
          <w:szCs w:val="32"/>
        </w:rPr>
        <w:t>（</w:t>
      </w:r>
      <w:bookmarkEnd w:id="23"/>
      <w:r>
        <w:rPr>
          <w:rFonts w:hint="eastAsia" w:ascii="仿宋_GB2312" w:hAnsi="仿宋_GB2312" w:eastAsia="仿宋_GB2312" w:cs="仿宋_GB2312"/>
          <w:b/>
          <w:sz w:val="32"/>
          <w:szCs w:val="32"/>
          <w:lang w:eastAsia="zh-CN"/>
        </w:rPr>
        <w:t>三</w:t>
      </w:r>
      <w:r>
        <w:rPr>
          <w:rFonts w:hint="eastAsia" w:ascii="仿宋_GB2312" w:hAnsi="仿宋_GB2312" w:eastAsia="仿宋_GB2312" w:cs="仿宋_GB2312"/>
          <w:b/>
          <w:sz w:val="32"/>
          <w:szCs w:val="32"/>
        </w:rPr>
        <w:t>）评估阶段</w:t>
      </w:r>
    </w:p>
    <w:p>
      <w:pPr>
        <w:pStyle w:val="13"/>
        <w:pageBreakBefore w:val="0"/>
        <w:widowControl w:val="0"/>
        <w:numPr>
          <w:ilvl w:val="0"/>
          <w:numId w:val="3"/>
        </w:numPr>
        <w:tabs>
          <w:tab w:val="left" w:pos="992"/>
        </w:tabs>
        <w:kinsoku/>
        <w:wordWrap/>
        <w:overflowPunct/>
        <w:topLinePunct w:val="0"/>
        <w:autoSpaceDE/>
        <w:autoSpaceDN/>
        <w:bidi w:val="0"/>
        <w:adjustRightInd/>
        <w:snapToGrid/>
        <w:spacing w:after="0" w:line="560" w:lineRule="exact"/>
        <w:ind w:firstLine="642" w:firstLineChars="200"/>
        <w:jc w:val="both"/>
        <w:textAlignment w:val="auto"/>
        <w:rPr>
          <w:rFonts w:ascii="仿宋_GB2312" w:hAnsi="仿宋_GB2312" w:eastAsia="仿宋_GB2312" w:cs="仿宋_GB2312"/>
          <w:b/>
          <w:sz w:val="32"/>
          <w:szCs w:val="32"/>
        </w:rPr>
      </w:pPr>
      <w:bookmarkStart w:id="24" w:name="bookmark24"/>
      <w:bookmarkEnd w:id="24"/>
      <w:r>
        <w:rPr>
          <w:rFonts w:hint="eastAsia" w:ascii="仿宋_GB2312" w:hAnsi="仿宋_GB2312" w:eastAsia="仿宋_GB2312" w:cs="仿宋_GB2312"/>
          <w:b/>
          <w:sz w:val="32"/>
          <w:szCs w:val="32"/>
          <w:lang w:eastAsia="zh-CN"/>
        </w:rPr>
        <w:t>制定评估计划</w:t>
      </w:r>
    </w:p>
    <w:p>
      <w:pPr>
        <w:pStyle w:val="13"/>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番禺区民政局会同</w:t>
      </w:r>
      <w:r>
        <w:rPr>
          <w:rFonts w:hint="eastAsia" w:ascii="仿宋_GB2312" w:hAnsi="仿宋_GB2312" w:eastAsia="仿宋_GB2312" w:cs="仿宋_GB2312"/>
          <w:sz w:val="32"/>
          <w:szCs w:val="32"/>
          <w:lang w:val="en-US"/>
        </w:rPr>
        <w:t>番禺区社会组织联合会</w:t>
      </w:r>
      <w:r>
        <w:rPr>
          <w:rFonts w:hint="eastAsia" w:ascii="仿宋_GB2312" w:hAnsi="仿宋_GB2312" w:eastAsia="仿宋_GB2312" w:cs="仿宋_GB2312"/>
          <w:sz w:val="32"/>
          <w:szCs w:val="32"/>
          <w:lang w:eastAsia="zh-CN"/>
        </w:rPr>
        <w:t>根据最新管理办法要求及大龙街社工站项目合同期限确定评估时间，制定好评估计划和评估通知。</w:t>
      </w:r>
    </w:p>
    <w:p>
      <w:pPr>
        <w:pStyle w:val="13"/>
        <w:pageBreakBefore w:val="0"/>
        <w:widowControl w:val="0"/>
        <w:numPr>
          <w:ilvl w:val="0"/>
          <w:numId w:val="3"/>
        </w:numPr>
        <w:tabs>
          <w:tab w:val="left" w:pos="992"/>
        </w:tabs>
        <w:kinsoku/>
        <w:wordWrap/>
        <w:overflowPunct/>
        <w:topLinePunct w:val="0"/>
        <w:autoSpaceDE/>
        <w:autoSpaceDN/>
        <w:bidi w:val="0"/>
        <w:adjustRightInd/>
        <w:snapToGrid/>
        <w:spacing w:after="0" w:line="560" w:lineRule="exact"/>
        <w:ind w:firstLine="642"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自我评审阶段</w:t>
      </w:r>
    </w:p>
    <w:p>
      <w:pPr>
        <w:pStyle w:val="13"/>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大龙街</w:t>
      </w:r>
      <w:r>
        <w:rPr>
          <w:rFonts w:hint="eastAsia" w:ascii="仿宋_GB2312" w:hAnsi="仿宋_GB2312" w:eastAsia="仿宋_GB2312" w:cs="仿宋_GB2312"/>
          <w:sz w:val="32"/>
          <w:szCs w:val="32"/>
        </w:rPr>
        <w:t>社工站结合《广州市社工站购买服务项目评估指标体系》和签订的服务协议，逐项对照，准备材料，结合实际进行自我评估，并完成自评报告的报送工作。</w:t>
      </w:r>
    </w:p>
    <w:p>
      <w:pPr>
        <w:pStyle w:val="13"/>
        <w:pageBreakBefore w:val="0"/>
        <w:widowControl w:val="0"/>
        <w:numPr>
          <w:ilvl w:val="0"/>
          <w:numId w:val="3"/>
        </w:numPr>
        <w:tabs>
          <w:tab w:val="left" w:pos="1001"/>
        </w:tabs>
        <w:kinsoku/>
        <w:wordWrap/>
        <w:overflowPunct/>
        <w:topLinePunct w:val="0"/>
        <w:autoSpaceDE/>
        <w:autoSpaceDN/>
        <w:bidi w:val="0"/>
        <w:adjustRightInd/>
        <w:snapToGrid/>
        <w:spacing w:after="0" w:line="560" w:lineRule="exact"/>
        <w:ind w:firstLine="642" w:firstLineChars="200"/>
        <w:jc w:val="both"/>
        <w:textAlignment w:val="auto"/>
        <w:rPr>
          <w:rFonts w:ascii="仿宋_GB2312" w:hAnsi="仿宋_GB2312" w:eastAsia="仿宋_GB2312" w:cs="仿宋_GB2312"/>
          <w:b/>
          <w:sz w:val="32"/>
          <w:szCs w:val="32"/>
        </w:rPr>
      </w:pPr>
      <w:bookmarkStart w:id="25" w:name="bookmark25"/>
      <w:bookmarkEnd w:id="25"/>
      <w:r>
        <w:rPr>
          <w:rFonts w:hint="eastAsia" w:ascii="仿宋_GB2312" w:hAnsi="仿宋_GB2312" w:eastAsia="仿宋_GB2312" w:cs="仿宋_GB2312"/>
          <w:b/>
          <w:sz w:val="32"/>
          <w:szCs w:val="32"/>
        </w:rPr>
        <w:t>实地评估阶段</w:t>
      </w:r>
    </w:p>
    <w:p>
      <w:pPr>
        <w:pStyle w:val="13"/>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评估小组根据评估计划组织实施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w:t>
      </w:r>
      <w:r>
        <w:rPr>
          <w:rFonts w:hint="eastAsia" w:ascii="仿宋_GB2312" w:hAnsi="仿宋_GB2312" w:eastAsia="仿宋_GB2312" w:cs="仿宋_GB2312"/>
          <w:sz w:val="32"/>
          <w:szCs w:val="32"/>
          <w:lang w:eastAsia="zh-CN"/>
        </w:rPr>
        <w:t>大龙街</w:t>
      </w:r>
      <w:r>
        <w:rPr>
          <w:rFonts w:hint="eastAsia" w:ascii="仿宋_GB2312" w:hAnsi="仿宋_GB2312" w:eastAsia="仿宋_GB2312" w:cs="仿宋_GB2312"/>
          <w:sz w:val="32"/>
          <w:szCs w:val="32"/>
        </w:rPr>
        <w:t>社工站提供的材料进行审阅，实地考察，进行现场评估并打分。评估小组根据公平、公正的原则，严格按照评估要求，对</w:t>
      </w:r>
      <w:r>
        <w:rPr>
          <w:rFonts w:hint="eastAsia" w:ascii="仿宋_GB2312" w:hAnsi="仿宋_GB2312" w:eastAsia="仿宋_GB2312" w:cs="仿宋_GB2312"/>
          <w:sz w:val="32"/>
          <w:szCs w:val="32"/>
          <w:lang w:eastAsia="zh-CN"/>
        </w:rPr>
        <w:t>大龙街</w:t>
      </w:r>
      <w:r>
        <w:rPr>
          <w:rFonts w:hint="eastAsia" w:ascii="仿宋_GB2312" w:hAnsi="仿宋_GB2312" w:eastAsia="仿宋_GB2312" w:cs="仿宋_GB2312"/>
          <w:sz w:val="32"/>
          <w:szCs w:val="32"/>
        </w:rPr>
        <w:t>社工站进行评估工作。</w:t>
      </w:r>
    </w:p>
    <w:p>
      <w:pPr>
        <w:pStyle w:val="13"/>
        <w:pageBreakBefore w:val="0"/>
        <w:widowControl w:val="0"/>
        <w:numPr>
          <w:ilvl w:val="0"/>
          <w:numId w:val="3"/>
        </w:numPr>
        <w:tabs>
          <w:tab w:val="left" w:pos="1006"/>
        </w:tabs>
        <w:kinsoku/>
        <w:wordWrap/>
        <w:overflowPunct/>
        <w:topLinePunct w:val="0"/>
        <w:autoSpaceDE/>
        <w:autoSpaceDN/>
        <w:bidi w:val="0"/>
        <w:adjustRightInd/>
        <w:snapToGrid/>
        <w:spacing w:after="0" w:line="560" w:lineRule="exact"/>
        <w:ind w:firstLine="642" w:firstLineChars="200"/>
        <w:jc w:val="both"/>
        <w:textAlignment w:val="auto"/>
        <w:rPr>
          <w:rFonts w:ascii="仿宋_GB2312" w:hAnsi="仿宋_GB2312" w:eastAsia="仿宋_GB2312" w:cs="仿宋_GB2312"/>
          <w:sz w:val="32"/>
          <w:szCs w:val="32"/>
        </w:rPr>
      </w:pPr>
      <w:bookmarkStart w:id="26" w:name="bookmark26"/>
      <w:bookmarkEnd w:id="26"/>
      <w:r>
        <w:rPr>
          <w:rFonts w:hint="eastAsia" w:ascii="仿宋_GB2312" w:hAnsi="仿宋_GB2312" w:eastAsia="仿宋_GB2312" w:cs="仿宋_GB2312"/>
          <w:b/>
          <w:sz w:val="32"/>
          <w:szCs w:val="32"/>
        </w:rPr>
        <w:t>反馈初评意见</w:t>
      </w:r>
    </w:p>
    <w:p>
      <w:pPr>
        <w:pStyle w:val="13"/>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综合评委专家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监督方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购买方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市督导中心意见和建议，在评估工作结束后5个工作日内，向</w:t>
      </w:r>
      <w:r>
        <w:rPr>
          <w:rFonts w:hint="eastAsia" w:ascii="仿宋_GB2312" w:hAnsi="仿宋_GB2312" w:eastAsia="仿宋_GB2312" w:cs="仿宋_GB2312"/>
          <w:sz w:val="32"/>
          <w:szCs w:val="32"/>
          <w:lang w:eastAsia="zh-CN"/>
        </w:rPr>
        <w:t>番禺区</w:t>
      </w:r>
      <w:r>
        <w:rPr>
          <w:rFonts w:hint="eastAsia" w:ascii="仿宋_GB2312" w:hAnsi="仿宋_GB2312" w:eastAsia="仿宋_GB2312" w:cs="仿宋_GB2312"/>
          <w:sz w:val="32"/>
          <w:szCs w:val="32"/>
        </w:rPr>
        <w:t>民政局、</w:t>
      </w:r>
      <w:r>
        <w:rPr>
          <w:rFonts w:hint="eastAsia" w:ascii="仿宋_GB2312" w:hAnsi="仿宋_GB2312" w:eastAsia="仿宋_GB2312" w:cs="仿宋_GB2312"/>
          <w:sz w:val="32"/>
          <w:szCs w:val="32"/>
          <w:lang w:eastAsia="zh-CN"/>
        </w:rPr>
        <w:t>大龙街</w:t>
      </w:r>
      <w:r>
        <w:rPr>
          <w:rFonts w:hint="eastAsia" w:ascii="仿宋_GB2312" w:hAnsi="仿宋_GB2312" w:eastAsia="仿宋_GB2312" w:cs="仿宋_GB2312"/>
          <w:sz w:val="32"/>
          <w:szCs w:val="32"/>
        </w:rPr>
        <w:t>道办事处及</w:t>
      </w:r>
      <w:r>
        <w:rPr>
          <w:rFonts w:hint="eastAsia" w:ascii="仿宋_GB2312" w:hAnsi="仿宋_GB2312" w:eastAsia="仿宋_GB2312" w:cs="仿宋_GB2312"/>
          <w:sz w:val="32"/>
          <w:szCs w:val="32"/>
          <w:lang w:eastAsia="zh-CN"/>
        </w:rPr>
        <w:t>大龙街</w:t>
      </w:r>
      <w:r>
        <w:rPr>
          <w:rFonts w:hint="eastAsia" w:ascii="仿宋_GB2312" w:hAnsi="仿宋_GB2312" w:eastAsia="仿宋_GB2312" w:cs="仿宋_GB2312"/>
          <w:sz w:val="32"/>
          <w:szCs w:val="32"/>
        </w:rPr>
        <w:t>社工站反馈初评意见，对评估结果、存在问题及改进建议等进行沟通确认</w:t>
      </w:r>
      <w:r>
        <w:rPr>
          <w:rFonts w:hint="eastAsia" w:ascii="仿宋_GB2312" w:hAnsi="仿宋_GB2312" w:eastAsia="仿宋_GB2312" w:cs="仿宋_GB2312"/>
          <w:sz w:val="32"/>
          <w:szCs w:val="32"/>
          <w:lang w:eastAsia="zh-CN"/>
        </w:rPr>
        <w:t>。</w:t>
      </w:r>
    </w:p>
    <w:p>
      <w:pPr>
        <w:pStyle w:val="13"/>
        <w:pageBreakBefore w:val="0"/>
        <w:widowControl w:val="0"/>
        <w:numPr>
          <w:ilvl w:val="0"/>
          <w:numId w:val="3"/>
        </w:numPr>
        <w:tabs>
          <w:tab w:val="left" w:pos="1006"/>
        </w:tabs>
        <w:kinsoku/>
        <w:wordWrap/>
        <w:overflowPunct/>
        <w:topLinePunct w:val="0"/>
        <w:autoSpaceDE/>
        <w:autoSpaceDN/>
        <w:bidi w:val="0"/>
        <w:adjustRightInd/>
        <w:snapToGrid/>
        <w:spacing w:after="0" w:line="560" w:lineRule="exact"/>
        <w:ind w:firstLine="642" w:firstLineChars="200"/>
        <w:jc w:val="both"/>
        <w:textAlignment w:val="auto"/>
        <w:rPr>
          <w:rFonts w:ascii="仿宋_GB2312" w:hAnsi="仿宋_GB2312" w:eastAsia="仿宋_GB2312" w:cs="仿宋_GB2312"/>
          <w:b/>
          <w:sz w:val="32"/>
          <w:szCs w:val="32"/>
        </w:rPr>
      </w:pPr>
      <w:bookmarkStart w:id="27" w:name="bookmark27"/>
      <w:bookmarkEnd w:id="27"/>
      <w:r>
        <w:rPr>
          <w:rFonts w:hint="eastAsia" w:ascii="仿宋_GB2312" w:hAnsi="仿宋_GB2312" w:eastAsia="仿宋_GB2312" w:cs="仿宋_GB2312"/>
          <w:b/>
          <w:sz w:val="32"/>
          <w:szCs w:val="32"/>
        </w:rPr>
        <w:t>出具</w:t>
      </w:r>
      <w:r>
        <w:rPr>
          <w:rFonts w:hint="eastAsia" w:ascii="仿宋_GB2312" w:hAnsi="仿宋_GB2312" w:eastAsia="仿宋_GB2312" w:cs="仿宋_GB2312"/>
          <w:b/>
          <w:sz w:val="32"/>
          <w:szCs w:val="32"/>
          <w:lang w:eastAsia="zh-CN"/>
        </w:rPr>
        <w:t>末期</w:t>
      </w:r>
      <w:r>
        <w:rPr>
          <w:rFonts w:hint="eastAsia" w:ascii="仿宋_GB2312" w:hAnsi="仿宋_GB2312" w:eastAsia="仿宋_GB2312" w:cs="仿宋_GB2312"/>
          <w:b/>
          <w:sz w:val="32"/>
          <w:szCs w:val="32"/>
        </w:rPr>
        <w:t>评估报告</w:t>
      </w:r>
    </w:p>
    <w:p>
      <w:pPr>
        <w:pStyle w:val="13"/>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hAnsi="仿宋_GB2312" w:eastAsia="PMingLiU" w:cs="仿宋_GB2312"/>
          <w:sz w:val="32"/>
          <w:szCs w:val="32"/>
        </w:rPr>
      </w:pPr>
      <w:r>
        <w:rPr>
          <w:rFonts w:hint="eastAsia" w:ascii="仿宋_GB2312" w:hAnsi="仿宋_GB2312" w:eastAsia="仿宋_GB2312" w:cs="仿宋_GB2312"/>
          <w:sz w:val="32"/>
          <w:szCs w:val="32"/>
        </w:rPr>
        <w:t>在评估工作结束后10个工作日内，向番禺区民政局、</w:t>
      </w:r>
      <w:r>
        <w:rPr>
          <w:rFonts w:hint="eastAsia" w:ascii="仿宋_GB2312" w:hAnsi="仿宋_GB2312" w:eastAsia="仿宋_GB2312" w:cs="仿宋_GB2312"/>
          <w:sz w:val="32"/>
          <w:szCs w:val="32"/>
          <w:lang w:eastAsia="zh-CN"/>
        </w:rPr>
        <w:t>大龙街道办事处</w:t>
      </w:r>
      <w:r>
        <w:rPr>
          <w:rFonts w:hint="eastAsia" w:ascii="仿宋_GB2312" w:hAnsi="仿宋_GB2312" w:eastAsia="仿宋_GB2312" w:cs="仿宋_GB2312"/>
          <w:sz w:val="32"/>
          <w:szCs w:val="32"/>
        </w:rPr>
        <w:t>及</w:t>
      </w:r>
      <w:r>
        <w:rPr>
          <w:rFonts w:hint="eastAsia" w:ascii="仿宋_GB2312" w:hAnsi="仿宋_GB2312" w:eastAsia="仿宋_GB2312" w:cs="仿宋_GB2312"/>
          <w:sz w:val="32"/>
          <w:szCs w:val="32"/>
          <w:lang w:eastAsia="zh-CN"/>
        </w:rPr>
        <w:t>大龙街</w:t>
      </w:r>
      <w:r>
        <w:rPr>
          <w:rFonts w:hint="eastAsia" w:ascii="仿宋_GB2312" w:hAnsi="仿宋_GB2312" w:eastAsia="仿宋_GB2312" w:cs="仿宋_GB2312"/>
          <w:sz w:val="32"/>
          <w:szCs w:val="32"/>
        </w:rPr>
        <w:t>社工站各出具一份评估报告，提出项目存在的问题及改进建议。</w:t>
      </w:r>
    </w:p>
    <w:p>
      <w:pPr>
        <w:pStyle w:val="13"/>
        <w:pageBreakBefore w:val="0"/>
        <w:widowControl w:val="0"/>
        <w:numPr>
          <w:ilvl w:val="0"/>
          <w:numId w:val="3"/>
        </w:numPr>
        <w:tabs>
          <w:tab w:val="left" w:pos="1006"/>
        </w:tabs>
        <w:kinsoku/>
        <w:wordWrap/>
        <w:overflowPunct/>
        <w:topLinePunct w:val="0"/>
        <w:autoSpaceDE/>
        <w:autoSpaceDN/>
        <w:bidi w:val="0"/>
        <w:adjustRightInd/>
        <w:snapToGrid/>
        <w:spacing w:after="0" w:line="560" w:lineRule="exact"/>
        <w:ind w:firstLine="642"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lang w:eastAsia="zh-CN"/>
        </w:rPr>
        <w:t>公示评估报告及受理评估投诉</w:t>
      </w:r>
    </w:p>
    <w:p>
      <w:pPr>
        <w:pStyle w:val="13"/>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区民政</w:t>
      </w:r>
      <w:r>
        <w:rPr>
          <w:rFonts w:hint="eastAsia" w:ascii="仿宋_GB2312" w:hAnsi="仿宋_GB2312" w:eastAsia="仿宋_GB2312" w:cs="仿宋_GB2312"/>
          <w:sz w:val="32"/>
          <w:szCs w:val="32"/>
        </w:rPr>
        <w:t>局在收到评估报告后汇总社会救助等有关业务科室意见，于5个工作日内确认评估报告，确认后对</w:t>
      </w:r>
      <w:r>
        <w:rPr>
          <w:rFonts w:hint="eastAsia" w:ascii="仿宋_GB2312" w:hAnsi="仿宋_GB2312" w:eastAsia="仿宋_GB2312" w:cs="仿宋_GB2312"/>
          <w:sz w:val="32"/>
          <w:szCs w:val="32"/>
          <w:lang w:eastAsia="zh-CN"/>
        </w:rPr>
        <w:t>大龙街</w:t>
      </w:r>
      <w:r>
        <w:rPr>
          <w:rFonts w:hint="eastAsia" w:ascii="仿宋_GB2312" w:hAnsi="仿宋_GB2312" w:eastAsia="仿宋_GB2312" w:cs="仿宋_GB2312"/>
          <w:sz w:val="32"/>
          <w:szCs w:val="32"/>
        </w:rPr>
        <w:t>社工站项目的评估报告进行公示，公示期不少于7个工作日。</w:t>
      </w:r>
      <w:r>
        <w:rPr>
          <w:rFonts w:hint="eastAsia" w:ascii="仿宋_GB2312" w:hAnsi="仿宋_GB2312" w:eastAsia="仿宋_GB2312" w:cs="仿宋_GB2312"/>
          <w:sz w:val="32"/>
          <w:szCs w:val="32"/>
          <w:lang w:eastAsia="zh-CN"/>
        </w:rPr>
        <w:t>公示期间，如收到对评估报告的质疑或投诉，区民政局及时对评估结果进行复核，并确定最终评估结果，同时将有关处理情况报市民政部门。</w:t>
      </w:r>
    </w:p>
    <w:p>
      <w:pPr>
        <w:pStyle w:val="13"/>
        <w:pageBreakBefore w:val="0"/>
        <w:widowControl w:val="0"/>
        <w:tabs>
          <w:tab w:val="left" w:pos="1006"/>
        </w:tabs>
        <w:kinsoku/>
        <w:wordWrap/>
        <w:overflowPunct/>
        <w:topLinePunct w:val="0"/>
        <w:autoSpaceDE/>
        <w:autoSpaceDN/>
        <w:bidi w:val="0"/>
        <w:adjustRightInd/>
        <w:snapToGrid/>
        <w:spacing w:after="0" w:line="560" w:lineRule="exact"/>
        <w:ind w:left="640" w:firstLine="0"/>
        <w:jc w:val="both"/>
        <w:textAlignment w:val="auto"/>
        <w:rPr>
          <w:rFonts w:ascii="仿宋_GB2312" w:hAnsi="仿宋_GB2312" w:eastAsia="仿宋_GB2312" w:cs="仿宋_GB2312"/>
          <w:b/>
          <w:sz w:val="32"/>
          <w:szCs w:val="32"/>
        </w:rPr>
      </w:pPr>
      <w:bookmarkStart w:id="28" w:name="bookmark28"/>
      <w:r>
        <w:rPr>
          <w:rFonts w:hint="eastAsia" w:ascii="仿宋_GB2312" w:hAnsi="仿宋_GB2312" w:eastAsia="仿宋_GB2312" w:cs="仿宋_GB2312"/>
          <w:b/>
          <w:sz w:val="32"/>
          <w:szCs w:val="32"/>
        </w:rPr>
        <w:t>（</w:t>
      </w:r>
      <w:bookmarkEnd w:id="28"/>
      <w:r>
        <w:rPr>
          <w:rFonts w:hint="eastAsia" w:ascii="仿宋_GB2312" w:hAnsi="仿宋_GB2312" w:eastAsia="仿宋_GB2312" w:cs="仿宋_GB2312"/>
          <w:b/>
          <w:sz w:val="32"/>
          <w:szCs w:val="32"/>
        </w:rPr>
        <w:t>四）评估内容</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ascii="仿宋_GB2312" w:eastAsia="仿宋_GB2312"/>
          <w:color w:val="auto"/>
          <w:sz w:val="32"/>
          <w:szCs w:val="32"/>
        </w:rPr>
      </w:pPr>
      <w:r>
        <w:rPr>
          <w:rFonts w:hint="eastAsia" w:ascii="仿宋_GB2312" w:hAnsi="Times New Roman" w:eastAsia="仿宋_GB2312" w:cs="Times New Roman"/>
          <w:b/>
          <w:color w:val="auto"/>
          <w:sz w:val="32"/>
          <w:szCs w:val="32"/>
          <w:lang w:val="en-US" w:eastAsia="zh-CN" w:bidi="en-US"/>
        </w:rPr>
        <w:t>1.</w:t>
      </w:r>
      <w:r>
        <w:rPr>
          <w:rFonts w:hint="eastAsia" w:ascii="仿宋_GB2312" w:eastAsia="仿宋_GB2312"/>
          <w:b/>
          <w:color w:val="auto"/>
          <w:sz w:val="32"/>
          <w:szCs w:val="32"/>
        </w:rPr>
        <w:t>运营管理情况评估</w:t>
      </w:r>
      <w:r>
        <w:rPr>
          <w:rFonts w:hint="eastAsia" w:ascii="仿宋_GB2312" w:eastAsia="仿宋_GB2312"/>
          <w:b/>
          <w:color w:val="auto"/>
          <w:sz w:val="32"/>
          <w:szCs w:val="32"/>
          <w:lang w:eastAsia="zh-CN"/>
        </w:rPr>
        <w:t>：</w:t>
      </w:r>
      <w:r>
        <w:rPr>
          <w:rFonts w:hint="eastAsia" w:ascii="仿宋_GB2312" w:eastAsia="仿宋_GB2312"/>
          <w:color w:val="auto"/>
          <w:sz w:val="32"/>
          <w:szCs w:val="32"/>
        </w:rPr>
        <w:t>主要从社工站人员管理、行政管理、项目宣传等方面进行评估。</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ascii="仿宋_GB2312" w:hAnsi="仿宋_GB2312" w:eastAsia="仿宋_GB2312" w:cs="仿宋_GB2312"/>
          <w:color w:val="auto"/>
          <w:sz w:val="32"/>
          <w:szCs w:val="32"/>
          <w:lang w:eastAsia="zh-CN"/>
        </w:rPr>
      </w:pPr>
      <w:r>
        <w:rPr>
          <w:rFonts w:hint="eastAsia" w:ascii="仿宋_GB2312" w:eastAsia="仿宋_GB2312"/>
          <w:b/>
          <w:color w:val="auto"/>
          <w:sz w:val="32"/>
          <w:szCs w:val="32"/>
          <w:lang w:val="en-US"/>
        </w:rPr>
        <w:t>2.</w:t>
      </w:r>
      <w:r>
        <w:rPr>
          <w:rFonts w:hint="eastAsia" w:ascii="仿宋_GB2312" w:eastAsia="仿宋_GB2312"/>
          <w:b/>
          <w:color w:val="auto"/>
          <w:sz w:val="32"/>
          <w:szCs w:val="32"/>
        </w:rPr>
        <w:t>项目服务评估</w:t>
      </w:r>
      <w:bookmarkStart w:id="29" w:name="bookmark29"/>
      <w:bookmarkEnd w:id="29"/>
      <w:r>
        <w:rPr>
          <w:rFonts w:hint="eastAsia" w:ascii="仿宋_GB2312" w:eastAsia="仿宋_GB2312"/>
          <w:b/>
          <w:color w:val="auto"/>
          <w:sz w:val="32"/>
          <w:szCs w:val="32"/>
          <w:lang w:eastAsia="zh-CN"/>
        </w:rPr>
        <w:t>：</w:t>
      </w:r>
      <w:r>
        <w:rPr>
          <w:rFonts w:ascii="仿宋_GB2312" w:hAnsi="仿宋_GB2312" w:eastAsia="仿宋_GB2312" w:cs="仿宋_GB2312"/>
          <w:color w:val="auto"/>
          <w:sz w:val="32"/>
          <w:szCs w:val="32"/>
          <w:lang w:eastAsia="zh-CN"/>
        </w:rPr>
        <w:t>根据《广州市社工站</w:t>
      </w:r>
      <w:r>
        <w:rPr>
          <w:rFonts w:hint="eastAsia" w:ascii="仿宋_GB2312" w:hAnsi="仿宋_GB2312" w:eastAsia="仿宋_GB2312" w:cs="仿宋_GB2312"/>
          <w:color w:val="auto"/>
          <w:sz w:val="32"/>
          <w:szCs w:val="32"/>
          <w:lang w:eastAsia="zh-CN"/>
        </w:rPr>
        <w:t>购买</w:t>
      </w:r>
      <w:r>
        <w:rPr>
          <w:rFonts w:ascii="仿宋_GB2312" w:hAnsi="仿宋_GB2312" w:eastAsia="仿宋_GB2312" w:cs="仿宋_GB2312"/>
          <w:color w:val="auto"/>
          <w:sz w:val="32"/>
          <w:szCs w:val="32"/>
          <w:lang w:eastAsia="zh-CN"/>
        </w:rPr>
        <w:t>服务项目评估指标体系》，结合社工站与</w:t>
      </w:r>
      <w:r>
        <w:rPr>
          <w:rFonts w:hint="eastAsia" w:ascii="仿宋_GB2312" w:hAnsi="仿宋_GB2312" w:eastAsia="仿宋_GB2312" w:cs="仿宋_GB2312"/>
          <w:color w:val="auto"/>
          <w:sz w:val="32"/>
          <w:szCs w:val="32"/>
          <w:lang w:eastAsia="zh-CN"/>
        </w:rPr>
        <w:t>镇街</w:t>
      </w:r>
      <w:r>
        <w:rPr>
          <w:rFonts w:ascii="仿宋_GB2312" w:hAnsi="仿宋_GB2312" w:eastAsia="仿宋_GB2312" w:cs="仿宋_GB2312"/>
          <w:color w:val="auto"/>
          <w:sz w:val="32"/>
          <w:szCs w:val="32"/>
          <w:lang w:eastAsia="zh-CN"/>
        </w:rPr>
        <w:t>签订的三方协议规定开展的服务内容开展评估工作，主要从</w:t>
      </w:r>
      <w:r>
        <w:rPr>
          <w:rFonts w:hint="eastAsia" w:ascii="仿宋_GB2312" w:hAnsi="仿宋_GB2312" w:eastAsia="仿宋_GB2312" w:cs="仿宋_GB2312"/>
          <w:color w:val="auto"/>
          <w:sz w:val="32"/>
          <w:szCs w:val="32"/>
          <w:lang w:eastAsia="zh-CN"/>
        </w:rPr>
        <w:t>需求</w:t>
      </w:r>
      <w:r>
        <w:rPr>
          <w:rFonts w:ascii="仿宋_GB2312" w:hAnsi="仿宋_GB2312" w:eastAsia="仿宋_GB2312" w:cs="仿宋_GB2312"/>
          <w:color w:val="auto"/>
          <w:sz w:val="32"/>
          <w:szCs w:val="32"/>
          <w:lang w:eastAsia="zh-CN"/>
        </w:rPr>
        <w:t>评估</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服务设计</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服务执行</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服务成效等方面进行评估。</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hint="eastAsia" w:ascii="仿宋_GB2312" w:eastAsia="仿宋_GB2312"/>
          <w:color w:val="auto"/>
          <w:sz w:val="32"/>
          <w:szCs w:val="32"/>
        </w:rPr>
      </w:pPr>
      <w:r>
        <w:rPr>
          <w:rFonts w:hint="eastAsia" w:ascii="仿宋_GB2312" w:eastAsia="仿宋_GB2312"/>
          <w:b/>
          <w:color w:val="auto"/>
          <w:sz w:val="32"/>
          <w:szCs w:val="32"/>
          <w:lang w:val="en-US"/>
        </w:rPr>
        <w:t>3.</w:t>
      </w:r>
      <w:r>
        <w:rPr>
          <w:rFonts w:hint="eastAsia" w:ascii="仿宋_GB2312" w:eastAsia="仿宋_GB2312"/>
          <w:b/>
          <w:color w:val="auto"/>
          <w:sz w:val="32"/>
          <w:szCs w:val="32"/>
        </w:rPr>
        <w:t>利益相关方满意度及知晓度访谈：</w:t>
      </w:r>
      <w:r>
        <w:rPr>
          <w:rFonts w:hint="eastAsia" w:ascii="仿宋_GB2312" w:eastAsia="仿宋_GB2312"/>
          <w:color w:val="auto"/>
          <w:sz w:val="32"/>
          <w:szCs w:val="32"/>
        </w:rPr>
        <w:t>服务对象满意度主要由评估机构统筹实施，通过电访、走访、调查问卷等方式进行，随机抽取不少于100名服务对象开展满意度调查（困难群众和特殊群体总人数低于100的，按照实际人数开展全覆盖满意度调查）。</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ascii="仿宋_GB2312" w:hAnsi="仿宋_GB2312" w:eastAsia="PMingLiU" w:cs="仿宋_GB2312"/>
          <w:b/>
          <w:color w:val="auto"/>
          <w:sz w:val="32"/>
          <w:szCs w:val="32"/>
        </w:rPr>
      </w:pPr>
      <w:r>
        <w:rPr>
          <w:rFonts w:hint="eastAsia" w:ascii="仿宋_GB2312" w:hAnsi="仿宋_GB2312" w:eastAsia="仿宋_GB2312" w:cs="仿宋_GB2312"/>
          <w:b/>
          <w:color w:val="auto"/>
          <w:sz w:val="32"/>
          <w:szCs w:val="32"/>
        </w:rPr>
        <w:t>4</w:t>
      </w:r>
      <w:r>
        <w:rPr>
          <w:rFonts w:ascii="仿宋_GB2312" w:hAnsi="仿宋_GB2312" w:eastAsia="仿宋_GB2312" w:cs="仿宋_GB2312"/>
          <w:b/>
          <w:color w:val="auto"/>
          <w:sz w:val="32"/>
          <w:szCs w:val="32"/>
        </w:rPr>
        <w:t>.收集整理相关方反馈</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rPr>
      </w:pPr>
      <w:r>
        <w:rPr>
          <w:rFonts w:hint="eastAsia" w:ascii="仿宋_GB2312" w:hAnsi="仿宋_GB2312" w:eastAsia="仿宋_GB2312" w:cs="仿宋_GB2312"/>
          <w:color w:val="auto"/>
          <w:sz w:val="32"/>
          <w:szCs w:val="32"/>
        </w:rPr>
        <w:t>收集整理相关方意见反馈</w:t>
      </w:r>
      <w:r>
        <w:rPr>
          <w:rFonts w:hint="eastAsia" w:ascii="仿宋_GB2312" w:hAnsi="仿宋_GB2312" w:eastAsia="仿宋_GB2312" w:cs="仿宋_GB2312"/>
          <w:color w:val="auto"/>
          <w:sz w:val="32"/>
          <w:szCs w:val="32"/>
          <w:lang w:eastAsia="zh-CN"/>
        </w:rPr>
        <w:t>，包括</w:t>
      </w:r>
      <w:r>
        <w:rPr>
          <w:rFonts w:hint="eastAsia" w:ascii="仿宋_GB2312" w:hAnsi="仿宋_GB2312" w:eastAsia="仿宋_GB2312" w:cs="仿宋_GB2312"/>
          <w:color w:val="auto"/>
          <w:sz w:val="32"/>
          <w:szCs w:val="32"/>
        </w:rPr>
        <w:t>街道购买方</w:t>
      </w:r>
      <w:r>
        <w:rPr>
          <w:rFonts w:hint="eastAsia" w:ascii="仿宋_GB2312" w:hAnsi="仿宋_GB2312" w:eastAsia="仿宋_GB2312" w:cs="仿宋_GB2312"/>
          <w:color w:val="auto"/>
          <w:sz w:val="32"/>
          <w:szCs w:val="32"/>
          <w:lang w:eastAsia="zh-CN"/>
        </w:rPr>
        <w:t>对社工站项目作用发挥情况的综合评价</w:t>
      </w:r>
      <w:r>
        <w:rPr>
          <w:rFonts w:hint="eastAsia" w:ascii="仿宋_GB2312" w:hAnsi="仿宋_GB2312" w:eastAsia="仿宋_GB2312" w:cs="仿宋_GB2312"/>
          <w:color w:val="auto"/>
          <w:sz w:val="32"/>
          <w:szCs w:val="32"/>
        </w:rPr>
        <w:t>，监督方番禺区民政局</w:t>
      </w:r>
      <w:r>
        <w:rPr>
          <w:rFonts w:hint="eastAsia" w:ascii="仿宋_GB2312" w:hAnsi="仿宋_GB2312" w:eastAsia="仿宋_GB2312" w:cs="仿宋_GB2312"/>
          <w:color w:val="auto"/>
          <w:sz w:val="32"/>
          <w:szCs w:val="32"/>
          <w:lang w:eastAsia="zh-CN"/>
        </w:rPr>
        <w:t>对社工站项目的自查自纠检查情况、督查整改落实情况的综合评价，以及</w:t>
      </w:r>
      <w:r>
        <w:rPr>
          <w:rFonts w:hint="eastAsia" w:ascii="仿宋_GB2312" w:hAnsi="仿宋_GB2312" w:eastAsia="仿宋_GB2312" w:cs="仿宋_GB2312"/>
          <w:color w:val="auto"/>
          <w:sz w:val="32"/>
          <w:szCs w:val="32"/>
        </w:rPr>
        <w:t>督导中心</w:t>
      </w:r>
      <w:r>
        <w:rPr>
          <w:rFonts w:hint="eastAsia" w:ascii="仿宋_GB2312" w:hAnsi="仿宋_GB2312" w:eastAsia="仿宋_GB2312" w:cs="仿宋_GB2312"/>
          <w:color w:val="auto"/>
          <w:sz w:val="32"/>
          <w:szCs w:val="32"/>
          <w:lang w:eastAsia="zh-CN"/>
        </w:rPr>
        <w:t>对服务质量保障方面情况的综合评价。</w:t>
      </w:r>
    </w:p>
    <w:p>
      <w:pPr>
        <w:pStyle w:val="13"/>
        <w:keepNext w:val="0"/>
        <w:keepLines w:val="0"/>
        <w:pageBreakBefore w:val="0"/>
        <w:widowControl w:val="0"/>
        <w:kinsoku/>
        <w:wordWrap/>
        <w:overflowPunct/>
        <w:topLinePunct w:val="0"/>
        <w:autoSpaceDE/>
        <w:autoSpaceDN/>
        <w:bidi w:val="0"/>
        <w:adjustRightInd/>
        <w:snapToGrid/>
        <w:spacing w:after="0" w:line="560" w:lineRule="exact"/>
        <w:ind w:left="480" w:leftChars="200" w:firstLine="0"/>
        <w:jc w:val="both"/>
        <w:textAlignment w:val="auto"/>
        <w:rPr>
          <w:rFonts w:ascii="仿宋_GB2312" w:eastAsia="仿宋_GB2312"/>
          <w:b/>
          <w:sz w:val="32"/>
          <w:szCs w:val="32"/>
        </w:rPr>
      </w:pPr>
      <w:r>
        <w:rPr>
          <w:rFonts w:hint="eastAsia" w:ascii="仿宋_GB2312" w:eastAsia="仿宋_GB2312"/>
          <w:b/>
          <w:sz w:val="32"/>
          <w:szCs w:val="32"/>
          <w:lang w:eastAsia="zh-CN"/>
        </w:rPr>
        <w:t>（五）</w:t>
      </w:r>
      <w:r>
        <w:rPr>
          <w:rFonts w:hint="eastAsia" w:ascii="仿宋_GB2312" w:eastAsia="仿宋_GB2312"/>
          <w:b/>
          <w:sz w:val="32"/>
          <w:szCs w:val="32"/>
        </w:rPr>
        <w:t>评估结果说明</w:t>
      </w:r>
    </w:p>
    <w:p>
      <w:pPr>
        <w:pStyle w:val="13"/>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社工站项目评估分值由四方评估分数的总和确定。其中，第三方评估机构评估分值占比55％、督导中心评估分值占比15％、镇人民政府（街道办事处）评估分值占比20％、区民政部门评估分值占比10％。评估等级分为优秀、良好、合格、不合格四个等级，90分以上为优秀，80分至90分（不含90分）为良好</w:t>
      </w:r>
      <w:r>
        <w:rPr>
          <w:rFonts w:hint="eastAsia" w:ascii="仿宋_GB2312" w:eastAsia="仿宋_GB2312"/>
          <w:sz w:val="32"/>
          <w:szCs w:val="32"/>
          <w:lang w:eastAsia="zh-CN"/>
        </w:rPr>
        <w:t>，</w:t>
      </w:r>
      <w:r>
        <w:rPr>
          <w:rFonts w:hint="eastAsia" w:ascii="仿宋_GB2312" w:eastAsia="仿宋_GB2312"/>
          <w:sz w:val="32"/>
          <w:szCs w:val="32"/>
        </w:rPr>
        <w:t xml:space="preserve"> 60分至80分（不含80分）为合格，60分以下（不含60分）为不合格。评估中若发现有下列情形之一的，评估结果也定为不合格：</w:t>
      </w:r>
    </w:p>
    <w:p>
      <w:pPr>
        <w:pStyle w:val="11"/>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（一）保洁、安保等人员占用社工名额的；</w:t>
      </w:r>
    </w:p>
    <w:p>
      <w:pPr>
        <w:pStyle w:val="11"/>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二）社工人员配备不足的，其中，项目配备10名及以上社工的，中期评估累计缺少5人次及以上，末期评估累计缺少10人次及以上；项目配备10名以下社工的，中期评估累计缺少3人次及以上，末期评估累计缺少6人次及以上；</w:t>
      </w:r>
    </w:p>
    <w:p>
      <w:pPr>
        <w:pStyle w:val="11"/>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（三）持证社工比例不达标的；</w:t>
      </w:r>
    </w:p>
    <w:p>
      <w:pPr>
        <w:pStyle w:val="11"/>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（四）年度服务期内人员费用支出比例低于80%的；</w:t>
      </w:r>
    </w:p>
    <w:p>
      <w:pPr>
        <w:pStyle w:val="11"/>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（五）限期内整改不及时、不到位的；</w:t>
      </w:r>
    </w:p>
    <w:p>
      <w:pPr>
        <w:pStyle w:val="11"/>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（六）专业评估结果为不合格的；</w:t>
      </w:r>
    </w:p>
    <w:p>
      <w:pPr>
        <w:pStyle w:val="11"/>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（七）财务评估结果为不合格的；</w:t>
      </w:r>
    </w:p>
    <w:p>
      <w:pPr>
        <w:pStyle w:val="11"/>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（八）违反国家法律法规及有关规定的其他情形，情节严重的。</w:t>
      </w:r>
    </w:p>
    <w:p>
      <w:pPr>
        <w:pStyle w:val="11"/>
        <w:keepNext/>
        <w:keepLines/>
        <w:pageBreakBefore w:val="0"/>
        <w:widowControl w:val="0"/>
        <w:kinsoku/>
        <w:wordWrap/>
        <w:overflowPunct/>
        <w:topLinePunct w:val="0"/>
        <w:autoSpaceDE/>
        <w:autoSpaceDN/>
        <w:bidi w:val="0"/>
        <w:adjustRightInd/>
        <w:snapToGrid/>
        <w:spacing w:before="0" w:after="0" w:line="560" w:lineRule="exact"/>
        <w:ind w:firstLine="642"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二、评估总结</w:t>
      </w:r>
    </w:p>
    <w:p>
      <w:pPr>
        <w:pStyle w:val="13"/>
        <w:pageBreakBefore w:val="0"/>
        <w:widowControl w:val="0"/>
        <w:kinsoku/>
        <w:wordWrap/>
        <w:overflowPunct/>
        <w:topLinePunct w:val="0"/>
        <w:autoSpaceDE/>
        <w:autoSpaceDN/>
        <w:bidi w:val="0"/>
        <w:adjustRightInd/>
        <w:snapToGrid/>
        <w:spacing w:after="0" w:line="560" w:lineRule="exact"/>
        <w:ind w:firstLine="743"/>
        <w:jc w:val="both"/>
        <w:textAlignment w:val="auto"/>
        <w:rPr>
          <w:rFonts w:ascii="仿宋_GB2312" w:eastAsia="仿宋_GB2312"/>
          <w:b/>
          <w:color w:val="auto"/>
          <w:sz w:val="32"/>
          <w:szCs w:val="32"/>
        </w:rPr>
      </w:pPr>
      <w:r>
        <w:rPr>
          <w:rFonts w:hint="eastAsia" w:ascii="仿宋_GB2312" w:eastAsia="仿宋_GB2312"/>
          <w:b/>
          <w:color w:val="auto"/>
          <w:sz w:val="32"/>
          <w:szCs w:val="32"/>
        </w:rPr>
        <w:t>（</w:t>
      </w:r>
      <w:r>
        <w:rPr>
          <w:rFonts w:hint="eastAsia" w:ascii="仿宋_GB2312" w:eastAsia="仿宋_GB2312"/>
          <w:b/>
          <w:color w:val="auto"/>
          <w:sz w:val="32"/>
          <w:szCs w:val="32"/>
          <w:lang w:eastAsia="zh-CN"/>
        </w:rPr>
        <w:t>一</w:t>
      </w:r>
      <w:r>
        <w:rPr>
          <w:rFonts w:hint="eastAsia" w:ascii="仿宋_GB2312" w:eastAsia="仿宋_GB2312"/>
          <w:b/>
          <w:color w:val="auto"/>
          <w:sz w:val="32"/>
          <w:szCs w:val="32"/>
        </w:rPr>
        <w:t>）社工站基本情况</w:t>
      </w:r>
    </w:p>
    <w:p>
      <w:pPr>
        <w:pStyle w:val="13"/>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lang w:eastAsia="zh-CN"/>
        </w:rPr>
        <w:t>大龙街</w:t>
      </w:r>
      <w:r>
        <w:rPr>
          <w:rFonts w:hint="eastAsia" w:ascii="仿宋_GB2312" w:eastAsia="仿宋_GB2312"/>
          <w:color w:val="auto"/>
          <w:sz w:val="32"/>
          <w:szCs w:val="32"/>
        </w:rPr>
        <w:t>社工站位于</w:t>
      </w:r>
      <w:r>
        <w:rPr>
          <w:rFonts w:hint="eastAsia" w:ascii="仿宋_GB2312" w:eastAsia="仿宋_GB2312"/>
          <w:color w:val="auto"/>
          <w:sz w:val="32"/>
          <w:szCs w:val="32"/>
          <w:lang w:val="en-US" w:eastAsia="zh-CN"/>
        </w:rPr>
        <w:t>番禺区金海岸花园聚湖二期15栋二梯金海岸居委会2楼</w:t>
      </w:r>
      <w:r>
        <w:rPr>
          <w:rFonts w:hint="eastAsia" w:ascii="仿宋_GB2312" w:eastAsia="仿宋_GB2312"/>
          <w:color w:val="auto"/>
          <w:sz w:val="32"/>
          <w:szCs w:val="32"/>
        </w:rPr>
        <w:t>，于2016年</w:t>
      </w:r>
      <w:r>
        <w:rPr>
          <w:rFonts w:hint="eastAsia" w:ascii="仿宋_GB2312" w:eastAsia="仿宋_GB2312"/>
          <w:color w:val="auto"/>
          <w:sz w:val="32"/>
          <w:szCs w:val="32"/>
          <w:lang w:val="en-US" w:eastAsia="zh-CN"/>
        </w:rPr>
        <w:t>9</w:t>
      </w:r>
      <w:r>
        <w:rPr>
          <w:rFonts w:hint="eastAsia" w:ascii="仿宋_GB2312" w:eastAsia="仿宋_GB2312"/>
          <w:color w:val="auto"/>
          <w:sz w:val="32"/>
          <w:szCs w:val="32"/>
        </w:rPr>
        <w:t>月开始，由广州市阳光天使社会工作服务中心负责运营。</w:t>
      </w:r>
      <w:r>
        <w:rPr>
          <w:rFonts w:hint="eastAsia" w:ascii="仿宋_GB2312" w:eastAsia="仿宋_GB2312"/>
          <w:color w:val="auto"/>
          <w:sz w:val="32"/>
          <w:szCs w:val="32"/>
          <w:lang w:eastAsia="zh-CN"/>
        </w:rPr>
        <w:t>大龙街</w:t>
      </w:r>
      <w:r>
        <w:rPr>
          <w:rFonts w:hint="eastAsia" w:ascii="仿宋_GB2312" w:eastAsia="仿宋_GB2312"/>
          <w:color w:val="auto"/>
          <w:sz w:val="32"/>
          <w:szCs w:val="32"/>
        </w:rPr>
        <w:t>社工站主要服务包括：党建引领服务、兜底性民生服务、基础性民生服务、普惠性民生服务四大板块。</w:t>
      </w:r>
    </w:p>
    <w:p>
      <w:pPr>
        <w:pStyle w:val="13"/>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rPr>
      </w:pPr>
      <w:r>
        <w:rPr>
          <w:rFonts w:hint="eastAsia" w:ascii="仿宋_GB2312" w:eastAsia="仿宋_GB2312"/>
          <w:sz w:val="32"/>
          <w:szCs w:val="32"/>
        </w:rPr>
        <w:t>截至</w:t>
      </w:r>
      <w:r>
        <w:rPr>
          <w:rFonts w:hint="eastAsia" w:ascii="仿宋_GB2312" w:eastAsia="仿宋_GB2312"/>
          <w:sz w:val="32"/>
          <w:szCs w:val="32"/>
          <w:lang w:eastAsia="zh-CN"/>
        </w:rPr>
        <w:t>202</w:t>
      </w:r>
      <w:r>
        <w:rPr>
          <w:rFonts w:hint="eastAsia" w:ascii="仿宋_GB2312" w:eastAsia="仿宋_GB2312"/>
          <w:sz w:val="32"/>
          <w:szCs w:val="32"/>
          <w:lang w:val="en-US" w:eastAsia="zh-CN"/>
        </w:rPr>
        <w:t>5</w:t>
      </w:r>
      <w:r>
        <w:rPr>
          <w:rFonts w:hint="eastAsia" w:ascii="仿宋_GB2312" w:eastAsia="仿宋_GB2312"/>
          <w:sz w:val="32"/>
          <w:szCs w:val="32"/>
          <w:lang w:eastAsia="zh-CN"/>
        </w:rPr>
        <w:t>年</w:t>
      </w:r>
      <w:r>
        <w:rPr>
          <w:rFonts w:hint="eastAsia" w:ascii="仿宋_GB2312" w:eastAsia="仿宋_GB2312"/>
          <w:sz w:val="32"/>
          <w:szCs w:val="32"/>
          <w:lang w:val="en-US" w:eastAsia="zh-CN"/>
        </w:rPr>
        <w:t>7</w:t>
      </w:r>
      <w:r>
        <w:rPr>
          <w:rFonts w:hint="eastAsia" w:ascii="仿宋_GB2312" w:eastAsia="仿宋_GB2312"/>
          <w:sz w:val="32"/>
          <w:szCs w:val="32"/>
          <w:lang w:eastAsia="zh-CN"/>
        </w:rPr>
        <w:t>月</w:t>
      </w:r>
      <w:r>
        <w:rPr>
          <w:rFonts w:hint="eastAsia" w:ascii="仿宋_GB2312" w:hAnsi="Times New Roman" w:eastAsia="仿宋_GB2312" w:cs="Times New Roman"/>
          <w:sz w:val="32"/>
          <w:szCs w:val="32"/>
          <w:lang w:val="en-US" w:eastAsia="zh-CN" w:bidi="en-US"/>
        </w:rPr>
        <w:t xml:space="preserve"> ，</w:t>
      </w:r>
      <w:r>
        <w:rPr>
          <w:rFonts w:hint="eastAsia" w:ascii="仿宋_GB2312" w:eastAsia="仿宋_GB2312"/>
          <w:sz w:val="32"/>
          <w:szCs w:val="32"/>
        </w:rPr>
        <w:t>社工站配备工作人员</w:t>
      </w:r>
      <w:r>
        <w:rPr>
          <w:rFonts w:hint="eastAsia" w:ascii="仿宋_GB2312" w:eastAsia="仿宋_GB2312"/>
          <w:sz w:val="32"/>
          <w:szCs w:val="32"/>
          <w:lang w:val="en-US" w:eastAsia="zh-CN"/>
        </w:rPr>
        <w:t>15</w:t>
      </w:r>
      <w:r>
        <w:rPr>
          <w:rFonts w:hint="eastAsia" w:ascii="仿宋_GB2312" w:eastAsia="仿宋_GB2312"/>
          <w:sz w:val="32"/>
          <w:szCs w:val="32"/>
        </w:rPr>
        <w:t>名，其</w:t>
      </w:r>
      <w:r>
        <w:rPr>
          <w:rFonts w:hint="eastAsia" w:ascii="仿宋_GB2312" w:eastAsia="仿宋_GB2312"/>
          <w:sz w:val="32"/>
          <w:szCs w:val="32"/>
          <w:lang w:eastAsia="zh-CN"/>
        </w:rPr>
        <w:t>中</w:t>
      </w:r>
      <w:r>
        <w:rPr>
          <w:rFonts w:hint="eastAsia" w:ascii="仿宋_GB2312" w:eastAsia="仿宋_GB2312"/>
          <w:sz w:val="32"/>
          <w:szCs w:val="32"/>
        </w:rPr>
        <w:t>社工专业人员</w:t>
      </w:r>
      <w:r>
        <w:rPr>
          <w:rFonts w:hint="eastAsia" w:ascii="仿宋_GB2312" w:eastAsia="仿宋_GB2312"/>
          <w:sz w:val="32"/>
          <w:szCs w:val="32"/>
          <w:lang w:val="en-US" w:eastAsia="zh-CN"/>
        </w:rPr>
        <w:t>15</w:t>
      </w:r>
      <w:r>
        <w:rPr>
          <w:rFonts w:hint="eastAsia" w:ascii="仿宋_GB2312" w:eastAsia="仿宋_GB2312"/>
          <w:sz w:val="32"/>
          <w:szCs w:val="32"/>
        </w:rPr>
        <w:t>名（</w:t>
      </w:r>
      <w:r>
        <w:rPr>
          <w:rFonts w:hint="eastAsia" w:ascii="仿宋_GB2312" w:eastAsia="仿宋_GB2312"/>
          <w:sz w:val="32"/>
          <w:szCs w:val="32"/>
          <w:lang w:val="en-US" w:eastAsia="zh-CN"/>
        </w:rPr>
        <w:t>4</w:t>
      </w:r>
      <w:r>
        <w:rPr>
          <w:rFonts w:hint="eastAsia" w:ascii="仿宋_GB2312" w:eastAsia="仿宋_GB2312"/>
          <w:sz w:val="32"/>
          <w:szCs w:val="32"/>
        </w:rPr>
        <w:t>名</w:t>
      </w:r>
      <w:r>
        <w:rPr>
          <w:rFonts w:hint="eastAsia" w:ascii="仿宋_GB2312" w:eastAsia="仿宋_GB2312"/>
          <w:sz w:val="32"/>
          <w:szCs w:val="32"/>
          <w:lang w:eastAsia="zh-CN"/>
        </w:rPr>
        <w:t>中</w:t>
      </w:r>
      <w:r>
        <w:rPr>
          <w:rFonts w:hint="eastAsia" w:ascii="仿宋_GB2312" w:eastAsia="仿宋_GB2312"/>
          <w:sz w:val="32"/>
          <w:szCs w:val="32"/>
        </w:rPr>
        <w:t>级社工师，</w:t>
      </w:r>
      <w:r>
        <w:rPr>
          <w:rFonts w:hint="eastAsia" w:ascii="仿宋_GB2312" w:eastAsia="仿宋_GB2312"/>
          <w:sz w:val="32"/>
          <w:szCs w:val="32"/>
          <w:lang w:val="en-US" w:eastAsia="zh-CN"/>
        </w:rPr>
        <w:t>11</w:t>
      </w:r>
      <w:r>
        <w:rPr>
          <w:rFonts w:hint="eastAsia" w:ascii="仿宋_GB2312" w:eastAsia="仿宋_GB2312"/>
          <w:sz w:val="32"/>
          <w:szCs w:val="32"/>
        </w:rPr>
        <w:t>名助理社工师）。此外，社工站配备督导</w:t>
      </w:r>
      <w:r>
        <w:rPr>
          <w:rFonts w:hint="eastAsia" w:ascii="仿宋_GB2312" w:eastAsia="仿宋_GB2312"/>
          <w:sz w:val="32"/>
          <w:szCs w:val="32"/>
          <w:lang w:val="en-US" w:eastAsia="zh-CN"/>
        </w:rPr>
        <w:t>2</w:t>
      </w:r>
      <w:r>
        <w:rPr>
          <w:rFonts w:hint="eastAsia" w:ascii="仿宋_GB2312" w:eastAsia="仿宋_GB2312"/>
          <w:sz w:val="32"/>
          <w:szCs w:val="32"/>
        </w:rPr>
        <w:t>名</w:t>
      </w:r>
      <w:r>
        <w:rPr>
          <w:rFonts w:hint="eastAsia" w:ascii="仿宋_GB2312" w:eastAsia="仿宋_GB2312"/>
          <w:sz w:val="32"/>
          <w:szCs w:val="32"/>
          <w:lang w:eastAsia="zh-CN"/>
        </w:rPr>
        <w:t>，</w:t>
      </w:r>
      <w:r>
        <w:rPr>
          <w:rFonts w:hint="eastAsia" w:ascii="仿宋_GB2312" w:eastAsia="仿宋_GB2312"/>
          <w:sz w:val="32"/>
          <w:szCs w:val="32"/>
        </w:rPr>
        <w:t>从事社会服务</w:t>
      </w:r>
      <w:r>
        <w:rPr>
          <w:rFonts w:hint="eastAsia" w:ascii="仿宋_GB2312" w:hAnsi="Times New Roman" w:eastAsia="仿宋_GB2312" w:cs="Times New Roman"/>
          <w:sz w:val="32"/>
          <w:szCs w:val="32"/>
          <w:lang w:val="en-US" w:eastAsia="zh-CN"/>
        </w:rPr>
        <w:t>10</w:t>
      </w:r>
      <w:r>
        <w:rPr>
          <w:rFonts w:hint="eastAsia" w:ascii="仿宋_GB2312" w:eastAsia="仿宋_GB2312"/>
          <w:sz w:val="32"/>
          <w:szCs w:val="32"/>
        </w:rPr>
        <w:t>年以上。</w:t>
      </w:r>
    </w:p>
    <w:p>
      <w:pPr>
        <w:pStyle w:val="13"/>
        <w:pageBreakBefore w:val="0"/>
        <w:widowControl w:val="0"/>
        <w:kinsoku/>
        <w:wordWrap/>
        <w:overflowPunct/>
        <w:topLinePunct w:val="0"/>
        <w:autoSpaceDE/>
        <w:autoSpaceDN/>
        <w:bidi w:val="0"/>
        <w:adjustRightInd/>
        <w:snapToGrid/>
        <w:spacing w:after="0" w:line="560" w:lineRule="exact"/>
        <w:ind w:firstLine="601"/>
        <w:jc w:val="both"/>
        <w:textAlignment w:val="auto"/>
        <w:rPr>
          <w:rFonts w:ascii="仿宋_GB2312" w:eastAsia="仿宋_GB2312"/>
          <w:color w:val="auto"/>
          <w:sz w:val="32"/>
          <w:szCs w:val="32"/>
        </w:rPr>
      </w:pPr>
      <w:r>
        <w:rPr>
          <w:rFonts w:hint="eastAsia" w:ascii="仿宋_GB2312" w:eastAsia="仿宋_GB2312"/>
          <w:color w:val="auto"/>
          <w:sz w:val="32"/>
          <w:szCs w:val="32"/>
        </w:rPr>
        <w:t>本社工站</w:t>
      </w:r>
      <w:r>
        <w:rPr>
          <w:rFonts w:hint="eastAsia" w:ascii="仿宋_GB2312" w:eastAsia="仿宋_GB2312"/>
          <w:color w:val="auto"/>
          <w:sz w:val="32"/>
          <w:szCs w:val="32"/>
          <w:lang w:val="en-US" w:eastAsia="zh-CN"/>
        </w:rPr>
        <w:t>评估周期</w:t>
      </w:r>
      <w:r>
        <w:rPr>
          <w:rFonts w:hint="eastAsia" w:ascii="仿宋_GB2312" w:eastAsia="仿宋_GB2312"/>
          <w:color w:val="auto"/>
          <w:sz w:val="32"/>
          <w:szCs w:val="32"/>
        </w:rPr>
        <w:t>服务经费为</w:t>
      </w:r>
      <w:r>
        <w:rPr>
          <w:rFonts w:hint="eastAsia" w:ascii="仿宋_GB2312" w:eastAsia="仿宋_GB2312"/>
          <w:color w:val="auto"/>
          <w:sz w:val="32"/>
          <w:szCs w:val="32"/>
          <w:highlight w:val="none"/>
          <w:lang w:val="en-US" w:eastAsia="zh-CN"/>
        </w:rPr>
        <w:t>201.2</w:t>
      </w:r>
      <w:r>
        <w:rPr>
          <w:rFonts w:hint="eastAsia" w:ascii="仿宋_GB2312" w:eastAsia="仿宋_GB2312"/>
          <w:color w:val="auto"/>
          <w:sz w:val="32"/>
          <w:szCs w:val="32"/>
        </w:rPr>
        <w:t>万元</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评估周期</w:t>
      </w:r>
      <w:r>
        <w:rPr>
          <w:rFonts w:hint="eastAsia" w:ascii="仿宋_GB2312" w:eastAsia="仿宋_GB2312"/>
          <w:color w:val="auto"/>
          <w:sz w:val="32"/>
          <w:szCs w:val="32"/>
        </w:rPr>
        <w:t>项目合同期为202</w:t>
      </w:r>
      <w:r>
        <w:rPr>
          <w:rFonts w:hint="eastAsia" w:ascii="仿宋_GB2312" w:eastAsia="仿宋_GB2312"/>
          <w:color w:val="auto"/>
          <w:sz w:val="32"/>
          <w:szCs w:val="32"/>
          <w:lang w:val="en-US" w:eastAsia="zh-CN"/>
        </w:rPr>
        <w:t>4</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26</w:t>
      </w:r>
      <w:r>
        <w:rPr>
          <w:rFonts w:hint="eastAsia" w:ascii="仿宋_GB2312" w:eastAsia="仿宋_GB2312"/>
          <w:color w:val="auto"/>
          <w:sz w:val="32"/>
          <w:szCs w:val="32"/>
        </w:rPr>
        <w:t>日至</w:t>
      </w:r>
      <w:r>
        <w:rPr>
          <w:rFonts w:hint="eastAsia" w:ascii="仿宋_GB2312" w:eastAsia="仿宋_GB2312"/>
          <w:color w:val="auto"/>
          <w:sz w:val="32"/>
          <w:szCs w:val="32"/>
          <w:lang w:eastAsia="zh-CN"/>
        </w:rPr>
        <w:t>202</w:t>
      </w:r>
      <w:r>
        <w:rPr>
          <w:rFonts w:hint="eastAsia" w:ascii="仿宋_GB2312" w:eastAsia="仿宋_GB2312"/>
          <w:color w:val="auto"/>
          <w:sz w:val="32"/>
          <w:szCs w:val="32"/>
          <w:lang w:val="en-US" w:eastAsia="zh-CN"/>
        </w:rPr>
        <w:t>5</w:t>
      </w:r>
      <w:r>
        <w:rPr>
          <w:rFonts w:hint="eastAsia" w:ascii="仿宋_GB2312" w:eastAsia="仿宋_GB2312"/>
          <w:color w:val="auto"/>
          <w:sz w:val="32"/>
          <w:szCs w:val="32"/>
          <w:lang w:eastAsia="zh-CN"/>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25</w:t>
      </w:r>
      <w:r>
        <w:rPr>
          <w:rFonts w:hint="eastAsia" w:ascii="仿宋_GB2312" w:eastAsia="仿宋_GB2312"/>
          <w:color w:val="auto"/>
          <w:sz w:val="32"/>
          <w:szCs w:val="32"/>
        </w:rPr>
        <w:t>日。本次考核期为2024年8月</w:t>
      </w:r>
      <w:r>
        <w:rPr>
          <w:rFonts w:hint="eastAsia" w:ascii="仿宋_GB2312" w:eastAsia="仿宋_GB2312"/>
          <w:color w:val="auto"/>
          <w:sz w:val="32"/>
          <w:szCs w:val="32"/>
          <w:lang w:val="en-US" w:eastAsia="zh-CN"/>
        </w:rPr>
        <w:t>26</w:t>
      </w:r>
      <w:r>
        <w:rPr>
          <w:rFonts w:hint="eastAsia" w:ascii="仿宋_GB2312" w:eastAsia="仿宋_GB2312"/>
          <w:color w:val="auto"/>
          <w:sz w:val="32"/>
          <w:szCs w:val="32"/>
        </w:rPr>
        <w:t>日——2025年</w:t>
      </w:r>
      <w:r>
        <w:rPr>
          <w:rFonts w:hint="eastAsia" w:ascii="仿宋_GB2312" w:eastAsia="仿宋_GB2312"/>
          <w:color w:val="auto"/>
          <w:sz w:val="32"/>
          <w:szCs w:val="32"/>
          <w:lang w:val="en-US" w:eastAsia="zh-CN"/>
        </w:rPr>
        <w:t>7</w:t>
      </w:r>
      <w:r>
        <w:rPr>
          <w:rFonts w:hint="eastAsia" w:ascii="仿宋_GB2312" w:eastAsia="仿宋_GB2312"/>
          <w:color w:val="auto"/>
          <w:sz w:val="32"/>
          <w:szCs w:val="32"/>
        </w:rPr>
        <w:t>月31日，考核</w:t>
      </w:r>
      <w:r>
        <w:rPr>
          <w:rFonts w:hint="eastAsia" w:ascii="仿宋_GB2312" w:eastAsia="仿宋_GB2312"/>
          <w:color w:val="auto"/>
          <w:sz w:val="32"/>
          <w:szCs w:val="32"/>
          <w:lang w:val="en-US" w:eastAsia="zh-CN"/>
        </w:rPr>
        <w:t>11</w:t>
      </w:r>
      <w:r>
        <w:rPr>
          <w:rFonts w:hint="eastAsia" w:ascii="仿宋_GB2312" w:eastAsia="仿宋_GB2312"/>
          <w:color w:val="auto"/>
          <w:sz w:val="32"/>
          <w:szCs w:val="32"/>
        </w:rPr>
        <w:t>个月。</w:t>
      </w:r>
    </w:p>
    <w:p>
      <w:pPr>
        <w:pStyle w:val="13"/>
        <w:pageBreakBefore w:val="0"/>
        <w:widowControl w:val="0"/>
        <w:kinsoku/>
        <w:wordWrap/>
        <w:overflowPunct/>
        <w:topLinePunct w:val="0"/>
        <w:autoSpaceDE/>
        <w:autoSpaceDN/>
        <w:bidi w:val="0"/>
        <w:adjustRightInd/>
        <w:snapToGrid/>
        <w:spacing w:after="0" w:line="560" w:lineRule="exact"/>
        <w:ind w:firstLine="743"/>
        <w:jc w:val="both"/>
        <w:textAlignment w:val="auto"/>
        <w:rPr>
          <w:rFonts w:ascii="仿宋_GB2312" w:eastAsia="仿宋_GB2312"/>
          <w:b/>
          <w:color w:val="auto"/>
          <w:sz w:val="32"/>
          <w:szCs w:val="32"/>
        </w:rPr>
      </w:pPr>
      <w:r>
        <w:rPr>
          <w:rFonts w:hint="eastAsia" w:ascii="仿宋_GB2312" w:eastAsia="仿宋_GB2312"/>
          <w:b/>
          <w:color w:val="auto"/>
          <w:sz w:val="32"/>
          <w:szCs w:val="32"/>
        </w:rPr>
        <w:t>（二）各项目服务进度情况</w:t>
      </w:r>
    </w:p>
    <w:p>
      <w:pPr>
        <w:pStyle w:val="13"/>
        <w:pageBreakBefore w:val="0"/>
        <w:widowControl w:val="0"/>
        <w:tabs>
          <w:tab w:val="left" w:pos="1355"/>
        </w:tabs>
        <w:kinsoku/>
        <w:wordWrap/>
        <w:overflowPunct/>
        <w:topLinePunct w:val="0"/>
        <w:autoSpaceDE/>
        <w:autoSpaceDN/>
        <w:bidi w:val="0"/>
        <w:adjustRightInd/>
        <w:snapToGrid/>
        <w:spacing w:after="0" w:line="560" w:lineRule="exact"/>
        <w:ind w:firstLine="640" w:firstLineChars="200"/>
        <w:jc w:val="both"/>
        <w:textAlignment w:val="auto"/>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社工站共完成家访3151人次，电访8546人次，分别完成协议指标量的100.00%、104.32%；专业个案接案24人，服务节数140节，分别完成指标量100.00%，116.67%。开展小组6个，完成31节，分别完成指标的100.00%、103.33%。完成社区活动100场，服务11241人次，分别完成指标的238.00%和669.00%。发展志愿者91名，志愿者骨干18名，培育老年志愿者队伍2支，分别完成指标量的151.67%、100.00%、100.00%（以上数据由社工站提供）。</w:t>
      </w:r>
    </w:p>
    <w:p>
      <w:pPr>
        <w:pStyle w:val="13"/>
        <w:pageBreakBefore w:val="0"/>
        <w:widowControl w:val="0"/>
        <w:tabs>
          <w:tab w:val="left" w:pos="1355"/>
        </w:tabs>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从以上数据可知，大龙街社工站服务指标完成情况良好，在服务进度方面整体把握到位。</w:t>
      </w:r>
    </w:p>
    <w:p>
      <w:pPr>
        <w:pStyle w:val="13"/>
        <w:pageBreakBefore w:val="0"/>
        <w:widowControl w:val="0"/>
        <w:kinsoku/>
        <w:wordWrap/>
        <w:overflowPunct/>
        <w:topLinePunct w:val="0"/>
        <w:autoSpaceDE/>
        <w:autoSpaceDN/>
        <w:bidi w:val="0"/>
        <w:adjustRightInd/>
        <w:snapToGrid/>
        <w:spacing w:after="80" w:line="560" w:lineRule="exact"/>
        <w:ind w:firstLine="740"/>
        <w:jc w:val="both"/>
        <w:textAlignment w:val="auto"/>
        <w:rPr>
          <w:rFonts w:ascii="仿宋_GB2312" w:eastAsia="仿宋_GB2312"/>
          <w:color w:val="auto"/>
          <w:sz w:val="32"/>
          <w:szCs w:val="32"/>
        </w:rPr>
      </w:pPr>
      <w:r>
        <w:rPr>
          <w:rFonts w:hint="eastAsia" w:ascii="仿宋_GB2312" w:eastAsia="仿宋_GB2312"/>
          <w:b/>
          <w:bCs/>
          <w:color w:val="auto"/>
          <w:sz w:val="32"/>
          <w:szCs w:val="32"/>
          <w:lang w:eastAsia="zh-CN"/>
        </w:rPr>
        <w:t>（三）</w:t>
      </w:r>
      <w:r>
        <w:rPr>
          <w:rFonts w:hint="eastAsia" w:ascii="仿宋_GB2312" w:eastAsia="仿宋_GB2312"/>
          <w:b/>
          <w:bCs/>
          <w:color w:val="auto"/>
          <w:sz w:val="32"/>
          <w:szCs w:val="32"/>
        </w:rPr>
        <w:t>项目运营管理</w:t>
      </w:r>
    </w:p>
    <w:p>
      <w:pPr>
        <w:pStyle w:val="13"/>
        <w:pageBreakBefore w:val="0"/>
        <w:widowControl w:val="0"/>
        <w:kinsoku/>
        <w:wordWrap/>
        <w:overflowPunct/>
        <w:topLinePunct w:val="0"/>
        <w:autoSpaceDE/>
        <w:autoSpaceDN/>
        <w:bidi w:val="0"/>
        <w:adjustRightInd/>
        <w:snapToGrid/>
        <w:spacing w:after="0" w:line="560" w:lineRule="exact"/>
        <w:ind w:firstLine="601"/>
        <w:jc w:val="both"/>
        <w:textAlignment w:val="auto"/>
        <w:rPr>
          <w:rFonts w:ascii="仿宋_GB2312" w:eastAsia="仿宋_GB2312"/>
          <w:color w:val="auto"/>
          <w:sz w:val="32"/>
          <w:szCs w:val="32"/>
        </w:rPr>
      </w:pPr>
      <w:r>
        <w:rPr>
          <w:rFonts w:hint="eastAsia" w:ascii="仿宋_GB2312" w:eastAsia="仿宋_GB2312"/>
          <w:color w:val="auto"/>
          <w:sz w:val="32"/>
          <w:szCs w:val="32"/>
        </w:rPr>
        <w:t>通过与社工站主任、相关行政人员访谈，查阅相关资料等方式了解社工站运营管理情况，汇总成以下几点：</w:t>
      </w:r>
    </w:p>
    <w:p>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pPr>
        <w:pStyle w:val="13"/>
        <w:pageBreakBefore w:val="0"/>
        <w:widowControl w:val="0"/>
        <w:tabs>
          <w:tab w:val="left" w:pos="1355"/>
        </w:tabs>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color w:val="auto"/>
          <w:sz w:val="32"/>
          <w:szCs w:val="32"/>
          <w:lang w:val="en-US" w:eastAsia="zh-CN"/>
        </w:rPr>
      </w:pPr>
      <w:bookmarkStart w:id="30" w:name="bookmark31"/>
      <w:bookmarkEnd w:id="30"/>
      <w:r>
        <w:rPr>
          <w:rFonts w:hint="eastAsia" w:ascii="仿宋_GB2312" w:eastAsia="仿宋_GB2312"/>
          <w:color w:val="auto"/>
          <w:sz w:val="32"/>
          <w:szCs w:val="32"/>
          <w:lang w:val="en-US" w:eastAsia="zh-CN"/>
        </w:rPr>
        <w:t>（1）人员配置方面，社工站协议要求配备社工人数 15人，截至2025年7月，站点社工总人数 15人，其中持证社工 15 人（中级社工师 4人，助理社工师 11人），持证社工比例达 100%。社工应到185 人次，实到 193.5人次；持证社工应到92.5人次，实到170.5人次。</w:t>
      </w:r>
    </w:p>
    <w:p>
      <w:pPr>
        <w:pStyle w:val="13"/>
        <w:pageBreakBefore w:val="0"/>
        <w:widowControl w:val="0"/>
        <w:tabs>
          <w:tab w:val="left" w:pos="1355"/>
        </w:tabs>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（2）在继续教育方面，社工培训要求时数1161小时，实际完成时数1799.5小时，达标率 155%。</w:t>
      </w:r>
    </w:p>
    <w:p>
      <w:pPr>
        <w:pStyle w:val="13"/>
        <w:pageBreakBefore w:val="0"/>
        <w:widowControl w:val="0"/>
        <w:tabs>
          <w:tab w:val="left" w:pos="1355"/>
        </w:tabs>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服务规范和服务对象合法权益保障方面，社工站设有服务质量内控机制及内部定期反思总结工作机制，通过片区会议、中心会议的形式开展服务总结工作。组织社工开展专业伦理价值规范及服务对象合法权益保障相关的培训与考核。</w:t>
      </w:r>
    </w:p>
    <w:p>
      <w:pPr>
        <w:pStyle w:val="13"/>
        <w:pageBreakBefore w:val="0"/>
        <w:widowControl w:val="0"/>
        <w:tabs>
          <w:tab w:val="left" w:pos="1355"/>
        </w:tabs>
        <w:kinsoku/>
        <w:wordWrap/>
        <w:overflowPunct/>
        <w:topLinePunct w:val="0"/>
        <w:autoSpaceDE/>
        <w:autoSpaceDN/>
        <w:bidi w:val="0"/>
        <w:adjustRightInd/>
        <w:snapToGrid/>
        <w:spacing w:after="0" w:line="560" w:lineRule="exact"/>
        <w:ind w:left="0" w:leftChars="0" w:firstLine="642" w:firstLineChars="200"/>
        <w:jc w:val="both"/>
        <w:textAlignment w:val="auto"/>
        <w:rPr>
          <w:rFonts w:hint="eastAsia" w:ascii="仿宋_GB2312" w:eastAsia="仿宋_GB2312"/>
          <w:b/>
          <w:bCs/>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bookmarkStart w:id="31" w:name="bookmark39"/>
      <w:bookmarkEnd w:id="31"/>
      <w:bookmarkStart w:id="32" w:name="bookmark36"/>
      <w:bookmarkEnd w:id="32"/>
      <w:bookmarkStart w:id="33" w:name="bookmark38"/>
      <w:bookmarkEnd w:id="33"/>
      <w:bookmarkStart w:id="34" w:name="bookmark37"/>
      <w:bookmarkEnd w:id="34"/>
    </w:p>
    <w:p>
      <w:pPr>
        <w:pStyle w:val="13"/>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default" w:ascii="仿宋_GB2312" w:eastAsia="仿宋_GB2312"/>
          <w:b w:val="0"/>
          <w:bCs w:val="0"/>
          <w:color w:val="auto"/>
          <w:sz w:val="32"/>
          <w:szCs w:val="32"/>
          <w:lang w:val="en-US" w:eastAsia="zh-CN"/>
        </w:rPr>
      </w:pPr>
      <w:r>
        <w:rPr>
          <w:rFonts w:hint="eastAsia" w:ascii="仿宋_GB2312" w:eastAsia="仿宋_GB2312"/>
          <w:b w:val="0"/>
          <w:bCs w:val="0"/>
          <w:color w:val="auto"/>
          <w:sz w:val="32"/>
          <w:szCs w:val="32"/>
          <w:lang w:eastAsia="zh-CN"/>
        </w:rPr>
        <w:t>（1）</w:t>
      </w:r>
      <w:r>
        <w:rPr>
          <w:rFonts w:hint="eastAsia" w:ascii="仿宋_GB2312" w:eastAsia="仿宋_GB2312"/>
          <w:b w:val="0"/>
          <w:bCs w:val="0"/>
          <w:color w:val="auto"/>
          <w:sz w:val="32"/>
          <w:szCs w:val="32"/>
          <w:lang w:val="en-US" w:eastAsia="zh-CN"/>
        </w:rPr>
        <w:t>本周期持续在岗11人，稳岗率73.33%，未达评估指标稳岗率80%要求，予以关注团队内部建设。</w:t>
      </w:r>
    </w:p>
    <w:p>
      <w:pPr>
        <w:pStyle w:val="13"/>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2</w:t>
      </w:r>
      <w:r>
        <w:rPr>
          <w:rFonts w:hint="eastAsia" w:ascii="仿宋_GB2312" w:eastAsia="仿宋_GB2312"/>
          <w:b w:val="0"/>
          <w:bCs w:val="0"/>
          <w:color w:val="auto"/>
          <w:sz w:val="32"/>
          <w:szCs w:val="32"/>
          <w:lang w:eastAsia="zh-CN"/>
        </w:rPr>
        <w:t>）服务持续改进方面：一是建议搭建多形式的服务反馈渠道。在设置服务对象意见箱、开展服务后满意度调查的基础上，建议考虑有效性意见收集的渠道，如细化与合作伙伴的意见收集内容、通过与服务对象开展座谈的方式征集关于社工站工作及社工服务水平、服务质量的意见。社工站在“权益保障制度及工作指引中”提及“收集服务对象的意见机制”，“服务后回访”的跟进过程建议进一步优化，并做好相关痕迹资料留存，为服务持续改进提供依据。二是从抽查的困难群众和特殊群体档案中，部分需求的呈现不够具体，建议社工围绕新指标体系，加强困难群众和特殊群体的需求把握和评估，让社工服务和服务总结更有针对性。</w:t>
      </w:r>
    </w:p>
    <w:p>
      <w:pPr>
        <w:pStyle w:val="13"/>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3</w:t>
      </w:r>
      <w:r>
        <w:rPr>
          <w:rFonts w:hint="eastAsia" w:ascii="仿宋_GB2312" w:eastAsia="仿宋_GB2312"/>
          <w:b w:val="0"/>
          <w:bCs w:val="0"/>
          <w:color w:val="auto"/>
          <w:sz w:val="32"/>
          <w:szCs w:val="32"/>
          <w:lang w:eastAsia="zh-CN"/>
        </w:rPr>
        <w:t>）服务拓展性优化方面，社工站的定期工作总结与反思工作仍有提升空间，针对定期考核情况不佳的社工，后期继续自我提升的建议和跟进内容有待进一步落实。</w:t>
      </w:r>
    </w:p>
    <w:p>
      <w:pPr>
        <w:pStyle w:val="13"/>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ascii="仿宋_GB2312" w:eastAsia="仿宋_GB2312"/>
          <w:b/>
          <w:bCs/>
          <w:color w:val="auto"/>
          <w:sz w:val="32"/>
          <w:szCs w:val="32"/>
        </w:rPr>
      </w:pPr>
      <w:r>
        <w:rPr>
          <w:rFonts w:hint="eastAsia" w:ascii="仿宋_GB2312" w:eastAsia="仿宋_GB2312"/>
          <w:b/>
          <w:bCs/>
          <w:color w:val="auto"/>
          <w:sz w:val="32"/>
          <w:szCs w:val="32"/>
          <w:lang w:eastAsia="zh-CN"/>
        </w:rPr>
        <w:t>（四）</w:t>
      </w:r>
      <w:r>
        <w:rPr>
          <w:rFonts w:hint="eastAsia" w:ascii="仿宋_GB2312" w:eastAsia="仿宋_GB2312"/>
          <w:b/>
          <w:bCs/>
          <w:color w:val="auto"/>
          <w:sz w:val="32"/>
          <w:szCs w:val="32"/>
        </w:rPr>
        <w:t>服务成效和服务监测情况</w:t>
      </w:r>
    </w:p>
    <w:p>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bookmarkStart w:id="35" w:name="bookmark40"/>
      <w:bookmarkEnd w:id="35"/>
    </w:p>
    <w:p>
      <w:pPr>
        <w:pStyle w:val="13"/>
        <w:pageBreakBefore w:val="0"/>
        <w:widowControl w:val="0"/>
        <w:numPr>
          <w:ilvl w:val="0"/>
          <w:numId w:val="0"/>
        </w:numPr>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1）服务整改积极。社工站结合中期评估建议，及时细化了“红棉守护”热线的服务细则与流程规范，加强了问题分析和层次规划，对不同群体不同村居的具体需求和回应计划及时做了补充和调整，并结合辖区特点对特色项目和慈善项目做了明确定位和主题规划，项目逻辑和服务成效较中期评估时有提升，值得肯定。</w:t>
      </w:r>
    </w:p>
    <w:p>
      <w:pPr>
        <w:pStyle w:val="13"/>
        <w:pageBreakBefore w:val="0"/>
        <w:widowControl w:val="0"/>
        <w:numPr>
          <w:ilvl w:val="0"/>
          <w:numId w:val="0"/>
        </w:numPr>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2）服务覆盖全面，帮扶困难精准，宣传报道有力。社工站以“全覆盖”为核心，着力推进17类、1047人、957户困难群众和特殊群体的全员覆盖工作，结合三大片区的各自特点精准识别帮扶需求、匹配资源、深化服务，并全力撰写典型案例，加大区、市、省、国家级等各大媒体的正面报道，多元参与、社会美誉度和研究成果较过往有进步，值得肯定。</w:t>
      </w:r>
    </w:p>
    <w:p>
      <w:pPr>
        <w:pStyle w:val="13"/>
        <w:pageBreakBefore w:val="0"/>
        <w:widowControl w:val="0"/>
        <w:numPr>
          <w:ilvl w:val="0"/>
          <w:numId w:val="0"/>
        </w:numPr>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3）特色亮点打造有力。社工站结合兜底对象基数大、残疾困境儿童多等辖区实际，积极推进“天使暖心包”和困境儿童社区融入的“青苗计划”，“分类定制”生活、助学、安康、舒心的服务契合困难群众和特殊群体的实际需求，“敲门”“融合”“赋能”和“角色重构”的方法发挥了社工的专业所长，项目特色和亮点得到了初步挖掘和打造，值得肯定。</w:t>
      </w:r>
    </w:p>
    <w:p>
      <w:pPr>
        <w:pStyle w:val="13"/>
        <w:pageBreakBefore w:val="0"/>
        <w:widowControl w:val="0"/>
        <w:numPr>
          <w:ilvl w:val="0"/>
          <w:numId w:val="0"/>
        </w:numPr>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4）慈善服务项目兼顾创新性和可持续发展。社工站通过“文化焕活”和“公益赋能”双路径积极创新传统文化传承模式，积极培育公益型社区组织，积极搭建邻里公益互动平台，激活了文化的公益新功能，凝聚了社区互助的新合力，通过“文化有传承、社区有温度、资源有循环”初步构建了“公益联盟+社区基金”的长效发展新格局。本周期社工站已自主链接有652885元社会公益资源，已协助大龙街社区基金筹集有880013元。</w:t>
      </w:r>
    </w:p>
    <w:p>
      <w:pPr>
        <w:pStyle w:val="13"/>
        <w:pageBreakBefore w:val="0"/>
        <w:widowControl w:val="0"/>
        <w:numPr>
          <w:ilvl w:val="0"/>
          <w:numId w:val="0"/>
        </w:numPr>
        <w:kinsoku/>
        <w:wordWrap/>
        <w:overflowPunct/>
        <w:topLinePunct w:val="0"/>
        <w:autoSpaceDE/>
        <w:autoSpaceDN/>
        <w:bidi w:val="0"/>
        <w:adjustRightInd/>
        <w:snapToGrid/>
        <w:spacing w:after="80" w:line="560" w:lineRule="exact"/>
        <w:ind w:firstLine="640" w:firstLineChars="200"/>
        <w:jc w:val="both"/>
        <w:textAlignment w:val="auto"/>
        <w:rPr>
          <w:rFonts w:hint="default"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5）本周期社工站培育了2支老年志愿者队伍，联动了8个社区社会组织、社会组织，6支志愿者队伍持续开展困难群众和特殊群体服务，在服务满意度方面，通过入户探访、问卷调查等方式，共有110人接受调查，满意度95%以上，综合满意度较高。</w:t>
      </w:r>
    </w:p>
    <w:p>
      <w:pPr>
        <w:pStyle w:val="13"/>
        <w:pageBreakBefore w:val="0"/>
        <w:widowControl w:val="0"/>
        <w:numPr>
          <w:ilvl w:val="0"/>
          <w:numId w:val="0"/>
        </w:numPr>
        <w:kinsoku/>
        <w:wordWrap/>
        <w:overflowPunct/>
        <w:topLinePunct w:val="0"/>
        <w:autoSpaceDE/>
        <w:autoSpaceDN/>
        <w:bidi w:val="0"/>
        <w:adjustRightInd/>
        <w:snapToGrid/>
        <w:spacing w:after="80" w:line="560" w:lineRule="exact"/>
        <w:ind w:firstLine="642" w:firstLineChars="2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2.需要关注的地方</w:t>
      </w:r>
    </w:p>
    <w:p>
      <w:pPr>
        <w:pStyle w:val="13"/>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经评委评估分析访谈情况和查阅项目调研、服务方案等各类服务工作痕迹记录资料，项目执行和成效总体情况有以下方面需关注：</w:t>
      </w:r>
      <w:bookmarkStart w:id="36" w:name="bookmark45"/>
      <w:bookmarkEnd w:id="36"/>
      <w:bookmarkStart w:id="37" w:name="bookmark43"/>
      <w:bookmarkEnd w:id="37"/>
      <w:bookmarkStart w:id="38" w:name="bookmark44"/>
      <w:bookmarkEnd w:id="38"/>
    </w:p>
    <w:p>
      <w:pPr>
        <w:pStyle w:val="13"/>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1）党建与服务“同步关联、相互促进”仍需关注。建议社工站与党组织推进“红联共建”的同时，加强对党和组织的红色资源、红色力量的挖掘，并着力加大社工服务在对象、内容、资源和过程中与这些党建元素的全面结合、互促共进，以加大党建服务的品牌探索和工作覆盖。</w:t>
      </w:r>
    </w:p>
    <w:p>
      <w:pPr>
        <w:pStyle w:val="13"/>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2）社工专业价值观、方法和策略在五社联动中、在服务实践中的运用仍有待进一步加强。建议社工站在重视社工专业成长和全面发展培养的同时，进一步扩大培训中所提升的专业技能、专业方法在服务跟进中的结合运用，进一步彰显规范管理中所强调的专业价值观、理念策略在服务设计、项目规划、应急处置、深入完善中的运用与融合。</w:t>
      </w:r>
    </w:p>
    <w:p>
      <w:pPr>
        <w:pStyle w:val="13"/>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社区培育方面</w:t>
      </w:r>
      <w:r>
        <w:rPr>
          <w:rFonts w:hint="eastAsia" w:ascii="仿宋_GB2312" w:eastAsia="仿宋_GB2312"/>
          <w:color w:val="auto"/>
          <w:sz w:val="32"/>
          <w:szCs w:val="32"/>
          <w:lang w:eastAsia="zh-CN"/>
        </w:rPr>
        <w:t>需聚焦在困难群众和特殊群体的需求上开展。</w:t>
      </w:r>
    </w:p>
    <w:p>
      <w:pPr>
        <w:pStyle w:val="13"/>
        <w:pageBreakBefore w:val="0"/>
        <w:widowControl w:val="0"/>
        <w:kinsoku/>
        <w:wordWrap/>
        <w:overflowPunct/>
        <w:topLinePunct w:val="0"/>
        <w:autoSpaceDE/>
        <w:autoSpaceDN/>
        <w:bidi w:val="0"/>
        <w:adjustRightInd/>
        <w:snapToGrid/>
        <w:spacing w:line="560" w:lineRule="exact"/>
        <w:ind w:firstLine="642" w:firstLineChars="200"/>
        <w:jc w:val="both"/>
        <w:textAlignment w:val="auto"/>
        <w:rPr>
          <w:rFonts w:hint="eastAsia" w:ascii="仿宋_GB2312" w:eastAsia="仿宋_GB2312"/>
          <w:b/>
          <w:bCs/>
          <w:color w:val="auto"/>
          <w:sz w:val="32"/>
          <w:szCs w:val="32"/>
        </w:rPr>
      </w:pPr>
      <w:r>
        <w:rPr>
          <w:rFonts w:hint="eastAsia" w:ascii="仿宋_GB2312" w:eastAsia="仿宋_GB2312"/>
          <w:b/>
          <w:bCs/>
          <w:color w:val="auto"/>
          <w:sz w:val="32"/>
          <w:szCs w:val="32"/>
          <w:lang w:eastAsia="zh-CN"/>
        </w:rPr>
        <w:t>（五）</w:t>
      </w:r>
      <w:r>
        <w:rPr>
          <w:rFonts w:hint="eastAsia" w:ascii="仿宋_GB2312" w:eastAsia="仿宋_GB2312"/>
          <w:b/>
          <w:bCs/>
          <w:color w:val="auto"/>
          <w:sz w:val="32"/>
          <w:szCs w:val="32"/>
        </w:rPr>
        <w:t>服务质量情况</w:t>
      </w:r>
    </w:p>
    <w:p>
      <w:pPr>
        <w:pStyle w:val="13"/>
        <w:pageBreakBefore w:val="0"/>
        <w:widowControl w:val="0"/>
        <w:kinsoku/>
        <w:wordWrap/>
        <w:overflowPunct/>
        <w:topLinePunct w:val="0"/>
        <w:autoSpaceDE/>
        <w:autoSpaceDN/>
        <w:bidi w:val="0"/>
        <w:adjustRightInd/>
        <w:snapToGrid/>
        <w:spacing w:line="560" w:lineRule="exact"/>
        <w:ind w:firstLine="642" w:firstLineChars="200"/>
        <w:jc w:val="both"/>
        <w:textAlignment w:val="auto"/>
        <w:rPr>
          <w:rFonts w:hint="eastAsia" w:ascii="仿宋_GB2312" w:eastAsia="仿宋_GB2312"/>
          <w:b/>
          <w:bCs/>
          <w:color w:val="auto"/>
          <w:sz w:val="32"/>
          <w:szCs w:val="32"/>
          <w:lang w:val="en-US" w:eastAsia="zh-CN"/>
        </w:rPr>
      </w:pPr>
      <w:r>
        <w:rPr>
          <w:rFonts w:hint="eastAsia" w:ascii="仿宋_GB2312" w:eastAsia="仿宋_GB2312"/>
          <w:b/>
          <w:bCs/>
          <w:color w:val="auto"/>
          <w:sz w:val="32"/>
          <w:szCs w:val="32"/>
          <w:lang w:val="en-US" w:eastAsia="zh-CN"/>
        </w:rPr>
        <w:t>第一片区：富怡社区、竹山村、罗家村、美心村、石岗东村、石岗西村、东怡社区</w:t>
      </w:r>
    </w:p>
    <w:p>
      <w:pPr>
        <w:pStyle w:val="13"/>
        <w:pageBreakBefore w:val="0"/>
        <w:widowControl w:val="0"/>
        <w:kinsoku/>
        <w:wordWrap/>
        <w:overflowPunct/>
        <w:topLinePunct w:val="0"/>
        <w:autoSpaceDE/>
        <w:autoSpaceDN/>
        <w:bidi w:val="0"/>
        <w:adjustRightInd/>
        <w:snapToGrid/>
        <w:spacing w:after="80" w:line="560" w:lineRule="exact"/>
        <w:ind w:firstLine="6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1.值得肯定的地方</w:t>
      </w:r>
    </w:p>
    <w:p>
      <w:pPr>
        <w:pStyle w:val="13"/>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p>
    <w:p>
      <w:pPr>
        <w:pStyle w:val="13"/>
        <w:pageBreakBefore w:val="0"/>
        <w:widowControl w:val="0"/>
        <w:numPr>
          <w:ilvl w:val="0"/>
          <w:numId w:val="0"/>
        </w:numPr>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color w:val="auto"/>
          <w:sz w:val="32"/>
          <w:szCs w:val="32"/>
          <w:lang w:eastAsia="zh-CN"/>
        </w:rPr>
      </w:pPr>
      <w:bookmarkStart w:id="39" w:name="bookmark47"/>
      <w:bookmarkEnd w:id="39"/>
      <w:bookmarkStart w:id="40" w:name="bookmark46"/>
      <w:bookmarkEnd w:id="40"/>
      <w:bookmarkStart w:id="41" w:name="bookmark48"/>
      <w:bookmarkEnd w:id="41"/>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）指标完成情况良好。片区一在本年度为</w:t>
      </w:r>
      <w:r>
        <w:rPr>
          <w:rFonts w:hint="eastAsia" w:ascii="仿宋_GB2312" w:eastAsia="仿宋_GB2312"/>
          <w:bCs/>
          <w:color w:val="auto"/>
          <w:sz w:val="32"/>
          <w:szCs w:val="32"/>
          <w:lang w:val="en-US" w:eastAsia="zh-CN"/>
        </w:rPr>
        <w:t>困难群众和特殊群体</w:t>
      </w:r>
      <w:r>
        <w:rPr>
          <w:rFonts w:hint="eastAsia" w:ascii="仿宋_GB2312" w:eastAsia="仿宋_GB2312"/>
          <w:color w:val="auto"/>
          <w:sz w:val="32"/>
          <w:szCs w:val="32"/>
          <w:lang w:eastAsia="zh-CN"/>
        </w:rPr>
        <w:t xml:space="preserve"> 294户313人建档实现“一户一档”全覆盖，开展电访、微信问候等形式跟进服务1928人次，实地探访943人次。在7个村居开展42场政策宣传活动，推动政策落实11人次。针对性服务困境群体个案9个、残疾人增能与居家安全志愿者培育小组2个、社区活动36场，培育青年志愿者队伍4支、老年志愿者队伍1支、社区社会组织1个，各项指标均达到或超出原定计划要求，完成情况良好，服务计划有序落实。</w:t>
      </w:r>
    </w:p>
    <w:p>
      <w:pPr>
        <w:pStyle w:val="13"/>
        <w:pageBreakBefore w:val="0"/>
        <w:widowControl w:val="0"/>
        <w:numPr>
          <w:ilvl w:val="0"/>
          <w:numId w:val="0"/>
        </w:numPr>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广泛整合社会资源，对困难群众和特殊群体关注度高。整合社会资源234次，联动政府部门、爱心企业等资源主体30个，链接物资与资金折合37万余元，联动资源优化公共空间解决配套不足问题，以微心愿、个案服务与慈善资源链接等形式满足个性化需求；摸查</w:t>
      </w:r>
      <w:r>
        <w:rPr>
          <w:rFonts w:hint="eastAsia" w:ascii="仿宋_GB2312" w:eastAsia="仿宋_GB2312"/>
          <w:bCs/>
          <w:color w:val="auto"/>
          <w:sz w:val="32"/>
          <w:szCs w:val="32"/>
          <w:lang w:val="en-US" w:eastAsia="zh-CN"/>
        </w:rPr>
        <w:t>困难群众和特殊群体</w:t>
      </w:r>
      <w:r>
        <w:rPr>
          <w:rFonts w:hint="eastAsia" w:ascii="仿宋_GB2312" w:eastAsia="仿宋_GB2312"/>
          <w:color w:val="auto"/>
          <w:sz w:val="32"/>
          <w:szCs w:val="32"/>
          <w:lang w:eastAsia="zh-CN"/>
        </w:rPr>
        <w:t>居家安全隐患11处，以多元协同形式推动各方参与完成2间危房重建，解决住房危局赋能家庭成员，显著提升居住安全性与关系和谐度；协助11人次申请政策福利提升政策落实率。对</w:t>
      </w:r>
      <w:r>
        <w:rPr>
          <w:rFonts w:hint="eastAsia" w:ascii="仿宋_GB2312" w:eastAsia="仿宋_GB2312"/>
          <w:bCs/>
          <w:color w:val="auto"/>
          <w:sz w:val="32"/>
          <w:szCs w:val="32"/>
          <w:lang w:val="en-US" w:eastAsia="zh-CN"/>
        </w:rPr>
        <w:t>困难群众和特殊群体</w:t>
      </w:r>
      <w:r>
        <w:rPr>
          <w:rFonts w:hint="eastAsia" w:ascii="仿宋_GB2312" w:eastAsia="仿宋_GB2312"/>
          <w:color w:val="auto"/>
          <w:sz w:val="32"/>
          <w:szCs w:val="32"/>
          <w:lang w:eastAsia="zh-CN"/>
        </w:rPr>
        <w:t>群体服务具有较强的资源整合能力，服务资源得以均衡分配与有效利用。</w:t>
      </w:r>
    </w:p>
    <w:p>
      <w:pPr>
        <w:pStyle w:val="13"/>
        <w:pageBreakBefore w:val="0"/>
        <w:widowControl w:val="0"/>
        <w:numPr>
          <w:ilvl w:val="0"/>
          <w:numId w:val="0"/>
        </w:numPr>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）专业服务规范及跟进机制完善，执行情况良好。在专业服务指引与跟踪回访机制方面制度规范完整，并按照要求认真执行，以电访回访形式跟进巩固服务成效，回访记录完整，服务执行良好。</w:t>
      </w:r>
    </w:p>
    <w:p>
      <w:pPr>
        <w:pStyle w:val="13"/>
        <w:pageBreakBefore w:val="0"/>
        <w:widowControl w:val="0"/>
        <w:numPr>
          <w:ilvl w:val="0"/>
          <w:numId w:val="0"/>
        </w:numPr>
        <w:kinsoku/>
        <w:wordWrap/>
        <w:overflowPunct/>
        <w:topLinePunct w:val="0"/>
        <w:autoSpaceDE/>
        <w:autoSpaceDN/>
        <w:bidi w:val="0"/>
        <w:adjustRightInd/>
        <w:snapToGrid/>
        <w:spacing w:after="80" w:line="560" w:lineRule="exact"/>
        <w:ind w:firstLine="642" w:firstLineChars="2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2.需要关注的地方</w:t>
      </w:r>
    </w:p>
    <w:p>
      <w:pPr>
        <w:pStyle w:val="13"/>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经评委评估分析访谈情况和查阅项目调研、服务方案等各类服务工作痕迹记录资料，项目执行和成效总体情况有以下几方面需关注：</w:t>
      </w:r>
    </w:p>
    <w:p>
      <w:pPr>
        <w:pStyle w:val="13"/>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1</w:t>
      </w:r>
      <w:r>
        <w:rPr>
          <w:rFonts w:hint="eastAsia" w:ascii="仿宋_GB2312" w:eastAsia="仿宋_GB2312"/>
          <w:b w:val="0"/>
          <w:bCs w:val="0"/>
          <w:color w:val="auto"/>
          <w:sz w:val="32"/>
          <w:szCs w:val="32"/>
          <w:lang w:eastAsia="zh-CN"/>
        </w:rPr>
        <w:t>）建议在服务中进一步提升计划逻辑性与服务联动性。服务计划从年度到具体活动均需厘清内在逻辑，针对现状及可用资源进行合理设计，明确服务目标与各项活动的内在关联性，并充分发掘利用在地资源解决问题提高服务成效，以更好地回应需求；在服务实施中持续提高专业敏感度与服务联动性，可与各相关组织合作提升服务内容针对性，提质扩面提升介入措施有效性。</w:t>
      </w:r>
    </w:p>
    <w:p>
      <w:pPr>
        <w:pStyle w:val="13"/>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2</w:t>
      </w:r>
      <w:r>
        <w:rPr>
          <w:rFonts w:hint="eastAsia" w:ascii="仿宋_GB2312" w:eastAsia="仿宋_GB2312"/>
          <w:b w:val="0"/>
          <w:bCs w:val="0"/>
          <w:color w:val="auto"/>
          <w:sz w:val="32"/>
          <w:szCs w:val="32"/>
          <w:lang w:eastAsia="zh-CN"/>
        </w:rPr>
        <w:t>）建议在服务实施中进一步提高资料准确度与可用性。如社区三图绘制在片区或站层面实现统一规范，资产进行适当归类与信息补充完善，社区问题地图所呈现情况在具体服务设计和跟进方面予以加强，发现问题并予以适当跟进解决，以提升服务持续性和基础资料实用性；建档更新工作适当加大频率，动态更新需及时有效，信息内容保持准确一致。</w:t>
      </w:r>
    </w:p>
    <w:p>
      <w:pPr>
        <w:pStyle w:val="13"/>
        <w:pageBreakBefore w:val="0"/>
        <w:widowControl w:val="0"/>
        <w:numPr>
          <w:ilvl w:val="0"/>
          <w:numId w:val="0"/>
        </w:numPr>
        <w:kinsoku/>
        <w:wordWrap/>
        <w:overflowPunct/>
        <w:topLinePunct w:val="0"/>
        <w:autoSpaceDE/>
        <w:autoSpaceDN/>
        <w:bidi w:val="0"/>
        <w:adjustRightInd/>
        <w:snapToGrid/>
        <w:spacing w:after="0" w:line="560" w:lineRule="exact"/>
        <w:ind w:leftChars="200"/>
        <w:jc w:val="both"/>
        <w:textAlignment w:val="auto"/>
        <w:rPr>
          <w:rFonts w:hint="eastAsia" w:ascii="仿宋_GB2312" w:eastAsia="仿宋_GB2312"/>
          <w:b/>
          <w:bCs/>
          <w:color w:val="auto"/>
          <w:sz w:val="32"/>
          <w:szCs w:val="32"/>
          <w:lang w:eastAsia="zh-CN"/>
        </w:rPr>
      </w:pPr>
      <w:r>
        <w:rPr>
          <w:rFonts w:hint="eastAsia" w:ascii="仿宋_GB2312" w:eastAsia="仿宋_GB2312"/>
          <w:b/>
          <w:bCs/>
          <w:color w:val="auto"/>
          <w:sz w:val="32"/>
          <w:szCs w:val="32"/>
          <w:highlight w:val="none"/>
          <w:lang w:eastAsia="zh-CN"/>
        </w:rPr>
        <w:t>第二片区</w:t>
      </w:r>
      <w:r>
        <w:rPr>
          <w:rFonts w:hint="eastAsia" w:ascii="仿宋_GB2312" w:eastAsia="仿宋_GB2312"/>
          <w:b/>
          <w:bCs/>
          <w:color w:val="auto"/>
          <w:sz w:val="32"/>
          <w:szCs w:val="32"/>
          <w:lang w:eastAsia="zh-CN"/>
        </w:rPr>
        <w:t>：大龙村、金龙社区、沙涌村、城市花园社区、金海岸社区</w:t>
      </w:r>
    </w:p>
    <w:p>
      <w:pPr>
        <w:pStyle w:val="13"/>
        <w:pageBreakBefore w:val="0"/>
        <w:widowControl w:val="0"/>
        <w:numPr>
          <w:ilvl w:val="0"/>
          <w:numId w:val="4"/>
        </w:numPr>
        <w:tabs>
          <w:tab w:val="left" w:pos="972"/>
        </w:tabs>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bookmarkStart w:id="42" w:name="bookmark57"/>
      <w:bookmarkEnd w:id="42"/>
      <w:r>
        <w:rPr>
          <w:rFonts w:hint="eastAsia" w:ascii="仿宋_GB2312" w:eastAsia="仿宋_GB2312"/>
          <w:b/>
          <w:bCs/>
          <w:color w:val="auto"/>
          <w:sz w:val="32"/>
          <w:szCs w:val="32"/>
        </w:rPr>
        <w:t>值得肯定的地方</w:t>
      </w:r>
    </w:p>
    <w:p>
      <w:pPr>
        <w:pStyle w:val="13"/>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w:t>
      </w:r>
      <w:r>
        <w:rPr>
          <w:rFonts w:hint="eastAsia" w:ascii="仿宋_GB2312" w:eastAsia="仿宋_GB2312"/>
          <w:color w:val="auto"/>
          <w:sz w:val="32"/>
          <w:szCs w:val="32"/>
          <w:lang w:eastAsia="zh-CN"/>
        </w:rPr>
        <w:t>服务方案</w:t>
      </w:r>
      <w:r>
        <w:rPr>
          <w:rFonts w:hint="eastAsia" w:ascii="仿宋_GB2312" w:eastAsia="仿宋_GB2312"/>
          <w:color w:val="auto"/>
          <w:sz w:val="32"/>
          <w:szCs w:val="32"/>
        </w:rPr>
        <w:t>等各类服务工作痕迹记录资料，该项目以下几方面值得肯定：</w:t>
      </w:r>
      <w:bookmarkStart w:id="43" w:name="bookmark58"/>
      <w:bookmarkEnd w:id="43"/>
      <w:bookmarkStart w:id="44" w:name="bookmark59"/>
      <w:bookmarkEnd w:id="44"/>
    </w:p>
    <w:p>
      <w:pPr>
        <w:pStyle w:val="13"/>
        <w:pageBreakBefore w:val="0"/>
        <w:widowControl w:val="0"/>
        <w:tabs>
          <w:tab w:val="left" w:pos="986"/>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eastAsia="zh-CN"/>
        </w:rPr>
      </w:pPr>
      <w:bookmarkStart w:id="45" w:name="bookmark60"/>
      <w:bookmarkEnd w:id="45"/>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）第二片区的社工团队能依照服务要求，绘制了《社区资产地图》《社区问题地图》 和《服务对象社区分布地图》，团队对于社区情况、服务对象分布等信息掌握较好。社工团队对辖区284户318人的困难群众和特殊群体实现了100%的建档覆盖，并按照分级和跟进频率要求对困难群众和特殊群体进行持续的服务跟进。</w:t>
      </w:r>
    </w:p>
    <w:p>
      <w:pPr>
        <w:pStyle w:val="13"/>
        <w:pageBreakBefore w:val="0"/>
        <w:widowControl w:val="0"/>
        <w:tabs>
          <w:tab w:val="left" w:pos="986"/>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第二片区的社工团队在片区服务的开展中，能积极链接和整合社区内外服务资源，助力服务。本年度团队通过多方资源链接，点亮微心愿29个；通过申请社区基金为孤寡长者进行消防安全改造以及协同村居委、番禺区民心家庭教育服务中心等多个部门、单位联动工作，链接资源折合人民币合计24余万元。</w:t>
      </w:r>
    </w:p>
    <w:p>
      <w:pPr>
        <w:pStyle w:val="13"/>
        <w:pageBreakBefore w:val="0"/>
        <w:widowControl w:val="0"/>
        <w:tabs>
          <w:tab w:val="left" w:pos="986"/>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第二片区的社工团队本地扎根性较好，具有一定的服务素质，有针对性地为一些重点服务对象提供适切性服务。例如本年度所构建的“儿童互动+志愿者陪伴+家长支持”三维体系服务框架，通过家长带动、志愿者协同成长、儿童逐步适应融合的良性循环，有助于保障困境儿童服务效果的持续。</w:t>
      </w:r>
    </w:p>
    <w:p>
      <w:pPr>
        <w:pStyle w:val="13"/>
        <w:pageBreakBefore w:val="0"/>
        <w:widowControl w:val="0"/>
        <w:tabs>
          <w:tab w:val="left" w:pos="986"/>
        </w:tabs>
        <w:kinsoku/>
        <w:wordWrap/>
        <w:overflowPunct/>
        <w:topLinePunct w:val="0"/>
        <w:autoSpaceDE/>
        <w:autoSpaceDN/>
        <w:bidi w:val="0"/>
        <w:adjustRightInd/>
        <w:snapToGrid/>
        <w:spacing w:after="0" w:line="560" w:lineRule="exact"/>
        <w:ind w:firstLine="642" w:firstLineChars="200"/>
        <w:jc w:val="both"/>
        <w:textAlignment w:val="auto"/>
        <w:rPr>
          <w:rFonts w:ascii="仿宋_GB2312" w:eastAsia="仿宋_GB2312"/>
          <w:color w:val="auto"/>
          <w:sz w:val="32"/>
          <w:szCs w:val="32"/>
        </w:rPr>
      </w:pPr>
      <w:r>
        <w:rPr>
          <w:rFonts w:hint="eastAsia" w:ascii="仿宋_GB2312" w:eastAsia="仿宋_GB2312"/>
          <w:b/>
          <w:bCs/>
          <w:color w:val="auto"/>
          <w:sz w:val="32"/>
          <w:szCs w:val="32"/>
          <w:lang w:val="en-US" w:eastAsia="zh-CN"/>
        </w:rPr>
        <w:t>2.</w:t>
      </w:r>
      <w:r>
        <w:rPr>
          <w:rFonts w:hint="eastAsia" w:ascii="仿宋_GB2312" w:eastAsia="仿宋_GB2312"/>
          <w:b/>
          <w:bCs/>
          <w:color w:val="auto"/>
          <w:sz w:val="32"/>
          <w:szCs w:val="32"/>
        </w:rPr>
        <w:t>需要关注的地方</w:t>
      </w:r>
    </w:p>
    <w:p>
      <w:pPr>
        <w:pStyle w:val="13"/>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w:t>
      </w:r>
      <w:r>
        <w:rPr>
          <w:rFonts w:hint="eastAsia" w:ascii="仿宋_GB2312" w:eastAsia="仿宋_GB2312"/>
          <w:color w:val="auto"/>
          <w:sz w:val="32"/>
          <w:szCs w:val="32"/>
          <w:lang w:eastAsia="zh-CN"/>
        </w:rPr>
        <w:t>服务方案</w:t>
      </w:r>
      <w:r>
        <w:rPr>
          <w:rFonts w:hint="eastAsia" w:ascii="仿宋_GB2312" w:eastAsia="仿宋_GB2312"/>
          <w:color w:val="auto"/>
          <w:sz w:val="32"/>
          <w:szCs w:val="32"/>
        </w:rPr>
        <w:t>等各类服务工作痕迹记录资料，该项目以下方面需关注：</w:t>
      </w:r>
    </w:p>
    <w:p>
      <w:pPr>
        <w:pStyle w:val="13"/>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eastAsia="zh-CN"/>
        </w:rPr>
      </w:pPr>
      <w:bookmarkStart w:id="46" w:name="bookmark61"/>
      <w:bookmarkEnd w:id="46"/>
      <w:bookmarkStart w:id="47" w:name="bookmark62"/>
      <w:bookmarkEnd w:id="47"/>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建议第二片区的社工团队通过对于目前的问卷调研、焦点小组座谈的完善，并辅以一些深入的个别访谈等，以加强对于片区17类困难群众和特殊群体需求问题的紧迫性、突出性及风险性的深入感知及把握，如困难群众和特殊群体家庭内部支持的薄弱、紧急支持网络的打造等，以确保片区困难群众和特殊群体服务的精准有效。</w:t>
      </w:r>
    </w:p>
    <w:p>
      <w:pPr>
        <w:pStyle w:val="13"/>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建议进一步明晰兜底性民生服务、基础性民生服务和普惠性民生服务之间的区别及联系，从而加强第二片区服务版块之间的联动整合。同时，在拟定年度服务规划的过程中，可区分好服务目标之间以及服务目标与服务内容的不同。并建议结合服务目标，更合理、有效地安排服务指标在小组和社区活动中的分配。</w:t>
      </w:r>
    </w:p>
    <w:p>
      <w:pPr>
        <w:pStyle w:val="13"/>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在17类困难群众和特殊群体的分级跟进的建档工作上，可加强一人一案问题评估的详尽性，除了客观打分外，可适当增加文字性的情况说明。同时，可加强专业技能在服务中运用，例如个案介入的深入、小组目标的适切性、社区活动对于兜底对象的覆盖程度等。最后，在典型、疑难案例的总结归纳及撰写中，可加强服务过程中的干预模式提炼，聚焦服务策略，凸显疑难案例的示范性及探索性价值。</w:t>
      </w:r>
    </w:p>
    <w:p>
      <w:pPr>
        <w:pStyle w:val="13"/>
        <w:pageBreakBefore w:val="0"/>
        <w:widowControl w:val="0"/>
        <w:numPr>
          <w:ilvl w:val="0"/>
          <w:numId w:val="0"/>
        </w:numPr>
        <w:kinsoku/>
        <w:wordWrap/>
        <w:overflowPunct/>
        <w:topLinePunct w:val="0"/>
        <w:autoSpaceDE/>
        <w:autoSpaceDN/>
        <w:bidi w:val="0"/>
        <w:adjustRightInd/>
        <w:snapToGrid/>
        <w:spacing w:after="0" w:line="560" w:lineRule="exact"/>
        <w:ind w:firstLine="642" w:firstLineChars="200"/>
        <w:jc w:val="both"/>
        <w:textAlignment w:val="auto"/>
        <w:rPr>
          <w:rFonts w:hint="eastAsia" w:ascii="仿宋_GB2312" w:eastAsia="仿宋_GB2312"/>
          <w:b/>
          <w:bCs/>
          <w:color w:val="auto"/>
          <w:sz w:val="32"/>
          <w:szCs w:val="32"/>
          <w:lang w:val="en-US" w:eastAsia="zh-CN"/>
        </w:rPr>
      </w:pPr>
      <w:r>
        <w:rPr>
          <w:rFonts w:hint="eastAsia" w:ascii="仿宋_GB2312" w:eastAsia="仿宋_GB2312"/>
          <w:b/>
          <w:bCs/>
          <w:color w:val="auto"/>
          <w:sz w:val="32"/>
          <w:szCs w:val="32"/>
          <w:lang w:eastAsia="zh-CN"/>
        </w:rPr>
        <w:t>第三片区：傍江东村、傍江西村、新桥村、新水坑村、旧水坑村、茶东村</w:t>
      </w:r>
    </w:p>
    <w:p>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w:t>
      </w:r>
      <w:r>
        <w:rPr>
          <w:rFonts w:hint="eastAsia" w:ascii="仿宋_GB2312" w:eastAsia="仿宋_GB2312"/>
          <w:color w:val="auto"/>
          <w:sz w:val="32"/>
          <w:szCs w:val="32"/>
          <w:lang w:eastAsia="zh-CN"/>
        </w:rPr>
        <w:t>服务方案</w:t>
      </w:r>
      <w:r>
        <w:rPr>
          <w:rFonts w:hint="eastAsia" w:ascii="仿宋_GB2312" w:eastAsia="仿宋_GB2312"/>
          <w:color w:val="auto"/>
          <w:sz w:val="32"/>
          <w:szCs w:val="32"/>
        </w:rPr>
        <w:t>等各类服务工作痕迹记录资料，该项目以下几方面值得肯定：</w:t>
      </w:r>
    </w:p>
    <w:p>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color w:val="auto"/>
          <w:sz w:val="32"/>
          <w:szCs w:val="32"/>
          <w:lang w:eastAsia="zh-CN"/>
        </w:rPr>
      </w:pPr>
      <w:bookmarkStart w:id="48" w:name="bookmark66"/>
      <w:bookmarkEnd w:id="48"/>
      <w:bookmarkStart w:id="49" w:name="bookmark64"/>
      <w:bookmarkEnd w:id="49"/>
      <w:bookmarkStart w:id="50" w:name="bookmark65"/>
      <w:bookmarkEnd w:id="50"/>
      <w:bookmarkStart w:id="51" w:name="bookmark63"/>
      <w:bookmarkEnd w:id="51"/>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）第三片区共建档379户，416人，建档率100%，做到“一户一档、一人一案”，落实分级管理要求，进行电访或探访服务。</w:t>
      </w:r>
    </w:p>
    <w:p>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第三片区依据建立的个案、小组、社区服务等规范开展了专业服务，服务过程能够依据工作流程指引，专业服务内容记录清晰，督导意见具有针对性，可操作性。服务中建立跟踪回访机制，专业服务结束后能够做到回访跟踪。</w:t>
      </w:r>
    </w:p>
    <w:p>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第三片区在服务需求摸查方面，通过焦点小组、访谈、问卷、既往服务数据分析等了解服务对象、相关合作方的需求及社区问题，绘制社区问题地图、资产地图、服务对象分布地图，并建立《服务对象家庭信息汇总表》呈现的服务台账数据清晰。</w:t>
      </w:r>
    </w:p>
    <w:p>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4</w:t>
      </w:r>
      <w:r>
        <w:rPr>
          <w:rFonts w:hint="eastAsia" w:ascii="仿宋_GB2312" w:eastAsia="仿宋_GB2312"/>
          <w:color w:val="auto"/>
          <w:sz w:val="32"/>
          <w:szCs w:val="32"/>
          <w:lang w:eastAsia="zh-CN"/>
        </w:rPr>
        <w:t>）在服务执行与产出方法，第三片区开展专业个案8个、小组2个、社区活动29场、培育志愿者队伍1支，兜底民生政策宣传36场，解决服务对象的重点需求和疑难问题3例，微心愿39个，产出服务案例5篇，成效较显著。抽查专业服务档案看到社工能够运用专业方法、技巧开展资源链接、政策支持、情绪支持、志愿者培育、社区支持网络建设等服务，取得较好的成效。服务中建立跟踪回访机制，专业服务结束后基本能够做到回访跟踪。</w:t>
      </w:r>
    </w:p>
    <w:p>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p>
    <w:p>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w:t>
      </w:r>
      <w:r>
        <w:rPr>
          <w:rFonts w:hint="eastAsia" w:ascii="仿宋_GB2312" w:eastAsia="仿宋_GB2312"/>
          <w:color w:val="auto"/>
          <w:sz w:val="32"/>
          <w:szCs w:val="32"/>
          <w:lang w:eastAsia="zh-CN"/>
        </w:rPr>
        <w:t>服务方案</w:t>
      </w:r>
      <w:r>
        <w:rPr>
          <w:rFonts w:hint="eastAsia" w:ascii="仿宋_GB2312" w:eastAsia="仿宋_GB2312"/>
          <w:color w:val="auto"/>
          <w:sz w:val="32"/>
          <w:szCs w:val="32"/>
        </w:rPr>
        <w:t>等各类服务工作痕迹记录资料，该项目以下几方面需关注：</w:t>
      </w:r>
    </w:p>
    <w:p>
      <w:pPr>
        <w:pStyle w:val="13"/>
        <w:pageBreakBefore w:val="0"/>
        <w:widowControl w:val="0"/>
        <w:kinsoku/>
        <w:wordWrap/>
        <w:overflowPunct/>
        <w:topLinePunct w:val="0"/>
        <w:autoSpaceDE/>
        <w:autoSpaceDN/>
        <w:bidi w:val="0"/>
        <w:adjustRightInd/>
        <w:snapToGrid/>
        <w:spacing w:after="0" w:line="560" w:lineRule="exact"/>
        <w:ind w:firstLine="740"/>
        <w:jc w:val="both"/>
        <w:textAlignment w:val="auto"/>
        <w:rPr>
          <w:rFonts w:hint="eastAsia" w:ascii="仿宋_GB2312" w:eastAsia="仿宋_GB2312"/>
          <w:color w:val="auto"/>
          <w:sz w:val="32"/>
          <w:szCs w:val="32"/>
          <w:lang w:eastAsia="zh-CN"/>
        </w:rPr>
      </w:pPr>
      <w:bookmarkStart w:id="52" w:name="bookmark67"/>
      <w:bookmarkEnd w:id="52"/>
      <w:bookmarkStart w:id="53" w:name="bookmark68"/>
      <w:bookmarkEnd w:id="53"/>
      <w:bookmarkStart w:id="54" w:name="bookmark69"/>
      <w:bookmarkEnd w:id="54"/>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在服务规范方面建议个案服务指引与社工站上墙的个案帮扶指引进行综合说明，增加个案服务中关于回访与后续跟进，以及与兜底性服务的恒常跟进衔接的说明，便于新入职社工理解与运用。在专业服务过程中要重视督导的意见，专业服务过程的跟进尽可能地运用理论技巧，如个案服务中提到的“心理社会模式”除了需求分析，还可以运用相关的服务技巧解决服务对象的问题。</w:t>
      </w:r>
    </w:p>
    <w:p>
      <w:pPr>
        <w:pStyle w:val="13"/>
        <w:pageBreakBefore w:val="0"/>
        <w:widowControl w:val="0"/>
        <w:kinsoku/>
        <w:wordWrap/>
        <w:overflowPunct/>
        <w:topLinePunct w:val="0"/>
        <w:autoSpaceDE/>
        <w:autoSpaceDN/>
        <w:bidi w:val="0"/>
        <w:adjustRightInd/>
        <w:snapToGrid/>
        <w:spacing w:after="0" w:line="560" w:lineRule="exact"/>
        <w:ind w:firstLine="74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在服务需求调研和服务计划制定方面，针对兜底服务对象、社区普遍存在的问题、一般社区居民可能会出现的突发性需求，运用多种分析方法，提出更加融合的解决策略和工作计划，在需求调研中应对服务对象进行更细致的跟进分类，精准提供专业服务。社区问题地图的分析方面建立专业的分析维度呈现社区问题，服务计划中也应对社区问题有所回应。</w:t>
      </w:r>
    </w:p>
    <w:p>
      <w:pPr>
        <w:pStyle w:val="13"/>
        <w:pageBreakBefore w:val="0"/>
        <w:widowControl w:val="0"/>
        <w:kinsoku/>
        <w:wordWrap/>
        <w:overflowPunct/>
        <w:topLinePunct w:val="0"/>
        <w:autoSpaceDE/>
        <w:autoSpaceDN/>
        <w:bidi w:val="0"/>
        <w:adjustRightInd/>
        <w:snapToGrid/>
        <w:spacing w:after="0" w:line="560" w:lineRule="exact"/>
        <w:ind w:firstLine="74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服务建档方面在信息的准确性、分级评估的及时性、评估分级标准的统一性、服务计划的针对性方面可进一步改进，比如针对家庭支持情况、收支情况的判断，针对服务对象客观情况变化能够及时重新定级，以便更好地制定服务计划。在探访服务方面，针对服务对象的探访时间安排建议合理安排，如抽查档案发现某二级服务对象分别于2025年4月22日、5月20日进行了探访，建议在此期间增加其他形式的联系工作，了解服务对象动态。</w:t>
      </w:r>
    </w:p>
    <w:p>
      <w:pPr>
        <w:pStyle w:val="13"/>
        <w:pageBreakBefore w:val="0"/>
        <w:widowControl w:val="0"/>
        <w:kinsoku/>
        <w:wordWrap/>
        <w:overflowPunct/>
        <w:topLinePunct w:val="0"/>
        <w:autoSpaceDE/>
        <w:autoSpaceDN/>
        <w:bidi w:val="0"/>
        <w:adjustRightInd/>
        <w:snapToGrid/>
        <w:spacing w:after="0" w:line="560" w:lineRule="exact"/>
        <w:ind w:firstLine="740"/>
        <w:jc w:val="both"/>
        <w:textAlignment w:val="auto"/>
        <w:rPr>
          <w:rFonts w:ascii="仿宋_GB2312" w:eastAsia="仿宋_GB2312"/>
          <w:b/>
          <w:bCs/>
          <w:color w:val="auto"/>
          <w:sz w:val="32"/>
          <w:szCs w:val="32"/>
        </w:rPr>
      </w:pPr>
      <w:r>
        <w:rPr>
          <w:rFonts w:hint="eastAsia" w:ascii="仿宋_GB2312" w:eastAsia="仿宋_GB2312"/>
          <w:b/>
          <w:bCs/>
          <w:color w:val="auto"/>
          <w:sz w:val="32"/>
          <w:szCs w:val="32"/>
          <w:lang w:eastAsia="zh-CN"/>
        </w:rPr>
        <w:t>（六）</w:t>
      </w:r>
      <w:r>
        <w:rPr>
          <w:rFonts w:hint="eastAsia" w:ascii="仿宋_GB2312" w:eastAsia="仿宋_GB2312"/>
          <w:b/>
          <w:bCs/>
          <w:color w:val="auto"/>
          <w:sz w:val="32"/>
          <w:szCs w:val="32"/>
        </w:rPr>
        <w:t>购买方反馈情况</w:t>
      </w:r>
    </w:p>
    <w:p>
      <w:pPr>
        <w:pStyle w:val="13"/>
        <w:pageBreakBefore w:val="0"/>
        <w:widowControl w:val="0"/>
        <w:kinsoku/>
        <w:wordWrap/>
        <w:overflowPunct/>
        <w:topLinePunct w:val="0"/>
        <w:autoSpaceDE/>
        <w:autoSpaceDN/>
        <w:bidi w:val="0"/>
        <w:adjustRightInd/>
        <w:snapToGrid/>
        <w:spacing w:after="80" w:line="560" w:lineRule="exact"/>
        <w:ind w:firstLine="740"/>
        <w:jc w:val="both"/>
        <w:textAlignment w:val="auto"/>
        <w:rPr>
          <w:rFonts w:ascii="仿宋_GB2312" w:eastAsia="仿宋_GB2312"/>
          <w:b/>
          <w:bCs/>
          <w:color w:val="auto"/>
          <w:sz w:val="32"/>
          <w:szCs w:val="32"/>
        </w:rPr>
      </w:pPr>
      <w:r>
        <w:rPr>
          <w:rFonts w:hint="eastAsia" w:ascii="仿宋_GB2312" w:eastAsia="仿宋_GB2312"/>
          <w:b/>
          <w:bCs/>
          <w:color w:val="auto"/>
          <w:sz w:val="32"/>
          <w:szCs w:val="32"/>
        </w:rPr>
        <w:t>1.值得肯定的地方</w:t>
      </w:r>
    </w:p>
    <w:p>
      <w:pPr>
        <w:pStyle w:val="13"/>
        <w:pageBreakBefore w:val="0"/>
        <w:widowControl w:val="0"/>
        <w:kinsoku/>
        <w:wordWrap/>
        <w:overflowPunct/>
        <w:topLinePunct w:val="0"/>
        <w:autoSpaceDE/>
        <w:autoSpaceDN/>
        <w:bidi w:val="0"/>
        <w:adjustRightInd/>
        <w:snapToGrid/>
        <w:spacing w:after="0" w:line="560" w:lineRule="exact"/>
        <w:ind w:firstLine="578"/>
        <w:jc w:val="both"/>
        <w:textAlignment w:val="auto"/>
        <w:rPr>
          <w:rFonts w:hint="default" w:ascii="仿宋_GB2312" w:eastAsia="仿宋_GB2312" w:hAnsiTheme="minorEastAsia"/>
          <w:color w:val="auto"/>
          <w:sz w:val="32"/>
          <w:szCs w:val="32"/>
          <w:lang w:val="en-US" w:eastAsia="zh-CN"/>
        </w:rPr>
      </w:pPr>
      <w:r>
        <w:rPr>
          <w:rFonts w:hint="eastAsia" w:ascii="仿宋_GB2312" w:eastAsia="仿宋_GB2312"/>
          <w:color w:val="auto"/>
          <w:sz w:val="32"/>
          <w:szCs w:val="32"/>
        </w:rPr>
        <w:t>购买方（</w:t>
      </w:r>
      <w:r>
        <w:rPr>
          <w:rFonts w:hint="eastAsia" w:ascii="仿宋_GB2312" w:eastAsia="仿宋_GB2312"/>
          <w:color w:val="auto"/>
          <w:sz w:val="32"/>
          <w:szCs w:val="32"/>
          <w:lang w:eastAsia="zh-CN"/>
        </w:rPr>
        <w:t>大龙街</w:t>
      </w:r>
      <w:r>
        <w:rPr>
          <w:rFonts w:hint="eastAsia" w:ascii="仿宋_GB2312" w:eastAsia="仿宋_GB2312"/>
          <w:color w:val="auto"/>
          <w:sz w:val="32"/>
          <w:szCs w:val="32"/>
        </w:rPr>
        <w:t>道办事处）代表认为，</w:t>
      </w:r>
      <w:r>
        <w:rPr>
          <w:rFonts w:hint="eastAsia" w:ascii="仿宋_GB2312" w:eastAsia="仿宋_GB2312"/>
          <w:color w:val="auto"/>
          <w:sz w:val="32"/>
          <w:szCs w:val="32"/>
          <w:lang w:val="en-US" w:eastAsia="zh-CN"/>
        </w:rPr>
        <w:t>大龙街社工站服务态度好，内容丰富，覆盖人群全面。</w:t>
      </w:r>
    </w:p>
    <w:p>
      <w:pPr>
        <w:pStyle w:val="13"/>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p>
    <w:p>
      <w:pPr>
        <w:pStyle w:val="13"/>
        <w:pageBreakBefore w:val="0"/>
        <w:widowControl w:val="0"/>
        <w:kinsoku/>
        <w:wordWrap/>
        <w:overflowPunct/>
        <w:topLinePunct w:val="0"/>
        <w:autoSpaceDE/>
        <w:autoSpaceDN/>
        <w:bidi w:val="0"/>
        <w:adjustRightInd/>
        <w:snapToGrid/>
        <w:spacing w:after="0" w:line="560" w:lineRule="exact"/>
        <w:ind w:firstLine="740"/>
        <w:jc w:val="both"/>
        <w:textAlignment w:val="auto"/>
        <w:rPr>
          <w:rFonts w:hint="default" w:ascii="仿宋_GB2312" w:eastAsia="仿宋_GB2312"/>
          <w:color w:val="auto"/>
          <w:sz w:val="32"/>
          <w:szCs w:val="32"/>
          <w:lang w:val="en-US" w:eastAsia="zh-CN"/>
        </w:rPr>
      </w:pPr>
      <w:r>
        <w:rPr>
          <w:rFonts w:hint="eastAsia" w:ascii="仿宋_GB2312" w:eastAsia="仿宋_GB2312"/>
          <w:color w:val="auto"/>
          <w:sz w:val="32"/>
          <w:szCs w:val="32"/>
          <w:lang w:eastAsia="zh-CN"/>
        </w:rPr>
        <w:t>无</w:t>
      </w:r>
      <w:r>
        <w:rPr>
          <w:rFonts w:hint="eastAsia" w:ascii="仿宋_GB2312" w:eastAsia="仿宋_GB2312"/>
          <w:color w:val="auto"/>
          <w:sz w:val="32"/>
          <w:szCs w:val="32"/>
          <w:lang w:val="en-US" w:eastAsia="zh-CN"/>
        </w:rPr>
        <w:t>。</w:t>
      </w:r>
    </w:p>
    <w:p>
      <w:pPr>
        <w:pStyle w:val="13"/>
        <w:keepNext w:val="0"/>
        <w:keepLines w:val="0"/>
        <w:pageBreakBefore w:val="0"/>
        <w:widowControl w:val="0"/>
        <w:numPr>
          <w:ilvl w:val="0"/>
          <w:numId w:val="5"/>
        </w:numPr>
        <w:kinsoku/>
        <w:wordWrap/>
        <w:overflowPunct/>
        <w:topLinePunct w:val="0"/>
        <w:autoSpaceDE/>
        <w:autoSpaceDN/>
        <w:bidi w:val="0"/>
        <w:adjustRightInd/>
        <w:snapToGrid/>
        <w:spacing w:after="120" w:line="560" w:lineRule="exact"/>
        <w:ind w:firstLine="642" w:firstLineChars="200"/>
        <w:jc w:val="both"/>
        <w:textAlignment w:val="auto"/>
        <w:rPr>
          <w:rFonts w:hint="eastAsia" w:ascii="仿宋_GB2312" w:eastAsia="仿宋_GB2312"/>
          <w:b/>
          <w:bCs/>
          <w:sz w:val="32"/>
          <w:szCs w:val="32"/>
          <w:highlight w:val="none"/>
        </w:rPr>
      </w:pPr>
      <w:r>
        <w:rPr>
          <w:rFonts w:hint="eastAsia" w:ascii="仿宋_GB2312" w:eastAsia="仿宋_GB2312"/>
          <w:b/>
          <w:bCs/>
          <w:sz w:val="32"/>
          <w:szCs w:val="32"/>
          <w:highlight w:val="none"/>
        </w:rPr>
        <w:t>市督导中心反馈</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hint="eastAsia"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sz w:val="32"/>
          <w:szCs w:val="32"/>
        </w:rPr>
      </w:pPr>
      <w:r>
        <w:rPr>
          <w:rFonts w:hint="eastAsia" w:ascii="仿宋_GB2312" w:eastAsia="仿宋_GB2312"/>
          <w:sz w:val="32"/>
          <w:szCs w:val="32"/>
        </w:rPr>
        <w:t>经评委评估分析访谈情况和查阅项目调研、</w:t>
      </w:r>
      <w:r>
        <w:rPr>
          <w:rFonts w:hint="eastAsia" w:ascii="仿宋_GB2312" w:eastAsia="仿宋_GB2312"/>
          <w:sz w:val="32"/>
          <w:szCs w:val="32"/>
          <w:lang w:eastAsia="zh-CN"/>
        </w:rPr>
        <w:t>服务方案</w:t>
      </w:r>
      <w:r>
        <w:rPr>
          <w:rFonts w:hint="eastAsia" w:ascii="仿宋_GB2312" w:eastAsia="仿宋_GB2312"/>
          <w:sz w:val="32"/>
          <w:szCs w:val="32"/>
        </w:rPr>
        <w:t>等各类服务工作痕迹记录资料，该项目以下几方面值得肯定：</w:t>
      </w:r>
    </w:p>
    <w:p>
      <w:pPr>
        <w:pStyle w:val="13"/>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1）项目重视人才培养，创新探索内部共学推进模式。项目组建了一支由6人组成的内部督导团队，并创新探索“内部督导培育+共学”结合的机制，依托内部“分层共学”模式，打造“内部督导培育”路径。自2025年2月起，项目每月组织分层共学活动，具体分为两个层面：一是“内部督导共学”。内部督导团队通过集中共学，先行掌握相关主题的专业知识，并结合实际工作产出“集体共学”方案，保障共学内容的针对性和实用性；二是搭建“集体共学”平台。由内部督导带领社工开展实务经验与理论学习的深度对话，以“做中学、学中做”的方式，帮助社工深化对专业知识的理解，切实提升解决实际问题的能力，并形成了浓厚的自主学习氛围和持续进步的良好态势。</w:t>
      </w:r>
    </w:p>
    <w:p>
      <w:pPr>
        <w:pStyle w:val="13"/>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2）项目强化“双工”联动，常态合作实现优势融合。项目社工与18个村（居）委会负责人及时通报相关服务情况，争取资金、物资、场地空间等支持，定期就辖区疑难案例开展研讨，合力解决难题；项目结合中期评估意见，加强了与直聘社工的联动，每月聚焦服务台账信息沟通、政策宣传、探访服务、个案政策业务办理与转介与活动开展等服务常态化合作，合作覆盖面100%。</w:t>
      </w:r>
    </w:p>
    <w:p>
      <w:pPr>
        <w:pStyle w:val="13"/>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3）项目重视实务研究，积极鼓励社工梳理服务经验。承接机构通过机制明确“课题立项、发表文章、论文、出版著作可获得一定奖金”等措施，鼓励项目成员积极总结服务经验，产出案例研究文章并积极投稿发表。本服务年度，项目社工聚焦民政领域社会工作，产出多篇案例并成功刊登于国家级期刊，如《助力多残家庭走出困境——基于社会支持网络下的个案介入》刊登于《社会与公益》2024年第12期，《“让每颗星星都闪亮”——广州市番禺区大龙街助力困境儿童融入社会》发表于《中国志愿》2025年4月刊，实务研究成果突出。</w:t>
      </w:r>
    </w:p>
    <w:p>
      <w:pPr>
        <w:pStyle w:val="13"/>
        <w:pageBreakBefore w:val="0"/>
        <w:widowControl w:val="0"/>
        <w:kinsoku/>
        <w:wordWrap/>
        <w:overflowPunct/>
        <w:topLinePunct w:val="0"/>
        <w:autoSpaceDE/>
        <w:autoSpaceDN/>
        <w:bidi w:val="0"/>
        <w:adjustRightInd/>
        <w:snapToGrid/>
        <w:spacing w:after="0" w:line="560" w:lineRule="exact"/>
        <w:ind w:left="0" w:leftChars="0" w:firstLine="642" w:firstLineChars="200"/>
        <w:jc w:val="both"/>
        <w:textAlignment w:val="auto"/>
        <w:rPr>
          <w:rFonts w:ascii="仿宋_GB2312" w:hAnsi="Times New Roman" w:eastAsia="仿宋_GB2312" w:cs="Times New Roman"/>
          <w:b/>
          <w:bCs/>
          <w:color w:val="auto"/>
          <w:sz w:val="32"/>
          <w:szCs w:val="32"/>
          <w:lang w:val="zh-CN" w:eastAsia="zh-CN" w:bidi="zh-CN"/>
        </w:rPr>
      </w:pPr>
      <w:r>
        <w:rPr>
          <w:rFonts w:hint="eastAsia" w:ascii="仿宋_GB2312" w:hAnsi="Times New Roman" w:eastAsia="仿宋_GB2312" w:cs="Times New Roman"/>
          <w:b/>
          <w:bCs/>
          <w:color w:val="auto"/>
          <w:sz w:val="32"/>
          <w:szCs w:val="32"/>
          <w:lang w:val="zh-CN" w:eastAsia="zh-CN" w:bidi="zh-CN"/>
        </w:rPr>
        <w:t>2</w:t>
      </w:r>
      <w:r>
        <w:rPr>
          <w:rFonts w:ascii="仿宋_GB2312" w:hAnsi="Times New Roman" w:eastAsia="仿宋_GB2312" w:cs="Times New Roman"/>
          <w:b/>
          <w:bCs/>
          <w:color w:val="auto"/>
          <w:sz w:val="32"/>
          <w:szCs w:val="32"/>
          <w:lang w:val="zh-CN" w:eastAsia="zh-CN" w:bidi="zh-CN"/>
        </w:rPr>
        <w:t>.需要关注的地方</w:t>
      </w:r>
    </w:p>
    <w:p>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hAnsiTheme="minorEastAsia"/>
          <w:color w:val="auto"/>
          <w:sz w:val="32"/>
          <w:szCs w:val="32"/>
          <w:lang w:eastAsia="zh-CN"/>
        </w:rPr>
      </w:pPr>
      <w:r>
        <w:rPr>
          <w:rFonts w:hint="eastAsia" w:ascii="仿宋_GB2312" w:eastAsia="仿宋_GB2312" w:hAnsiTheme="minorEastAsia"/>
          <w:color w:val="auto"/>
          <w:sz w:val="32"/>
          <w:szCs w:val="32"/>
          <w:lang w:eastAsia="zh-CN"/>
        </w:rPr>
        <w:t>经评委评估分析访谈情况和查阅项目调研、服务方案等各类服务工作痕迹记录资料，该项目以下几方面需关注：</w:t>
      </w:r>
    </w:p>
    <w:p>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在人员专业提升体系方面，一是建议项目持续深化社工能力成长需求评估工作，在此基础上制定更为具体、精准的提升目标与实施计划，确保培养方向贴合实际需求。同时，建立健全学习成效跟踪机制，运用科学合理的方法对社工成长情况开展动态监测，及时掌握培养进度与效果，为调整培养策略提供依据，进而推动团队专业素养实现稳步提升。二是鼓励进一步深化“内部督导培育+共学”结合机制的实践探索与发展，通过创新培育模式，加快项目人才梯队建设，为项目持续发展提供坚实的人才支撑。同时，注重总结人才培养过程中的成功经验与有效模式，形成可复制、可推广的实践成果，不断提升人才培养工作的规范化、科学化水平。</w:t>
      </w:r>
    </w:p>
    <w:p>
      <w:pPr>
        <w:pStyle w:val="11"/>
        <w:keepNext/>
        <w:keepLines/>
        <w:pageBreakBefore w:val="0"/>
        <w:widowControl w:val="0"/>
        <w:kinsoku/>
        <w:wordWrap/>
        <w:overflowPunct/>
        <w:topLinePunct w:val="0"/>
        <w:autoSpaceDE/>
        <w:autoSpaceDN/>
        <w:bidi w:val="0"/>
        <w:adjustRightInd/>
        <w:snapToGrid/>
        <w:spacing w:before="0" w:after="0" w:line="560" w:lineRule="exact"/>
        <w:ind w:firstLine="642"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三、评估反馈</w:t>
      </w:r>
    </w:p>
    <w:p>
      <w:pPr>
        <w:pStyle w:val="13"/>
        <w:pageBreakBefore w:val="0"/>
        <w:widowControl w:val="0"/>
        <w:kinsoku/>
        <w:wordWrap/>
        <w:overflowPunct/>
        <w:topLinePunct w:val="0"/>
        <w:autoSpaceDE/>
        <w:autoSpaceDN/>
        <w:bidi w:val="0"/>
        <w:adjustRightInd/>
        <w:snapToGrid/>
        <w:spacing w:after="120" w:line="560" w:lineRule="exact"/>
        <w:ind w:firstLine="640"/>
        <w:jc w:val="both"/>
        <w:textAlignment w:val="auto"/>
        <w:rPr>
          <w:rFonts w:ascii="仿宋_GB2312" w:eastAsia="仿宋_GB2312"/>
          <w:color w:val="auto"/>
          <w:sz w:val="32"/>
          <w:szCs w:val="32"/>
        </w:rPr>
      </w:pPr>
      <w:r>
        <w:rPr>
          <w:rFonts w:hint="eastAsia" w:ascii="仿宋_GB2312" w:eastAsia="仿宋_GB2312"/>
          <w:color w:val="auto"/>
          <w:sz w:val="32"/>
          <w:szCs w:val="32"/>
        </w:rPr>
        <w:t>评估反馈主要分为两大环节，一是现场反馈环节，二是对评估报告初稿的意见反馈环节。本次</w:t>
      </w:r>
      <w:r>
        <w:rPr>
          <w:rFonts w:hint="eastAsia" w:ascii="仿宋_GB2312" w:eastAsia="仿宋_GB2312"/>
          <w:color w:val="auto"/>
          <w:sz w:val="32"/>
          <w:szCs w:val="32"/>
          <w:lang w:eastAsia="zh-CN"/>
        </w:rPr>
        <w:t>大龙街</w:t>
      </w:r>
      <w:r>
        <w:rPr>
          <w:rFonts w:hint="eastAsia" w:ascii="仿宋_GB2312" w:eastAsia="仿宋_GB2312"/>
          <w:color w:val="auto"/>
          <w:sz w:val="32"/>
          <w:szCs w:val="32"/>
        </w:rPr>
        <w:t>社工站的反馈如下：</w:t>
      </w:r>
      <w:bookmarkStart w:id="55" w:name="bookmark85"/>
      <w:bookmarkEnd w:id="55"/>
    </w:p>
    <w:p>
      <w:pPr>
        <w:pStyle w:val="13"/>
        <w:pageBreakBefore w:val="0"/>
        <w:widowControl w:val="0"/>
        <w:kinsoku/>
        <w:wordWrap/>
        <w:overflowPunct/>
        <w:topLinePunct w:val="0"/>
        <w:autoSpaceDE/>
        <w:autoSpaceDN/>
        <w:bidi w:val="0"/>
        <w:adjustRightInd/>
        <w:snapToGrid/>
        <w:spacing w:after="0" w:line="560" w:lineRule="exact"/>
        <w:ind w:firstLine="720"/>
        <w:jc w:val="both"/>
        <w:textAlignment w:val="auto"/>
        <w:rPr>
          <w:rFonts w:ascii="仿宋_GB2312" w:eastAsia="仿宋_GB2312" w:hAnsiTheme="minorEastAsia"/>
          <w:color w:val="auto"/>
          <w:sz w:val="32"/>
          <w:szCs w:val="32"/>
          <w:lang w:eastAsia="zh-CN"/>
        </w:rPr>
      </w:pPr>
      <w:r>
        <w:rPr>
          <w:rFonts w:hint="eastAsia" w:ascii="仿宋_GB2312" w:eastAsia="仿宋_GB2312" w:hAnsiTheme="minorEastAsia"/>
          <w:b/>
          <w:color w:val="auto"/>
          <w:sz w:val="32"/>
          <w:szCs w:val="32"/>
          <w:lang w:eastAsia="zh-CN"/>
        </w:rPr>
        <w:t>1.现场反馈：</w:t>
      </w:r>
      <w:r>
        <w:rPr>
          <w:rFonts w:hint="eastAsia" w:ascii="仿宋_GB2312" w:eastAsia="仿宋_GB2312" w:hAnsiTheme="minorEastAsia"/>
          <w:color w:val="auto"/>
          <w:sz w:val="32"/>
          <w:szCs w:val="32"/>
          <w:lang w:eastAsia="zh-CN"/>
        </w:rPr>
        <w:t>经过为期一天的评估，评委针对大龙街社工站的情况，进行了现场总结反馈，在总结反馈环节，大龙街社工站表示对评委们提出的意见和建议无异议。</w:t>
      </w:r>
    </w:p>
    <w:p>
      <w:pPr>
        <w:pStyle w:val="13"/>
        <w:pageBreakBefore w:val="0"/>
        <w:widowControl w:val="0"/>
        <w:kinsoku/>
        <w:wordWrap/>
        <w:overflowPunct/>
        <w:topLinePunct w:val="0"/>
        <w:autoSpaceDE/>
        <w:autoSpaceDN/>
        <w:bidi w:val="0"/>
        <w:adjustRightInd/>
        <w:snapToGrid/>
        <w:spacing w:after="0" w:line="560" w:lineRule="exact"/>
        <w:ind w:firstLine="720"/>
        <w:jc w:val="both"/>
        <w:textAlignment w:val="auto"/>
        <w:rPr>
          <w:rFonts w:ascii="仿宋_GB2312" w:eastAsia="仿宋_GB2312" w:hAnsiTheme="minorEastAsia"/>
          <w:color w:val="auto"/>
          <w:sz w:val="32"/>
          <w:szCs w:val="32"/>
          <w:lang w:eastAsia="zh-CN"/>
        </w:rPr>
      </w:pPr>
      <w:r>
        <w:rPr>
          <w:rFonts w:hint="eastAsia" w:ascii="仿宋_GB2312" w:eastAsia="仿宋_GB2312" w:hAnsiTheme="minorEastAsia"/>
          <w:b/>
          <w:color w:val="auto"/>
          <w:sz w:val="32"/>
          <w:szCs w:val="32"/>
          <w:lang w:eastAsia="zh-CN"/>
        </w:rPr>
        <w:t>2.对评估报告初稿的反馈：</w:t>
      </w:r>
      <w:r>
        <w:rPr>
          <w:rFonts w:hint="eastAsia" w:ascii="仿宋_GB2312" w:eastAsia="仿宋_GB2312" w:hAnsiTheme="minorEastAsia"/>
          <w:color w:val="auto"/>
          <w:sz w:val="32"/>
          <w:szCs w:val="32"/>
          <w:lang w:eastAsia="zh-CN"/>
        </w:rPr>
        <w:t>番禺区民政局、大龙街道办事处、大龙街社工站对评估报告初稿无异议。</w:t>
      </w:r>
    </w:p>
    <w:p>
      <w:pPr>
        <w:pStyle w:val="11"/>
        <w:keepNext/>
        <w:keepLines/>
        <w:pageBreakBefore w:val="0"/>
        <w:widowControl w:val="0"/>
        <w:kinsoku/>
        <w:wordWrap/>
        <w:overflowPunct/>
        <w:topLinePunct w:val="0"/>
        <w:autoSpaceDE/>
        <w:autoSpaceDN/>
        <w:bidi w:val="0"/>
        <w:adjustRightInd/>
        <w:snapToGrid/>
        <w:spacing w:before="0" w:after="0" w:line="560" w:lineRule="exact"/>
        <w:ind w:firstLine="642" w:firstLineChars="200"/>
        <w:jc w:val="both"/>
        <w:textAlignment w:val="auto"/>
        <w:rPr>
          <w:rFonts w:ascii="方正小标宋简体" w:eastAsia="方正小标宋简体"/>
          <w:b/>
          <w:bCs/>
          <w:color w:val="auto"/>
          <w:sz w:val="32"/>
          <w:szCs w:val="28"/>
          <w:lang w:val="en-US"/>
        </w:rPr>
      </w:pPr>
      <w:bookmarkStart w:id="56" w:name="bookmark86"/>
      <w:r>
        <w:rPr>
          <w:rFonts w:hint="eastAsia" w:ascii="方正小标宋简体" w:eastAsia="方正小标宋简体"/>
          <w:b/>
          <w:bCs/>
          <w:color w:val="auto"/>
          <w:sz w:val="32"/>
          <w:szCs w:val="28"/>
          <w:lang w:val="en-US"/>
        </w:rPr>
        <w:t>四</w:t>
      </w:r>
      <w:bookmarkEnd w:id="56"/>
      <w:r>
        <w:rPr>
          <w:rFonts w:hint="eastAsia" w:ascii="方正小标宋简体" w:eastAsia="方正小标宋简体"/>
          <w:b/>
          <w:bCs/>
          <w:color w:val="auto"/>
          <w:sz w:val="32"/>
          <w:szCs w:val="28"/>
          <w:lang w:val="en-US"/>
        </w:rPr>
        <w:t>、评估等级</w:t>
      </w:r>
    </w:p>
    <w:p>
      <w:pPr>
        <w:pStyle w:val="13"/>
        <w:pageBreakBefore w:val="0"/>
        <w:widowControl w:val="0"/>
        <w:kinsoku/>
        <w:wordWrap/>
        <w:overflowPunct/>
        <w:topLinePunct w:val="0"/>
        <w:autoSpaceDE/>
        <w:autoSpaceDN/>
        <w:bidi w:val="0"/>
        <w:adjustRightInd/>
        <w:snapToGrid/>
        <w:spacing w:after="120" w:line="560" w:lineRule="exact"/>
        <w:ind w:firstLine="640"/>
        <w:jc w:val="both"/>
        <w:textAlignment w:val="auto"/>
        <w:rPr>
          <w:rFonts w:hint="eastAsia" w:ascii="仿宋_GB2312" w:eastAsia="仿宋_GB2312"/>
          <w:color w:val="auto"/>
          <w:sz w:val="32"/>
          <w:szCs w:val="32"/>
        </w:rPr>
      </w:pPr>
      <w:r>
        <w:rPr>
          <w:rFonts w:hint="eastAsia" w:ascii="仿宋_GB2312" w:eastAsia="仿宋_GB2312"/>
          <w:sz w:val="32"/>
          <w:szCs w:val="32"/>
          <w:lang w:val="en-US" w:eastAsia="zh-CN"/>
        </w:rPr>
        <w:t>评估总分为100分，其中，第三方评估机构占比55%、街道办事处（镇人民政府）占比20%、市督导中心占15%、区民政局占比10%。评估结果由四方评估分数的总和确定。评估等级分为优秀、良好、合格、不合格四个等级，90分以上为优秀，80分至90分（不含90分）为良好， 60分至80分（不含80分）为合格，60分以下（不含60分）为不合格。</w:t>
      </w:r>
      <w:r>
        <w:rPr>
          <w:rFonts w:hint="eastAsia" w:ascii="仿宋_GB2312" w:eastAsia="仿宋_GB2312"/>
          <w:color w:val="auto"/>
          <w:sz w:val="32"/>
          <w:szCs w:val="32"/>
        </w:rPr>
        <w:t>经过评估</w:t>
      </w:r>
      <w:r>
        <w:rPr>
          <w:rFonts w:hint="eastAsia" w:ascii="仿宋_GB2312" w:eastAsia="仿宋_GB2312"/>
          <w:color w:val="auto"/>
          <w:sz w:val="32"/>
          <w:szCs w:val="32"/>
          <w:lang w:eastAsia="zh-CN"/>
        </w:rPr>
        <w:t>，大龙街</w:t>
      </w:r>
      <w:r>
        <w:rPr>
          <w:rFonts w:hint="eastAsia" w:ascii="仿宋_GB2312" w:eastAsia="仿宋_GB2312"/>
          <w:color w:val="auto"/>
          <w:sz w:val="32"/>
          <w:szCs w:val="32"/>
        </w:rPr>
        <w:t>社工站本次</w:t>
      </w:r>
      <w:r>
        <w:rPr>
          <w:rFonts w:hint="eastAsia" w:ascii="仿宋_GB2312" w:eastAsia="仿宋_GB2312"/>
          <w:color w:val="auto"/>
          <w:sz w:val="32"/>
          <w:szCs w:val="32"/>
          <w:lang w:eastAsia="zh-CN"/>
        </w:rPr>
        <w:t>末期评估</w:t>
      </w:r>
      <w:r>
        <w:rPr>
          <w:rFonts w:hint="eastAsia" w:ascii="仿宋_GB2312" w:eastAsia="仿宋_GB2312"/>
          <w:color w:val="auto"/>
          <w:sz w:val="32"/>
          <w:szCs w:val="32"/>
        </w:rPr>
        <w:t>的等级为</w:t>
      </w:r>
      <w:r>
        <w:rPr>
          <w:rFonts w:hint="eastAsia" w:ascii="仿宋_GB2312" w:eastAsia="仿宋_GB2312"/>
          <w:b/>
          <w:color w:val="auto"/>
          <w:sz w:val="32"/>
          <w:szCs w:val="32"/>
        </w:rPr>
        <w:t>“</w:t>
      </w:r>
      <w:r>
        <w:rPr>
          <w:rFonts w:hint="eastAsia" w:ascii="仿宋_GB2312" w:eastAsia="仿宋_GB2312"/>
          <w:b/>
          <w:color w:val="auto"/>
          <w:sz w:val="32"/>
          <w:szCs w:val="32"/>
          <w:lang w:eastAsia="zh-CN"/>
        </w:rPr>
        <w:t>良好</w:t>
      </w:r>
      <w:r>
        <w:rPr>
          <w:rFonts w:hint="eastAsia" w:ascii="仿宋_GB2312" w:eastAsia="仿宋_GB2312"/>
          <w:b/>
          <w:color w:val="auto"/>
          <w:sz w:val="32"/>
          <w:szCs w:val="32"/>
        </w:rPr>
        <w:t>”</w:t>
      </w:r>
      <w:r>
        <w:rPr>
          <w:rFonts w:hint="eastAsia" w:ascii="仿宋_GB2312" w:eastAsia="仿宋_GB2312"/>
          <w:b/>
          <w:color w:val="auto"/>
          <w:sz w:val="32"/>
          <w:szCs w:val="32"/>
          <w:lang w:eastAsia="zh-CN"/>
        </w:rPr>
        <w:t>（</w:t>
      </w:r>
      <w:r>
        <w:rPr>
          <w:rFonts w:hint="eastAsia" w:ascii="仿宋_GB2312" w:eastAsia="仿宋_GB2312"/>
          <w:b/>
          <w:sz w:val="32"/>
          <w:szCs w:val="32"/>
          <w:lang w:val="en-US" w:eastAsia="zh-CN"/>
        </w:rPr>
        <w:t>89.55</w:t>
      </w:r>
      <w:r>
        <w:rPr>
          <w:rFonts w:ascii="仿宋_GB2312" w:eastAsia="仿宋_GB2312"/>
          <w:b/>
          <w:sz w:val="32"/>
          <w:szCs w:val="32"/>
          <w:lang w:val="en-US" w:eastAsia="zh-CN"/>
        </w:rPr>
        <w:t>分</w:t>
      </w:r>
      <w:r>
        <w:rPr>
          <w:rFonts w:hint="eastAsia" w:ascii="仿宋_GB2312" w:eastAsia="仿宋_GB2312"/>
          <w:b/>
          <w:color w:val="auto"/>
          <w:sz w:val="32"/>
          <w:szCs w:val="32"/>
          <w:lang w:eastAsia="zh-CN"/>
        </w:rPr>
        <w:t>）</w:t>
      </w:r>
      <w:r>
        <w:rPr>
          <w:rFonts w:hint="eastAsia" w:ascii="仿宋_GB2312" w:eastAsia="仿宋_GB2312"/>
          <w:color w:val="auto"/>
          <w:sz w:val="32"/>
          <w:szCs w:val="32"/>
        </w:rPr>
        <w:t>。</w:t>
      </w:r>
    </w:p>
    <w:p>
      <w:pPr>
        <w:pStyle w:val="13"/>
        <w:pageBreakBefore w:val="0"/>
        <w:widowControl w:val="0"/>
        <w:kinsoku/>
        <w:wordWrap/>
        <w:overflowPunct/>
        <w:topLinePunct w:val="0"/>
        <w:autoSpaceDE/>
        <w:autoSpaceDN/>
        <w:bidi w:val="0"/>
        <w:adjustRightInd/>
        <w:snapToGrid/>
        <w:spacing w:after="120" w:line="560" w:lineRule="exact"/>
        <w:ind w:firstLine="64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以下是详细的评分情况：</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76"/>
        <w:gridCol w:w="1508"/>
        <w:gridCol w:w="1514"/>
        <w:gridCol w:w="1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pStyle w:val="13"/>
              <w:spacing w:after="0" w:line="560" w:lineRule="exact"/>
              <w:jc w:val="center"/>
              <w:rPr>
                <w:rFonts w:ascii="仿宋_GB2312" w:hAnsi="仿宋_GB2312" w:eastAsia="仿宋_GB2312" w:cs="仿宋_GB2312"/>
                <w:b/>
                <w:bCs/>
                <w:lang w:val="en-US" w:eastAsia="zh-CN"/>
              </w:rPr>
            </w:pPr>
            <w:bookmarkStart w:id="57" w:name="bookmark87"/>
            <w:r>
              <w:rPr>
                <w:rFonts w:hint="eastAsia" w:ascii="仿宋_GB2312" w:hAnsi="仿宋_GB2312" w:eastAsia="仿宋_GB2312" w:cs="仿宋_GB2312"/>
                <w:b/>
                <w:bCs/>
                <w:lang w:val="en-US" w:eastAsia="zh-CN"/>
              </w:rPr>
              <w:t>评估内容</w:t>
            </w:r>
          </w:p>
        </w:tc>
        <w:tc>
          <w:tcPr>
            <w:tcW w:w="728" w:type="pct"/>
            <w:noWrap w:val="0"/>
            <w:vAlign w:val="center"/>
          </w:tcPr>
          <w:p>
            <w:pPr>
              <w:pStyle w:val="13"/>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标准分</w:t>
            </w:r>
          </w:p>
        </w:tc>
        <w:tc>
          <w:tcPr>
            <w:tcW w:w="731" w:type="pct"/>
            <w:noWrap w:val="0"/>
            <w:vAlign w:val="center"/>
          </w:tcPr>
          <w:p>
            <w:pPr>
              <w:pStyle w:val="13"/>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评分</w:t>
            </w:r>
          </w:p>
        </w:tc>
        <w:tc>
          <w:tcPr>
            <w:tcW w:w="848" w:type="pct"/>
            <w:noWrap w:val="0"/>
            <w:vAlign w:val="center"/>
          </w:tcPr>
          <w:p>
            <w:pPr>
              <w:pStyle w:val="13"/>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折算分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bidi="ar"/>
              </w:rPr>
              <w:t>专业服务板块</w:t>
            </w:r>
          </w:p>
        </w:tc>
        <w:tc>
          <w:tcPr>
            <w:tcW w:w="728" w:type="pct"/>
            <w:noWrap w:val="0"/>
            <w:vAlign w:val="center"/>
          </w:tcPr>
          <w:p>
            <w:pPr>
              <w:keepNext w:val="0"/>
              <w:keepLines w:val="0"/>
              <w:widowControl/>
              <w:suppressLineNumbers w:val="0"/>
              <w:jc w:val="center"/>
              <w:textAlignment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i w:val="0"/>
                <w:iCs w:val="0"/>
                <w:color w:val="000000"/>
                <w:kern w:val="0"/>
                <w:sz w:val="28"/>
                <w:szCs w:val="28"/>
                <w:u w:val="none"/>
                <w:lang w:val="en-US" w:eastAsia="zh-CN" w:bidi="ar"/>
              </w:rPr>
              <w:t>55</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45.70</w:t>
            </w:r>
          </w:p>
        </w:tc>
        <w:tc>
          <w:tcPr>
            <w:tcW w:w="848"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45.70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Style w:val="32"/>
                <w:rFonts w:hint="default" w:ascii="仿宋_GB2312" w:hAnsi="仿宋_GB2312" w:eastAsia="仿宋_GB2312" w:cs="仿宋_GB2312"/>
                <w:sz w:val="28"/>
                <w:szCs w:val="28"/>
                <w:lang w:eastAsia="zh-CN" w:bidi="ar"/>
              </w:rPr>
              <w:t>购买方</w:t>
            </w:r>
          </w:p>
        </w:tc>
        <w:tc>
          <w:tcPr>
            <w:tcW w:w="728" w:type="pct"/>
            <w:noWrap w:val="0"/>
            <w:vAlign w:val="center"/>
          </w:tcPr>
          <w:p>
            <w:pPr>
              <w:keepNext w:val="0"/>
              <w:keepLines w:val="0"/>
              <w:widowControl/>
              <w:suppressLineNumbers w:val="0"/>
              <w:jc w:val="center"/>
              <w:textAlignment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i w:val="0"/>
                <w:iCs w:val="0"/>
                <w:color w:val="000000"/>
                <w:kern w:val="0"/>
                <w:sz w:val="28"/>
                <w:szCs w:val="28"/>
                <w:u w:val="none"/>
                <w:lang w:val="en-US" w:eastAsia="zh-CN" w:bidi="ar"/>
              </w:rPr>
              <w:t>20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20</w:t>
            </w:r>
          </w:p>
        </w:tc>
        <w:tc>
          <w:tcPr>
            <w:tcW w:w="848"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督导中心</w:t>
            </w:r>
          </w:p>
        </w:tc>
        <w:tc>
          <w:tcPr>
            <w:tcW w:w="728" w:type="pct"/>
            <w:noWrap w:val="0"/>
            <w:vAlign w:val="center"/>
          </w:tcPr>
          <w:p>
            <w:pPr>
              <w:keepNext w:val="0"/>
              <w:keepLines w:val="0"/>
              <w:widowControl/>
              <w:suppressLineNumbers w:val="0"/>
              <w:jc w:val="center"/>
              <w:textAlignment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i w:val="0"/>
                <w:iCs w:val="0"/>
                <w:color w:val="000000"/>
                <w:kern w:val="0"/>
                <w:sz w:val="28"/>
                <w:szCs w:val="28"/>
                <w:u w:val="none"/>
                <w:lang w:val="en-US" w:eastAsia="zh-CN" w:bidi="ar"/>
              </w:rPr>
              <w:t>15</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14.65</w:t>
            </w:r>
          </w:p>
        </w:tc>
        <w:tc>
          <w:tcPr>
            <w:tcW w:w="848" w:type="pct"/>
            <w:noWrap w:val="0"/>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14.65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Style w:val="32"/>
                <w:rFonts w:hint="default" w:ascii="仿宋_GB2312" w:hAnsi="仿宋_GB2312" w:eastAsia="仿宋_GB2312" w:cs="仿宋_GB2312"/>
                <w:sz w:val="28"/>
                <w:szCs w:val="28"/>
                <w:lang w:eastAsia="zh-CN" w:bidi="ar"/>
              </w:rPr>
              <w:t>监督方</w:t>
            </w:r>
          </w:p>
        </w:tc>
        <w:tc>
          <w:tcPr>
            <w:tcW w:w="728" w:type="pct"/>
            <w:noWrap w:val="0"/>
            <w:vAlign w:val="center"/>
          </w:tcPr>
          <w:p>
            <w:pPr>
              <w:keepNext w:val="0"/>
              <w:keepLines w:val="0"/>
              <w:widowControl/>
              <w:suppressLineNumbers w:val="0"/>
              <w:jc w:val="center"/>
              <w:textAlignment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i w:val="0"/>
                <w:iCs w:val="0"/>
                <w:color w:val="000000"/>
                <w:kern w:val="0"/>
                <w:sz w:val="28"/>
                <w:szCs w:val="28"/>
                <w:u w:val="none"/>
                <w:lang w:val="en-US" w:eastAsia="zh-CN" w:bidi="ar"/>
              </w:rPr>
              <w:t>10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9.2</w:t>
            </w:r>
          </w:p>
        </w:tc>
        <w:tc>
          <w:tcPr>
            <w:tcW w:w="848" w:type="pct"/>
            <w:noWrap w:val="0"/>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51" w:type="pct"/>
            <w:gridSpan w:val="3"/>
            <w:noWrap w:val="0"/>
            <w:vAlign w:val="center"/>
          </w:tcPr>
          <w:p>
            <w:pPr>
              <w:pStyle w:val="13"/>
              <w:spacing w:after="0" w:line="560" w:lineRule="exact"/>
              <w:ind w:firstLine="0"/>
              <w:jc w:val="center"/>
              <w:rPr>
                <w:rFonts w:ascii="仿宋_GB2312" w:eastAsia="仿宋_GB2312"/>
                <w:b/>
                <w:lang w:val="en-US" w:eastAsia="zh-CN"/>
              </w:rPr>
            </w:pPr>
            <w:r>
              <w:rPr>
                <w:rFonts w:hint="eastAsia" w:ascii="仿宋_GB2312" w:eastAsia="仿宋_GB2312"/>
                <w:b/>
                <w:lang w:val="en-US" w:eastAsia="zh-CN"/>
              </w:rPr>
              <w:t>总分</w:t>
            </w:r>
          </w:p>
        </w:tc>
        <w:tc>
          <w:tcPr>
            <w:tcW w:w="848" w:type="pct"/>
            <w:noWrap w:val="0"/>
            <w:vAlign w:val="center"/>
          </w:tcPr>
          <w:p>
            <w:pPr>
              <w:widowControl/>
              <w:jc w:val="center"/>
              <w:textAlignment w:val="center"/>
              <w:rPr>
                <w:rFonts w:hint="default" w:ascii="仿宋_GB2312" w:hAnsi="仿宋_GB2312" w:eastAsia="仿宋_GB2312" w:cs="仿宋_GB2312"/>
                <w:b/>
                <w:sz w:val="28"/>
                <w:szCs w:val="28"/>
                <w:lang w:val="en-US" w:eastAsia="zh-CN" w:bidi="ar"/>
              </w:rPr>
            </w:pPr>
            <w:r>
              <w:rPr>
                <w:rFonts w:hint="eastAsia" w:ascii="仿宋_GB2312" w:hAnsi="仿宋_GB2312" w:eastAsia="仿宋_GB2312" w:cs="仿宋_GB2312"/>
                <w:b/>
                <w:sz w:val="28"/>
                <w:szCs w:val="28"/>
                <w:lang w:val="en-US" w:eastAsia="zh-CN" w:bidi="ar"/>
              </w:rPr>
              <w:t>89.55</w:t>
            </w:r>
          </w:p>
        </w:tc>
      </w:tr>
    </w:tbl>
    <w:p>
      <w:pPr>
        <w:pStyle w:val="11"/>
        <w:keepNext/>
        <w:keepLines/>
        <w:spacing w:before="0" w:after="0" w:line="560" w:lineRule="exact"/>
        <w:ind w:firstLine="642" w:firstLineChars="200"/>
        <w:jc w:val="both"/>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五</w:t>
      </w:r>
      <w:bookmarkEnd w:id="57"/>
      <w:r>
        <w:rPr>
          <w:rFonts w:hint="eastAsia" w:ascii="方正小标宋简体" w:eastAsia="方正小标宋简体"/>
          <w:b/>
          <w:bCs/>
          <w:color w:val="auto"/>
          <w:sz w:val="32"/>
          <w:szCs w:val="28"/>
          <w:lang w:val="en-US"/>
        </w:rPr>
        <w:t>、结语</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eastAsia="zh-CN"/>
        </w:rPr>
        <w:t>大龙街</w:t>
      </w:r>
      <w:r>
        <w:rPr>
          <w:rFonts w:hint="eastAsia" w:ascii="仿宋_GB2312" w:eastAsia="仿宋_GB2312"/>
          <w:color w:val="auto"/>
          <w:sz w:val="32"/>
          <w:szCs w:val="32"/>
        </w:rPr>
        <w:t>社工服务站在番禺区民政局、</w:t>
      </w:r>
      <w:r>
        <w:rPr>
          <w:rFonts w:hint="eastAsia" w:ascii="仿宋_GB2312" w:eastAsia="仿宋_GB2312"/>
          <w:color w:val="auto"/>
          <w:sz w:val="32"/>
          <w:szCs w:val="32"/>
          <w:lang w:eastAsia="zh-CN"/>
        </w:rPr>
        <w:t>大龙街</w:t>
      </w:r>
      <w:r>
        <w:rPr>
          <w:rFonts w:hint="eastAsia" w:ascii="仿宋_GB2312" w:eastAsia="仿宋_GB2312"/>
          <w:color w:val="auto"/>
          <w:sz w:val="32"/>
          <w:szCs w:val="32"/>
        </w:rPr>
        <w:t>党工委</w:t>
      </w:r>
      <w:r>
        <w:rPr>
          <w:rFonts w:hint="eastAsia" w:ascii="仿宋_GB2312" w:eastAsia="仿宋_GB2312"/>
          <w:color w:val="auto"/>
          <w:sz w:val="32"/>
          <w:szCs w:val="32"/>
          <w:lang w:eastAsia="zh-CN"/>
        </w:rPr>
        <w:t>、大龙街</w:t>
      </w:r>
      <w:r>
        <w:rPr>
          <w:rFonts w:hint="eastAsia" w:ascii="仿宋_GB2312" w:eastAsia="仿宋_GB2312"/>
          <w:color w:val="auto"/>
          <w:sz w:val="32"/>
          <w:szCs w:val="32"/>
        </w:rPr>
        <w:t>道办事处的大力支持下，在</w:t>
      </w:r>
      <w:r>
        <w:rPr>
          <w:rFonts w:hint="eastAsia" w:ascii="仿宋_GB2312" w:eastAsia="仿宋_GB2312"/>
          <w:color w:val="auto"/>
          <w:sz w:val="32"/>
          <w:szCs w:val="32"/>
          <w:lang w:val="en-US" w:eastAsia="zh-CN"/>
        </w:rPr>
        <w:t>广州市阳光天使社会工作服务中心</w:t>
      </w:r>
      <w:r>
        <w:rPr>
          <w:rFonts w:hint="eastAsia" w:ascii="仿宋_GB2312" w:eastAsia="仿宋_GB2312"/>
          <w:color w:val="auto"/>
          <w:sz w:val="32"/>
          <w:szCs w:val="32"/>
        </w:rPr>
        <w:t>的努力下，已运营</w:t>
      </w:r>
      <w:r>
        <w:rPr>
          <w:rFonts w:hint="eastAsia" w:ascii="仿宋_GB2312" w:eastAsia="仿宋_GB2312"/>
          <w:color w:val="auto"/>
          <w:sz w:val="32"/>
          <w:szCs w:val="32"/>
          <w:lang w:eastAsia="zh-CN"/>
        </w:rPr>
        <w:t>多</w:t>
      </w:r>
      <w:r>
        <w:rPr>
          <w:rFonts w:ascii="仿宋_GB2312" w:eastAsia="仿宋_GB2312"/>
          <w:color w:val="auto"/>
          <w:sz w:val="32"/>
          <w:szCs w:val="32"/>
          <w:lang w:val="en-US" w:eastAsia="zh-CN"/>
        </w:rPr>
        <w:t>年</w:t>
      </w:r>
      <w:r>
        <w:rPr>
          <w:rFonts w:hint="eastAsia" w:ascii="仿宋_GB2312" w:eastAsia="仿宋_GB2312"/>
          <w:color w:val="auto"/>
          <w:sz w:val="32"/>
          <w:szCs w:val="32"/>
          <w:lang w:val="en-US" w:eastAsia="zh-CN"/>
        </w:rPr>
        <w:t>。社工站服务覆盖全面，帮扶困难精准，宣传报道有力，广泛整合社会资源，对困难群众和特殊群体关注度高。社工的专业服务能力较好，</w:t>
      </w:r>
      <w:r>
        <w:rPr>
          <w:rFonts w:hint="eastAsia" w:ascii="仿宋_GB2312" w:eastAsia="仿宋_GB2312" w:hAnsiTheme="minorEastAsia"/>
          <w:color w:val="auto"/>
          <w:sz w:val="32"/>
          <w:szCs w:val="32"/>
          <w:lang w:val="en-US" w:eastAsia="zh-CN"/>
        </w:rPr>
        <w:t>积极梳理服务成果，并撰写了多篇案例并成功刊登于国家级期刊。</w:t>
      </w:r>
    </w:p>
    <w:p>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宋体" w:eastAsia="仿宋_GB2312" w:cs="宋体"/>
          <w:sz w:val="32"/>
          <w:szCs w:val="32"/>
          <w:lang w:eastAsia="zh-CN"/>
        </w:rPr>
      </w:pPr>
      <w:r>
        <w:rPr>
          <w:rFonts w:hint="eastAsia" w:ascii="仿宋_GB2312" w:eastAsia="仿宋_GB2312"/>
          <w:color w:val="auto"/>
          <w:sz w:val="32"/>
          <w:szCs w:val="32"/>
          <w:lang w:val="en-US" w:eastAsia="zh-CN"/>
        </w:rPr>
        <w:t>建议社工站</w:t>
      </w:r>
      <w:r>
        <w:rPr>
          <w:rFonts w:hint="eastAsia" w:ascii="仿宋_GB2312" w:eastAsia="仿宋_GB2312"/>
          <w:color w:val="auto"/>
          <w:sz w:val="32"/>
          <w:szCs w:val="32"/>
          <w:lang w:eastAsia="zh-CN"/>
        </w:rPr>
        <w:t>加强对党和组织的红色资源、红色力量的挖掘，并着力加大社工服务在对象、内容、资源和过程中与这些党建元素的全面结合、互促共进，以加大党建服务的品牌探索和工作覆盖。</w:t>
      </w:r>
      <w:r>
        <w:rPr>
          <w:rFonts w:hint="eastAsia" w:ascii="仿宋_GB2312" w:eastAsia="仿宋_GB2312"/>
          <w:color w:val="auto"/>
          <w:sz w:val="32"/>
          <w:szCs w:val="32"/>
          <w:lang w:val="en-US" w:eastAsia="zh-CN"/>
        </w:rPr>
        <w:t>在服务中进一步提升计划逻辑性与服务联动性</w:t>
      </w:r>
      <w:r>
        <w:rPr>
          <w:rFonts w:hint="eastAsia" w:ascii="仿宋_GB2312" w:eastAsia="仿宋_GB2312"/>
          <w:color w:val="auto"/>
          <w:sz w:val="32"/>
          <w:szCs w:val="32"/>
          <w:lang w:eastAsia="zh-CN"/>
        </w:rPr>
        <w:t>，在服务实施中进一步提高资料准确度与可用性，进一步改进困难群众和特殊群体服务建档方面在信息的准确性、分级评估的及时性、评估分级标准的统一性、服务计划的针对性方面，进一步明晰三类服务（兜底性民生服务、基础性民生服务和普惠性民生服务）之间的区别及联系，</w:t>
      </w:r>
      <w:r>
        <w:rPr>
          <w:rFonts w:hint="eastAsia" w:ascii="仿宋_GB2312" w:eastAsia="仿宋_GB2312"/>
          <w:color w:val="auto"/>
          <w:sz w:val="32"/>
          <w:szCs w:val="32"/>
          <w:lang w:val="en-US" w:eastAsia="zh-CN"/>
        </w:rPr>
        <w:t>形成有效且精准服务的服务需求</w:t>
      </w:r>
      <w:r>
        <w:rPr>
          <w:rFonts w:hint="eastAsia" w:ascii="仿宋_GB2312" w:eastAsia="仿宋_GB2312"/>
          <w:b w:val="0"/>
          <w:bCs w:val="0"/>
          <w:color w:val="auto"/>
          <w:sz w:val="32"/>
          <w:szCs w:val="32"/>
          <w:lang w:eastAsia="zh-CN"/>
        </w:rPr>
        <w:t>。</w:t>
      </w:r>
    </w:p>
    <w:p>
      <w:pPr>
        <w:tabs>
          <w:tab w:val="left" w:pos="7330"/>
        </w:tabs>
        <w:spacing w:line="560" w:lineRule="exact"/>
        <w:ind w:firstLine="5120" w:firstLineChars="1600"/>
        <w:jc w:val="both"/>
        <w:rPr>
          <w:rFonts w:hint="eastAsia" w:ascii="仿宋_GB2312" w:hAnsi="仿宋_GB2312" w:eastAsia="仿宋_GB2312" w:cs="仿宋_GB2312"/>
          <w:color w:val="auto"/>
          <w:sz w:val="32"/>
          <w:szCs w:val="32"/>
          <w:lang w:eastAsia="zh-CN"/>
        </w:rPr>
      </w:pPr>
    </w:p>
    <w:p>
      <w:pPr>
        <w:tabs>
          <w:tab w:val="left" w:pos="7330"/>
        </w:tabs>
        <w:spacing w:line="560" w:lineRule="exact"/>
        <w:ind w:firstLine="5120" w:firstLineChars="1600"/>
        <w:jc w:val="both"/>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广州市番禺区社会组织联合会</w:t>
      </w:r>
    </w:p>
    <w:p>
      <w:pPr>
        <w:tabs>
          <w:tab w:val="left" w:pos="7330"/>
        </w:tabs>
        <w:spacing w:line="560" w:lineRule="exact"/>
        <w:ind w:firstLine="6080" w:firstLineChars="1900"/>
        <w:jc w:val="both"/>
        <w:rPr>
          <w:lang w:val="en-US" w:eastAsia="zh-CN"/>
        </w:rPr>
      </w:pP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年</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lang w:eastAsia="zh-CN"/>
        </w:rPr>
        <w:t>月</w:t>
      </w:r>
      <w:r>
        <w:rPr>
          <w:rFonts w:hint="eastAsia" w:ascii="仿宋_GB2312" w:hAnsi="仿宋_GB2312" w:eastAsia="仿宋_GB2312" w:cs="仿宋_GB2312"/>
          <w:color w:val="auto"/>
          <w:sz w:val="32"/>
          <w:szCs w:val="32"/>
          <w:lang w:val="en-US" w:eastAsia="zh-CN"/>
        </w:rPr>
        <w:t>21</w:t>
      </w:r>
      <w:r>
        <w:rPr>
          <w:rFonts w:hint="eastAsia" w:ascii="仿宋_GB2312" w:hAnsi="仿宋_GB2312" w:eastAsia="仿宋_GB2312" w:cs="仿宋_GB2312"/>
          <w:color w:val="auto"/>
          <w:sz w:val="32"/>
          <w:szCs w:val="32"/>
          <w:lang w:eastAsia="zh-CN"/>
        </w:rPr>
        <w:t>日</w:t>
      </w:r>
    </w:p>
    <w:sectPr>
      <w:footerReference r:id="rId3" w:type="default"/>
      <w:footerReference r:id="rId4" w:type="even"/>
      <w:pgSz w:w="11900" w:h="16840"/>
      <w:pgMar w:top="1301" w:right="876" w:bottom="1373" w:left="885" w:header="457" w:footer="44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PMingLiU">
    <w:altName w:val="Droid Sans Fallback"/>
    <w:panose1 w:val="02020500000000000000"/>
    <w:charset w:val="88"/>
    <w:family w:val="auto"/>
    <w:pitch w:val="default"/>
    <w:sig w:usb0="00000000" w:usb1="00000000" w:usb2="00000016" w:usb3="00000000" w:csb0="00100001" w:csb1="00000000"/>
  </w:font>
  <w:font w:name="Droid Sans Fallback">
    <w:panose1 w:val="020B0502000000000001"/>
    <w:charset w:val="86"/>
    <w:family w:val="auto"/>
    <w:pitch w:val="default"/>
    <w:sig w:usb0="910002FF" w:usb1="2BDFFCFB" w:usb2="00000036" w:usb3="00000000" w:csb0="203F01FF" w:csb1="D7FF0000"/>
  </w:font>
  <w:font w:name="仿宋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Arial">
    <w:altName w:val="DejaVu Sans"/>
    <w:panose1 w:val="00000000000000000000"/>
    <w:charset w:val="00"/>
    <w:family w:val="auto"/>
    <w:pitch w:val="default"/>
    <w:sig w:usb0="00000000" w:usb1="00000000" w:usb2="00000000" w:usb3="00000000" w:csb0="00000000" w:csb1="00000000"/>
  </w:font>
  <w:font w:name="MathJax_Vector">
    <w:panose1 w:val="02000603000000000000"/>
    <w:charset w:val="00"/>
    <w:family w:val="auto"/>
    <w:pitch w:val="default"/>
    <w:sig w:usb0="00000001" w:usb1="0000002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lang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19</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lang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18</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167EC6"/>
    <w:multiLevelType w:val="singleLevel"/>
    <w:tmpl w:val="C7167EC6"/>
    <w:lvl w:ilvl="0" w:tentative="0">
      <w:start w:val="7"/>
      <w:numFmt w:val="chineseCounting"/>
      <w:suff w:val="nothing"/>
      <w:lvlText w:val="（%1）"/>
      <w:lvlJc w:val="left"/>
      <w:rPr>
        <w:rFonts w:hint="eastAsia"/>
      </w:rPr>
    </w:lvl>
  </w:abstractNum>
  <w:abstractNum w:abstractNumId="1">
    <w:nsid w:val="00000001"/>
    <w:multiLevelType w:val="singleLevel"/>
    <w:tmpl w:val="00000001"/>
    <w:lvl w:ilvl="0" w:tentative="0">
      <w:start w:val="1"/>
      <w:numFmt w:val="decimal"/>
      <w:lvlText w:val="%1."/>
      <w:lvlJc w:val="left"/>
      <w:rPr>
        <w:rFonts w:ascii="仿宋" w:hAnsi="仿宋" w:eastAsia="仿宋" w:cs="Times New Roman"/>
        <w:b/>
        <w:bCs w:val="0"/>
        <w:i w:val="0"/>
        <w:iCs w:val="0"/>
        <w:smallCaps w:val="0"/>
        <w:color w:val="000000"/>
        <w:spacing w:val="0"/>
        <w:w w:val="100"/>
        <w:position w:val="0"/>
        <w:sz w:val="32"/>
        <w:szCs w:val="28"/>
        <w:u w:val="none"/>
        <w:shd w:val="clear" w:color="auto" w:fill="auto"/>
        <w:lang w:val="zh-TW" w:eastAsia="zh-TW" w:bidi="zh-TW"/>
      </w:rPr>
    </w:lvl>
  </w:abstractNum>
  <w:abstractNum w:abstractNumId="2">
    <w:nsid w:val="00000002"/>
    <w:multiLevelType w:val="singleLevel"/>
    <w:tmpl w:val="00000002"/>
    <w:lvl w:ilvl="0" w:tentative="0">
      <w:start w:val="1"/>
      <w:numFmt w:val="decimal"/>
      <w:lvlText w:val="%1."/>
      <w:lvlJc w:val="left"/>
      <w:rPr>
        <w:rFonts w:ascii="仿宋" w:hAnsi="仿宋" w:eastAsia="仿宋" w:cs="Times New Roman"/>
        <w:b/>
        <w:bCs w:val="0"/>
        <w:i w:val="0"/>
        <w:iCs w:val="0"/>
        <w:smallCaps w:val="0"/>
        <w:color w:val="000000"/>
        <w:spacing w:val="0"/>
        <w:w w:val="100"/>
        <w:position w:val="0"/>
        <w:sz w:val="32"/>
        <w:szCs w:val="28"/>
        <w:u w:val="none"/>
        <w:shd w:val="clear" w:color="auto" w:fill="auto"/>
        <w:lang w:val="zh-TW" w:eastAsia="zh-TW" w:bidi="zh-TW"/>
      </w:rPr>
    </w:lvl>
  </w:abstractNum>
  <w:abstractNum w:abstractNumId="3">
    <w:nsid w:val="00000004"/>
    <w:multiLevelType w:val="singleLevel"/>
    <w:tmpl w:val="00000004"/>
    <w:lvl w:ilvl="0" w:tentative="0">
      <w:start w:val="1"/>
      <w:numFmt w:val="decimal"/>
      <w:lvlText w:val="%1."/>
      <w:lvlJc w:val="left"/>
      <w:rPr>
        <w:rFonts w:ascii="Times New Roman" w:hAnsi="Times New Roman" w:eastAsia="Times New Roman" w:cs="Times New Roman"/>
        <w:b/>
        <w:bCs/>
        <w:i w:val="0"/>
        <w:iCs w:val="0"/>
        <w:smallCaps w:val="0"/>
        <w:color w:val="000000"/>
        <w:spacing w:val="0"/>
        <w:w w:val="100"/>
        <w:position w:val="0"/>
        <w:sz w:val="30"/>
        <w:szCs w:val="30"/>
        <w:u w:val="none"/>
        <w:shd w:val="clear" w:color="auto" w:fill="auto"/>
        <w:lang w:val="zh-TW" w:eastAsia="zh-TW" w:bidi="zh-TW"/>
      </w:rPr>
    </w:lvl>
  </w:abstractNum>
  <w:abstractNum w:abstractNumId="4">
    <w:nsid w:val="0053208E"/>
    <w:multiLevelType w:val="singleLevel"/>
    <w:tmpl w:val="0053208E"/>
    <w:lvl w:ilvl="0" w:tentative="0">
      <w:start w:val="1"/>
      <w:numFmt w:val="decimal"/>
      <w:lvlText w:val="%1."/>
      <w:lvlJc w:val="left"/>
      <w:rPr>
        <w:rFonts w:ascii="仿宋" w:hAnsi="仿宋" w:eastAsia="仿宋" w:cs="Times New Roman"/>
        <w:b/>
        <w:bCs w:val="0"/>
        <w:i w:val="0"/>
        <w:iCs w:val="0"/>
        <w:smallCaps w:val="0"/>
        <w:color w:val="000000"/>
        <w:spacing w:val="0"/>
        <w:w w:val="100"/>
        <w:position w:val="0"/>
        <w:sz w:val="32"/>
        <w:szCs w:val="28"/>
        <w:u w:val="none"/>
        <w:shd w:val="clear" w:color="auto" w:fill="auto"/>
        <w:lang w:val="zh-TW" w:eastAsia="zh-TW" w:bidi="zh-TW"/>
      </w:rPr>
    </w:lvl>
  </w:abstractNum>
  <w:num w:numId="1">
    <w:abstractNumId w:val="4"/>
  </w:num>
  <w:num w:numId="2">
    <w:abstractNumId w:val="1"/>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bordersDoNotSurroundHeader w:val="0"/>
  <w:bordersDoNotSurroundFooter w:val="0"/>
  <w:trackRevisions w:val="1"/>
  <w:documentProtection w:enforcement="0"/>
  <w:defaultTabStop w:val="420"/>
  <w:evenAndOddHeaders w:val="1"/>
  <w:drawingGridHorizontalSpacing w:val="181"/>
  <w:drawingGridVerticalSpacing w:val="181"/>
  <w:displayHorizontalDrawingGridEvery w:val="1"/>
  <w:displayVerticalDrawingGridEvery w:val="1"/>
  <w:noPunctuationKerning w:val="1"/>
  <w:characterSpacingControl w:val="compressPunctuation"/>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ZhZGYwNTVjNmEwZDlmYmM0M2UzYmUxZTMyY2ZhNTgifQ=="/>
  </w:docVars>
  <w:rsids>
    <w:rsidRoot w:val="0040785D"/>
    <w:rsid w:val="000628D7"/>
    <w:rsid w:val="000653D4"/>
    <w:rsid w:val="000669A8"/>
    <w:rsid w:val="000707EC"/>
    <w:rsid w:val="00153735"/>
    <w:rsid w:val="001543BA"/>
    <w:rsid w:val="001D6D30"/>
    <w:rsid w:val="002C77AF"/>
    <w:rsid w:val="0031205B"/>
    <w:rsid w:val="003261A9"/>
    <w:rsid w:val="00346C72"/>
    <w:rsid w:val="00347385"/>
    <w:rsid w:val="003878B8"/>
    <w:rsid w:val="003B4EB3"/>
    <w:rsid w:val="003D31DC"/>
    <w:rsid w:val="003E34FA"/>
    <w:rsid w:val="0040785D"/>
    <w:rsid w:val="0046241A"/>
    <w:rsid w:val="004A7570"/>
    <w:rsid w:val="004B3BEE"/>
    <w:rsid w:val="004C2DF8"/>
    <w:rsid w:val="004D431C"/>
    <w:rsid w:val="004F3EE1"/>
    <w:rsid w:val="004F7E29"/>
    <w:rsid w:val="00567037"/>
    <w:rsid w:val="00584628"/>
    <w:rsid w:val="00587928"/>
    <w:rsid w:val="005A2068"/>
    <w:rsid w:val="005D4F1A"/>
    <w:rsid w:val="00614C46"/>
    <w:rsid w:val="0062173D"/>
    <w:rsid w:val="006275E1"/>
    <w:rsid w:val="006538C0"/>
    <w:rsid w:val="006A0A99"/>
    <w:rsid w:val="006D594E"/>
    <w:rsid w:val="00710916"/>
    <w:rsid w:val="00714A48"/>
    <w:rsid w:val="00741C47"/>
    <w:rsid w:val="00775F46"/>
    <w:rsid w:val="00780069"/>
    <w:rsid w:val="007D05BA"/>
    <w:rsid w:val="008216CC"/>
    <w:rsid w:val="00840E3F"/>
    <w:rsid w:val="00873946"/>
    <w:rsid w:val="00893F1F"/>
    <w:rsid w:val="008D7F4E"/>
    <w:rsid w:val="008E6CB5"/>
    <w:rsid w:val="00922FBC"/>
    <w:rsid w:val="00923280"/>
    <w:rsid w:val="0092338A"/>
    <w:rsid w:val="00941150"/>
    <w:rsid w:val="0097122E"/>
    <w:rsid w:val="00981EBA"/>
    <w:rsid w:val="00991B02"/>
    <w:rsid w:val="009B278D"/>
    <w:rsid w:val="00A053E1"/>
    <w:rsid w:val="00A30B74"/>
    <w:rsid w:val="00A909D6"/>
    <w:rsid w:val="00A94F7B"/>
    <w:rsid w:val="00B46E65"/>
    <w:rsid w:val="00B519CD"/>
    <w:rsid w:val="00B63718"/>
    <w:rsid w:val="00B723D6"/>
    <w:rsid w:val="00B72C15"/>
    <w:rsid w:val="00B910E4"/>
    <w:rsid w:val="00B963AF"/>
    <w:rsid w:val="00BD3AE1"/>
    <w:rsid w:val="00C1200D"/>
    <w:rsid w:val="00C25A91"/>
    <w:rsid w:val="00C43B75"/>
    <w:rsid w:val="00C473FF"/>
    <w:rsid w:val="00C504C0"/>
    <w:rsid w:val="00C56F8F"/>
    <w:rsid w:val="00C80652"/>
    <w:rsid w:val="00C95142"/>
    <w:rsid w:val="00C97B30"/>
    <w:rsid w:val="00CD36BA"/>
    <w:rsid w:val="00CD7A0E"/>
    <w:rsid w:val="00CE0DC3"/>
    <w:rsid w:val="00D24F5D"/>
    <w:rsid w:val="00D930C4"/>
    <w:rsid w:val="00D95067"/>
    <w:rsid w:val="00DB425A"/>
    <w:rsid w:val="00DD2355"/>
    <w:rsid w:val="00DD5901"/>
    <w:rsid w:val="00DE4F4A"/>
    <w:rsid w:val="00E1379F"/>
    <w:rsid w:val="00E96C76"/>
    <w:rsid w:val="00EB23CE"/>
    <w:rsid w:val="00EF786E"/>
    <w:rsid w:val="00F00D84"/>
    <w:rsid w:val="00F03905"/>
    <w:rsid w:val="00F621C4"/>
    <w:rsid w:val="00F74221"/>
    <w:rsid w:val="00F7505A"/>
    <w:rsid w:val="00FA40E6"/>
    <w:rsid w:val="00FE6AC9"/>
    <w:rsid w:val="016941A0"/>
    <w:rsid w:val="037B63EE"/>
    <w:rsid w:val="043B2EAD"/>
    <w:rsid w:val="05CD061E"/>
    <w:rsid w:val="08CC2634"/>
    <w:rsid w:val="09BA0A50"/>
    <w:rsid w:val="09FC7227"/>
    <w:rsid w:val="0C01318A"/>
    <w:rsid w:val="0CED1904"/>
    <w:rsid w:val="0D7F205C"/>
    <w:rsid w:val="0F741B88"/>
    <w:rsid w:val="122C2101"/>
    <w:rsid w:val="1351449B"/>
    <w:rsid w:val="138C2E16"/>
    <w:rsid w:val="17034184"/>
    <w:rsid w:val="17C835F3"/>
    <w:rsid w:val="185E41F2"/>
    <w:rsid w:val="1A0D6C95"/>
    <w:rsid w:val="1EEF1628"/>
    <w:rsid w:val="21635C00"/>
    <w:rsid w:val="231B319B"/>
    <w:rsid w:val="252D6F90"/>
    <w:rsid w:val="271C5E50"/>
    <w:rsid w:val="27812768"/>
    <w:rsid w:val="278E713C"/>
    <w:rsid w:val="32D91400"/>
    <w:rsid w:val="348F33D2"/>
    <w:rsid w:val="34C21DA4"/>
    <w:rsid w:val="39942551"/>
    <w:rsid w:val="3A1B2EEB"/>
    <w:rsid w:val="3B8110C2"/>
    <w:rsid w:val="3BB47C7C"/>
    <w:rsid w:val="3BC44428"/>
    <w:rsid w:val="3CEF4B2F"/>
    <w:rsid w:val="3D0E630E"/>
    <w:rsid w:val="3E1476B1"/>
    <w:rsid w:val="43B712CD"/>
    <w:rsid w:val="461F5BAF"/>
    <w:rsid w:val="46CD7A34"/>
    <w:rsid w:val="4A246FC0"/>
    <w:rsid w:val="501A5ADD"/>
    <w:rsid w:val="50892358"/>
    <w:rsid w:val="50A43895"/>
    <w:rsid w:val="511B5604"/>
    <w:rsid w:val="52823D7D"/>
    <w:rsid w:val="53973691"/>
    <w:rsid w:val="53B547DC"/>
    <w:rsid w:val="56A40CE5"/>
    <w:rsid w:val="5753592D"/>
    <w:rsid w:val="57C86C54"/>
    <w:rsid w:val="59FC6DB6"/>
    <w:rsid w:val="5A4A08C9"/>
    <w:rsid w:val="5C627366"/>
    <w:rsid w:val="5CE67A24"/>
    <w:rsid w:val="61C272BB"/>
    <w:rsid w:val="63406F1D"/>
    <w:rsid w:val="66024CEF"/>
    <w:rsid w:val="67962801"/>
    <w:rsid w:val="68E464EF"/>
    <w:rsid w:val="69726A9D"/>
    <w:rsid w:val="6B97230B"/>
    <w:rsid w:val="6EA83A3B"/>
    <w:rsid w:val="6F932244"/>
    <w:rsid w:val="700C6F8E"/>
    <w:rsid w:val="77C6A955"/>
    <w:rsid w:val="7817015A"/>
    <w:rsid w:val="7B065502"/>
    <w:rsid w:val="7B37279C"/>
    <w:rsid w:val="7D284F5A"/>
    <w:rsid w:val="7DEE4E05"/>
    <w:rsid w:val="7DFE0EB7"/>
    <w:rsid w:val="7E477DBC"/>
    <w:rsid w:val="7E76499E"/>
    <w:rsid w:val="7EE67F3E"/>
    <w:rsid w:val="EE2F24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en-US" w:eastAsia="en-US" w:bidi="en-US"/>
    </w:rPr>
  </w:style>
  <w:style w:type="paragraph" w:styleId="2">
    <w:name w:val="heading 2"/>
    <w:basedOn w:val="1"/>
    <w:next w:val="1"/>
    <w:qFormat/>
    <w:uiPriority w:val="0"/>
    <w:pPr>
      <w:keepNext/>
      <w:keepLines/>
      <w:spacing w:before="260" w:after="260" w:line="413" w:lineRule="auto"/>
      <w:outlineLvl w:val="1"/>
    </w:pPr>
    <w:rPr>
      <w:rFonts w:ascii="Arial" w:hAnsi="Arial" w:eastAsia="宋体"/>
      <w:b/>
      <w:sz w:val="32"/>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link w:val="31"/>
    <w:qFormat/>
    <w:uiPriority w:val="0"/>
    <w:pPr>
      <w:spacing w:after="120"/>
    </w:pPr>
  </w:style>
  <w:style w:type="paragraph" w:styleId="5">
    <w:name w:val="footer"/>
    <w:basedOn w:val="1"/>
    <w:link w:val="29"/>
    <w:qFormat/>
    <w:uiPriority w:val="0"/>
    <w:pPr>
      <w:tabs>
        <w:tab w:val="center" w:pos="4153"/>
        <w:tab w:val="right" w:pos="8306"/>
      </w:tabs>
      <w:snapToGrid w:val="0"/>
    </w:pPr>
    <w:rPr>
      <w:sz w:val="18"/>
      <w:szCs w:val="18"/>
    </w:rPr>
  </w:style>
  <w:style w:type="paragraph" w:styleId="6">
    <w:name w:val="header"/>
    <w:basedOn w:val="1"/>
    <w:link w:val="28"/>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Heading #1|1_"/>
    <w:basedOn w:val="9"/>
    <w:link w:val="11"/>
    <w:qFormat/>
    <w:uiPriority w:val="0"/>
    <w:rPr>
      <w:rFonts w:ascii="宋体" w:hAnsi="宋体" w:eastAsia="宋体" w:cs="宋体"/>
      <w:sz w:val="40"/>
      <w:szCs w:val="40"/>
      <w:u w:val="none"/>
      <w:shd w:val="clear" w:color="auto" w:fill="auto"/>
      <w:lang w:val="zh-TW" w:eastAsia="zh-TW" w:bidi="zh-TW"/>
    </w:rPr>
  </w:style>
  <w:style w:type="paragraph" w:customStyle="1" w:styleId="11">
    <w:name w:val="Heading #1|1"/>
    <w:basedOn w:val="1"/>
    <w:link w:val="10"/>
    <w:qFormat/>
    <w:uiPriority w:val="0"/>
    <w:pPr>
      <w:spacing w:before="320" w:after="4320" w:line="541" w:lineRule="exact"/>
      <w:jc w:val="center"/>
      <w:outlineLvl w:val="0"/>
    </w:pPr>
    <w:rPr>
      <w:rFonts w:ascii="宋体" w:hAnsi="宋体" w:eastAsia="宋体" w:cs="宋体"/>
      <w:sz w:val="40"/>
      <w:szCs w:val="40"/>
      <w:lang w:val="zh-TW" w:eastAsia="zh-TW" w:bidi="zh-TW"/>
    </w:rPr>
  </w:style>
  <w:style w:type="character" w:customStyle="1" w:styleId="12">
    <w:name w:val="Body text|1_"/>
    <w:basedOn w:val="9"/>
    <w:link w:val="13"/>
    <w:qFormat/>
    <w:uiPriority w:val="0"/>
    <w:rPr>
      <w:rFonts w:ascii="宋体" w:hAnsi="宋体" w:eastAsia="宋体" w:cs="宋体"/>
      <w:sz w:val="28"/>
      <w:szCs w:val="28"/>
      <w:u w:val="none"/>
      <w:shd w:val="clear" w:color="auto" w:fill="auto"/>
      <w:lang w:val="zh-TW" w:eastAsia="zh-TW" w:bidi="zh-TW"/>
    </w:rPr>
  </w:style>
  <w:style w:type="paragraph" w:customStyle="1" w:styleId="13">
    <w:name w:val="Body text|1"/>
    <w:basedOn w:val="1"/>
    <w:link w:val="12"/>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14">
    <w:name w:val="Header or footer|2_"/>
    <w:basedOn w:val="9"/>
    <w:link w:val="15"/>
    <w:qFormat/>
    <w:uiPriority w:val="0"/>
    <w:rPr>
      <w:sz w:val="20"/>
      <w:szCs w:val="20"/>
      <w:u w:val="none"/>
      <w:shd w:val="clear" w:color="auto" w:fill="auto"/>
      <w:lang w:val="zh-TW" w:eastAsia="zh-TW" w:bidi="zh-TW"/>
    </w:rPr>
  </w:style>
  <w:style w:type="paragraph" w:customStyle="1" w:styleId="15">
    <w:name w:val="Header or footer|2"/>
    <w:basedOn w:val="1"/>
    <w:link w:val="14"/>
    <w:qFormat/>
    <w:uiPriority w:val="0"/>
    <w:rPr>
      <w:sz w:val="20"/>
      <w:szCs w:val="20"/>
      <w:lang w:val="zh-TW" w:eastAsia="zh-TW" w:bidi="zh-TW"/>
    </w:rPr>
  </w:style>
  <w:style w:type="character" w:customStyle="1" w:styleId="16">
    <w:name w:val="Header or footer|1_"/>
    <w:basedOn w:val="9"/>
    <w:link w:val="17"/>
    <w:qFormat/>
    <w:uiPriority w:val="0"/>
    <w:rPr>
      <w:rFonts w:ascii="宋体" w:hAnsi="宋体" w:eastAsia="宋体" w:cs="宋体"/>
      <w:sz w:val="26"/>
      <w:szCs w:val="26"/>
      <w:u w:val="none"/>
      <w:shd w:val="clear" w:color="auto" w:fill="auto"/>
      <w:lang w:val="zh-TW" w:eastAsia="zh-TW" w:bidi="zh-TW"/>
    </w:rPr>
  </w:style>
  <w:style w:type="paragraph" w:customStyle="1" w:styleId="17">
    <w:name w:val="Header or footer|1"/>
    <w:basedOn w:val="1"/>
    <w:link w:val="16"/>
    <w:qFormat/>
    <w:uiPriority w:val="0"/>
    <w:rPr>
      <w:rFonts w:ascii="宋体" w:hAnsi="宋体" w:eastAsia="宋体" w:cs="宋体"/>
      <w:sz w:val="26"/>
      <w:szCs w:val="26"/>
      <w:lang w:val="zh-TW" w:eastAsia="zh-TW" w:bidi="zh-TW"/>
    </w:rPr>
  </w:style>
  <w:style w:type="character" w:customStyle="1" w:styleId="18">
    <w:name w:val="Body text|2_"/>
    <w:basedOn w:val="9"/>
    <w:link w:val="19"/>
    <w:qFormat/>
    <w:uiPriority w:val="0"/>
    <w:rPr>
      <w:rFonts w:ascii="宋体" w:hAnsi="宋体" w:eastAsia="宋体" w:cs="宋体"/>
      <w:sz w:val="22"/>
      <w:szCs w:val="22"/>
      <w:u w:val="none"/>
      <w:shd w:val="clear" w:color="auto" w:fill="auto"/>
      <w:lang w:val="zh-TW" w:eastAsia="zh-TW" w:bidi="zh-TW"/>
    </w:rPr>
  </w:style>
  <w:style w:type="paragraph" w:customStyle="1" w:styleId="19">
    <w:name w:val="Body text|2"/>
    <w:basedOn w:val="1"/>
    <w:link w:val="18"/>
    <w:qFormat/>
    <w:uiPriority w:val="0"/>
    <w:pPr>
      <w:spacing w:after="240"/>
    </w:pPr>
    <w:rPr>
      <w:rFonts w:ascii="宋体" w:hAnsi="宋体" w:eastAsia="宋体" w:cs="宋体"/>
      <w:sz w:val="22"/>
      <w:szCs w:val="22"/>
      <w:lang w:val="zh-TW" w:eastAsia="zh-TW" w:bidi="zh-TW"/>
    </w:rPr>
  </w:style>
  <w:style w:type="character" w:customStyle="1" w:styleId="20">
    <w:name w:val="Other|1_"/>
    <w:basedOn w:val="9"/>
    <w:link w:val="21"/>
    <w:qFormat/>
    <w:uiPriority w:val="0"/>
    <w:rPr>
      <w:rFonts w:ascii="宋体" w:hAnsi="宋体" w:eastAsia="宋体" w:cs="宋体"/>
      <w:sz w:val="28"/>
      <w:szCs w:val="28"/>
      <w:u w:val="none"/>
      <w:shd w:val="clear" w:color="auto" w:fill="auto"/>
      <w:lang w:val="zh-TW" w:eastAsia="zh-TW" w:bidi="zh-TW"/>
    </w:rPr>
  </w:style>
  <w:style w:type="paragraph" w:customStyle="1" w:styleId="21">
    <w:name w:val="Other|1"/>
    <w:basedOn w:val="1"/>
    <w:link w:val="20"/>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22">
    <w:name w:val="Other|2_"/>
    <w:basedOn w:val="9"/>
    <w:link w:val="23"/>
    <w:qFormat/>
    <w:uiPriority w:val="0"/>
    <w:rPr>
      <w:rFonts w:ascii="宋体" w:hAnsi="宋体" w:eastAsia="宋体" w:cs="宋体"/>
      <w:sz w:val="15"/>
      <w:szCs w:val="15"/>
      <w:u w:val="none"/>
      <w:shd w:val="clear" w:color="auto" w:fill="auto"/>
      <w:lang w:val="zh-TW" w:eastAsia="zh-TW" w:bidi="zh-TW"/>
    </w:rPr>
  </w:style>
  <w:style w:type="paragraph" w:customStyle="1" w:styleId="23">
    <w:name w:val="Other|2"/>
    <w:basedOn w:val="1"/>
    <w:link w:val="22"/>
    <w:qFormat/>
    <w:uiPriority w:val="0"/>
    <w:pPr>
      <w:spacing w:line="177" w:lineRule="exact"/>
      <w:jc w:val="center"/>
    </w:pPr>
    <w:rPr>
      <w:rFonts w:ascii="宋体" w:hAnsi="宋体" w:eastAsia="宋体" w:cs="宋体"/>
      <w:sz w:val="15"/>
      <w:szCs w:val="15"/>
      <w:lang w:val="zh-TW" w:eastAsia="zh-TW" w:bidi="zh-TW"/>
    </w:rPr>
  </w:style>
  <w:style w:type="character" w:customStyle="1" w:styleId="24">
    <w:name w:val="Body text|3_"/>
    <w:basedOn w:val="9"/>
    <w:link w:val="25"/>
    <w:qFormat/>
    <w:uiPriority w:val="0"/>
    <w:rPr>
      <w:rFonts w:ascii="宋体" w:hAnsi="宋体" w:eastAsia="宋体" w:cs="宋体"/>
      <w:sz w:val="15"/>
      <w:szCs w:val="15"/>
      <w:u w:val="none"/>
      <w:shd w:val="clear" w:color="auto" w:fill="auto"/>
      <w:lang w:val="zh-TW" w:eastAsia="zh-TW" w:bidi="zh-TW"/>
    </w:rPr>
  </w:style>
  <w:style w:type="paragraph" w:customStyle="1" w:styleId="25">
    <w:name w:val="Body text|3"/>
    <w:basedOn w:val="1"/>
    <w:link w:val="24"/>
    <w:qFormat/>
    <w:uiPriority w:val="0"/>
    <w:rPr>
      <w:rFonts w:ascii="宋体" w:hAnsi="宋体" w:eastAsia="宋体" w:cs="宋体"/>
      <w:sz w:val="15"/>
      <w:szCs w:val="15"/>
      <w:lang w:val="zh-TW" w:eastAsia="zh-TW" w:bidi="zh-TW"/>
    </w:rPr>
  </w:style>
  <w:style w:type="character" w:customStyle="1" w:styleId="26">
    <w:name w:val="Picture caption|1_"/>
    <w:basedOn w:val="9"/>
    <w:link w:val="27"/>
    <w:qFormat/>
    <w:uiPriority w:val="0"/>
    <w:rPr>
      <w:rFonts w:ascii="宋体" w:hAnsi="宋体" w:eastAsia="宋体" w:cs="宋体"/>
      <w:sz w:val="20"/>
      <w:szCs w:val="20"/>
      <w:u w:val="none"/>
      <w:shd w:val="clear" w:color="auto" w:fill="auto"/>
      <w:lang w:val="zh-TW" w:eastAsia="zh-TW" w:bidi="zh-TW"/>
    </w:rPr>
  </w:style>
  <w:style w:type="paragraph" w:customStyle="1" w:styleId="27">
    <w:name w:val="Picture caption|1"/>
    <w:basedOn w:val="1"/>
    <w:link w:val="26"/>
    <w:qFormat/>
    <w:uiPriority w:val="0"/>
    <w:pPr>
      <w:jc w:val="center"/>
    </w:pPr>
    <w:rPr>
      <w:rFonts w:ascii="宋体" w:hAnsi="宋体" w:eastAsia="宋体" w:cs="宋体"/>
      <w:sz w:val="20"/>
      <w:szCs w:val="20"/>
      <w:lang w:val="zh-TW" w:eastAsia="zh-TW" w:bidi="zh-TW"/>
    </w:rPr>
  </w:style>
  <w:style w:type="character" w:customStyle="1" w:styleId="28">
    <w:name w:val="页眉 Char"/>
    <w:basedOn w:val="9"/>
    <w:link w:val="6"/>
    <w:qFormat/>
    <w:uiPriority w:val="0"/>
    <w:rPr>
      <w:rFonts w:eastAsia="Times New Roman"/>
      <w:color w:val="000000"/>
      <w:sz w:val="18"/>
      <w:szCs w:val="18"/>
      <w:lang w:eastAsia="en-US" w:bidi="en-US"/>
    </w:rPr>
  </w:style>
  <w:style w:type="character" w:customStyle="1" w:styleId="29">
    <w:name w:val="页脚 Char"/>
    <w:basedOn w:val="9"/>
    <w:link w:val="5"/>
    <w:qFormat/>
    <w:uiPriority w:val="0"/>
    <w:rPr>
      <w:rFonts w:eastAsia="Times New Roman"/>
      <w:color w:val="000000"/>
      <w:sz w:val="18"/>
      <w:szCs w:val="18"/>
      <w:lang w:eastAsia="en-US" w:bidi="en-US"/>
    </w:rPr>
  </w:style>
  <w:style w:type="paragraph" w:customStyle="1" w:styleId="30">
    <w:name w:val="NOTE_Normal"/>
    <w:basedOn w:val="1"/>
    <w:next w:val="4"/>
    <w:qFormat/>
    <w:uiPriority w:val="0"/>
    <w:pPr>
      <w:spacing w:after="160" w:line="259" w:lineRule="auto"/>
      <w:jc w:val="both"/>
    </w:pPr>
    <w:rPr>
      <w:rFonts w:ascii="Calibri" w:hAnsi="Calibri" w:eastAsia="宋体" w:cs="Arial"/>
      <w:color w:val="auto"/>
      <w:kern w:val="2"/>
      <w:sz w:val="21"/>
      <w:lang w:eastAsia="zh-CN" w:bidi="ar-SA"/>
    </w:rPr>
  </w:style>
  <w:style w:type="character" w:customStyle="1" w:styleId="31">
    <w:name w:val="正文文本 Char"/>
    <w:basedOn w:val="9"/>
    <w:link w:val="4"/>
    <w:qFormat/>
    <w:uiPriority w:val="0"/>
    <w:rPr>
      <w:rFonts w:eastAsia="Times New Roman"/>
      <w:color w:val="000000"/>
      <w:sz w:val="24"/>
      <w:szCs w:val="24"/>
      <w:lang w:eastAsia="en-US" w:bidi="en-US"/>
    </w:rPr>
  </w:style>
  <w:style w:type="character" w:customStyle="1" w:styleId="32">
    <w:name w:val="font11"/>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10594</Words>
  <Characters>10962</Characters>
  <Lines>70</Lines>
  <Paragraphs>19</Paragraphs>
  <TotalTime>202</TotalTime>
  <ScaleCrop>false</ScaleCrop>
  <LinksUpToDate>false</LinksUpToDate>
  <CharactersWithSpaces>10978</CharactersWithSpaces>
  <Application>WPS Office_11.8.2.1116_F1E327BC-269C-435d-A152-05C5408002CA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2023-08-15T23:15:00Z</dcterms:created>
  <dc:creator>WPS Office</dc:creator>
  <cp:lastModifiedBy>彭裕惠</cp:lastModifiedBy>
  <dcterms:modified xsi:type="dcterms:W3CDTF">2025-09-25T16:31:15Z</dcterms:modified>
  <dc:title>KM_C364e-20200923144555</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2052-11.8.2.1116</vt:lpwstr>
  </property>
  <property fmtid="{D5CDD505-2E9C-101B-9397-08002B2CF9AE}" pid="3" name="ICV">
    <vt:lpwstr>F976D368EC8B4AD2B295DF8F5E035733_13</vt:lpwstr>
  </property>
  <property fmtid="{D5CDD505-2E9C-101B-9397-08002B2CF9AE}" pid="4" name="KSOTemplateDocerSaveRecord">
    <vt:lpwstr>eyJoZGlkIjoiZDZhZGYwNTVjNmEwZDlmYmM0M2UzYmUxZTMyY2ZhNTgiLCJ1c2VySWQiOiIyOTU1NTMyNTMifQ==</vt:lpwstr>
  </property>
</Properties>
</file>