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D56E6">
      <w:pPr>
        <w:pStyle w:val="10"/>
        <w:keepNext/>
        <w:keepLines/>
        <w:spacing w:before="0" w:after="0" w:line="560" w:lineRule="exact"/>
        <w:rPr>
          <w:rFonts w:ascii="方正小标宋简体" w:eastAsia="方正小标宋简体"/>
          <w:color w:val="auto"/>
          <w:lang w:val="en-US"/>
        </w:rPr>
      </w:pPr>
      <w:bookmarkStart w:id="54" w:name="_GoBack"/>
      <w:bookmarkEnd w:id="54"/>
      <w:bookmarkStart w:id="0" w:name="bookmark1"/>
      <w:bookmarkStart w:id="1" w:name="bookmark0"/>
      <w:bookmarkStart w:id="2" w:name="bookmark2"/>
    </w:p>
    <w:p w14:paraId="4D398F00">
      <w:pPr>
        <w:pStyle w:val="10"/>
        <w:keepNext/>
        <w:keepLines/>
        <w:spacing w:before="0" w:after="0" w:line="560" w:lineRule="exact"/>
        <w:rPr>
          <w:rFonts w:ascii="方正小标宋简体" w:eastAsia="PMingLiU"/>
          <w:color w:val="auto"/>
          <w:lang w:val="en-US"/>
        </w:rPr>
      </w:pPr>
    </w:p>
    <w:p w14:paraId="2D84B11D">
      <w:pPr>
        <w:pStyle w:val="10"/>
        <w:keepNext/>
        <w:keepLines/>
        <w:spacing w:before="0" w:after="0" w:line="560" w:lineRule="exact"/>
        <w:rPr>
          <w:rFonts w:ascii="方正小标宋简体" w:eastAsia="PMingLiU"/>
          <w:color w:val="auto"/>
          <w:lang w:val="en-US"/>
        </w:rPr>
      </w:pPr>
    </w:p>
    <w:p w14:paraId="6758D8C3">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化龙镇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末期</w:t>
      </w:r>
      <w:r>
        <w:rPr>
          <w:rFonts w:hint="eastAsia" w:ascii="方正小标宋简体" w:eastAsia="方正小标宋简体"/>
          <w:b/>
          <w:bCs/>
          <w:color w:val="auto"/>
          <w:sz w:val="44"/>
          <w:szCs w:val="44"/>
        </w:rPr>
        <w:t>评估报告</w:t>
      </w:r>
      <w:bookmarkEnd w:id="0"/>
      <w:bookmarkEnd w:id="1"/>
      <w:bookmarkEnd w:id="2"/>
    </w:p>
    <w:p w14:paraId="38E80B31">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日）</w:t>
      </w:r>
    </w:p>
    <w:p w14:paraId="623439B3">
      <w:pPr>
        <w:pStyle w:val="12"/>
        <w:spacing w:after="0" w:line="560" w:lineRule="exact"/>
        <w:ind w:firstLine="2522" w:firstLineChars="900"/>
        <w:jc w:val="both"/>
        <w:rPr>
          <w:rFonts w:ascii="仿宋_GB2312" w:eastAsia="PMingLiU"/>
          <w:b/>
          <w:color w:val="auto"/>
        </w:rPr>
      </w:pPr>
      <w:bookmarkStart w:id="3" w:name="bookmark3"/>
      <w:bookmarkStart w:id="4" w:name="bookmark4"/>
      <w:bookmarkStart w:id="5" w:name="bookmark5"/>
    </w:p>
    <w:p w14:paraId="2F5FEC54">
      <w:pPr>
        <w:pStyle w:val="12"/>
        <w:spacing w:after="0" w:line="560" w:lineRule="exact"/>
        <w:ind w:firstLine="2522" w:firstLineChars="900"/>
        <w:jc w:val="both"/>
        <w:rPr>
          <w:rFonts w:ascii="仿宋_GB2312" w:eastAsia="PMingLiU"/>
          <w:b/>
          <w:color w:val="auto"/>
        </w:rPr>
      </w:pPr>
    </w:p>
    <w:p w14:paraId="28E4FCBB">
      <w:pPr>
        <w:pStyle w:val="12"/>
        <w:spacing w:after="0" w:line="560" w:lineRule="exact"/>
        <w:ind w:firstLine="2522" w:firstLineChars="900"/>
        <w:jc w:val="both"/>
        <w:rPr>
          <w:rFonts w:ascii="仿宋_GB2312" w:eastAsia="PMingLiU"/>
          <w:b/>
          <w:color w:val="auto"/>
        </w:rPr>
      </w:pPr>
    </w:p>
    <w:p w14:paraId="022E4608">
      <w:pPr>
        <w:pStyle w:val="12"/>
        <w:spacing w:after="0" w:line="560" w:lineRule="exact"/>
        <w:ind w:firstLine="2522" w:firstLineChars="900"/>
        <w:jc w:val="both"/>
        <w:rPr>
          <w:rFonts w:ascii="仿宋_GB2312" w:eastAsia="PMingLiU"/>
          <w:b/>
          <w:color w:val="auto"/>
        </w:rPr>
      </w:pPr>
    </w:p>
    <w:p w14:paraId="5A0ABD8B">
      <w:pPr>
        <w:pStyle w:val="12"/>
        <w:spacing w:after="0" w:line="560" w:lineRule="exact"/>
        <w:ind w:firstLine="2522" w:firstLineChars="900"/>
        <w:jc w:val="both"/>
        <w:rPr>
          <w:rFonts w:ascii="仿宋_GB2312" w:eastAsia="PMingLiU"/>
          <w:b/>
          <w:color w:val="auto"/>
        </w:rPr>
      </w:pPr>
    </w:p>
    <w:p w14:paraId="63E1B6E4">
      <w:pPr>
        <w:pStyle w:val="12"/>
        <w:spacing w:after="0" w:line="560" w:lineRule="exact"/>
        <w:ind w:firstLine="2522" w:firstLineChars="900"/>
        <w:jc w:val="both"/>
        <w:rPr>
          <w:rFonts w:ascii="仿宋_GB2312" w:eastAsia="PMingLiU"/>
          <w:b/>
          <w:color w:val="auto"/>
        </w:rPr>
      </w:pPr>
    </w:p>
    <w:p w14:paraId="3D73710C">
      <w:pPr>
        <w:pStyle w:val="12"/>
        <w:spacing w:after="0" w:line="560" w:lineRule="exact"/>
        <w:ind w:firstLine="2522" w:firstLineChars="900"/>
        <w:jc w:val="both"/>
        <w:rPr>
          <w:rFonts w:ascii="仿宋_GB2312" w:eastAsia="PMingLiU"/>
          <w:b/>
          <w:color w:val="auto"/>
        </w:rPr>
      </w:pPr>
    </w:p>
    <w:p w14:paraId="505C1260">
      <w:pPr>
        <w:pStyle w:val="12"/>
        <w:spacing w:after="0" w:line="560" w:lineRule="exact"/>
        <w:ind w:firstLine="2522" w:firstLineChars="900"/>
        <w:jc w:val="both"/>
        <w:rPr>
          <w:rFonts w:ascii="仿宋_GB2312" w:eastAsia="PMingLiU"/>
          <w:b/>
          <w:color w:val="auto"/>
        </w:rPr>
      </w:pPr>
    </w:p>
    <w:p w14:paraId="78302A93">
      <w:pPr>
        <w:pStyle w:val="12"/>
        <w:spacing w:after="0" w:line="560" w:lineRule="exact"/>
        <w:ind w:firstLine="2522" w:firstLineChars="900"/>
        <w:jc w:val="both"/>
        <w:rPr>
          <w:rFonts w:ascii="仿宋_GB2312" w:eastAsia="PMingLiU"/>
          <w:b/>
          <w:color w:val="auto"/>
        </w:rPr>
      </w:pPr>
    </w:p>
    <w:p w14:paraId="15B7CDE2">
      <w:pPr>
        <w:pStyle w:val="12"/>
        <w:spacing w:after="0" w:line="560" w:lineRule="exact"/>
        <w:ind w:firstLine="2522" w:firstLineChars="900"/>
        <w:jc w:val="both"/>
        <w:rPr>
          <w:rFonts w:ascii="仿宋_GB2312" w:eastAsia="PMingLiU"/>
          <w:b/>
          <w:color w:val="auto"/>
        </w:rPr>
      </w:pPr>
    </w:p>
    <w:p w14:paraId="3681387F">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7CEE1B40">
      <w:pPr>
        <w:pStyle w:val="12"/>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化龙镇人民政府</w:t>
      </w:r>
    </w:p>
    <w:p w14:paraId="0377BAE2">
      <w:pPr>
        <w:pStyle w:val="12"/>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项目承办方：广州市番禺区普爱社会工作服务社</w:t>
      </w:r>
    </w:p>
    <w:p w14:paraId="47F72B83">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2CBEF90A">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2025年8</w:t>
      </w:r>
      <w:r>
        <w:rPr>
          <w:rFonts w:hint="eastAsia" w:ascii="仿宋_GB2312" w:eastAsia="仿宋_GB2312"/>
          <w:b/>
          <w:color w:val="auto"/>
          <w:lang w:val="en-US"/>
        </w:rPr>
        <w:t>月</w:t>
      </w:r>
      <w:r>
        <w:rPr>
          <w:rFonts w:hint="eastAsia" w:ascii="仿宋_GB2312" w:eastAsia="仿宋_GB2312"/>
          <w:b/>
          <w:color w:val="auto"/>
          <w:lang w:val="en-US" w:eastAsia="zh-CN"/>
        </w:rPr>
        <w:t>1</w:t>
      </w:r>
      <w:r>
        <w:rPr>
          <w:rFonts w:hint="eastAsia" w:ascii="仿宋_GB2312" w:eastAsia="仿宋_GB2312"/>
          <w:b/>
          <w:color w:val="auto"/>
          <w:lang w:val="en-US"/>
        </w:rPr>
        <w:t>日</w:t>
      </w:r>
    </w:p>
    <w:p w14:paraId="49D7B960">
      <w:pPr>
        <w:pStyle w:val="12"/>
        <w:spacing w:after="0" w:line="240" w:lineRule="auto"/>
        <w:ind w:firstLine="0"/>
        <w:rPr>
          <w:color w:val="auto"/>
        </w:rPr>
      </w:pPr>
    </w:p>
    <w:p w14:paraId="57861A8E">
      <w:pPr>
        <w:pStyle w:val="12"/>
        <w:spacing w:after="0" w:line="240" w:lineRule="auto"/>
        <w:ind w:firstLine="0"/>
        <w:rPr>
          <w:color w:val="auto"/>
        </w:rPr>
      </w:pPr>
    </w:p>
    <w:p w14:paraId="20C3B0DE">
      <w:pPr>
        <w:pStyle w:val="12"/>
        <w:spacing w:after="0" w:line="240" w:lineRule="auto"/>
        <w:ind w:firstLine="0"/>
        <w:rPr>
          <w:color w:val="auto"/>
        </w:rPr>
      </w:pPr>
    </w:p>
    <w:p w14:paraId="23EA1612">
      <w:pPr>
        <w:pStyle w:val="12"/>
        <w:spacing w:after="0" w:line="240" w:lineRule="auto"/>
        <w:ind w:firstLine="0"/>
        <w:rPr>
          <w:color w:val="auto"/>
        </w:rPr>
      </w:pPr>
    </w:p>
    <w:p w14:paraId="414D7AEA">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26DA6256">
      <w:pPr>
        <w:pStyle w:val="12"/>
        <w:spacing w:after="0" w:line="240" w:lineRule="auto"/>
        <w:ind w:firstLine="0"/>
        <w:rPr>
          <w:color w:val="auto"/>
        </w:rPr>
      </w:pPr>
    </w:p>
    <w:bookmarkEnd w:id="3"/>
    <w:bookmarkEnd w:id="4"/>
    <w:bookmarkEnd w:id="5"/>
    <w:p w14:paraId="2C898E71">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化龙镇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末期</w:t>
      </w:r>
      <w:r>
        <w:rPr>
          <w:rFonts w:hint="eastAsia" w:ascii="方正小标宋简体" w:eastAsia="方正小标宋简体"/>
          <w:b/>
          <w:bCs/>
          <w:color w:val="auto"/>
          <w:sz w:val="44"/>
          <w:szCs w:val="44"/>
        </w:rPr>
        <w:t>评估报告</w:t>
      </w:r>
    </w:p>
    <w:p w14:paraId="50ADC3FA">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日）</w:t>
      </w:r>
    </w:p>
    <w:p w14:paraId="4A50A70B">
      <w:pPr>
        <w:pStyle w:val="12"/>
        <w:spacing w:after="0" w:line="560" w:lineRule="exact"/>
        <w:ind w:firstLine="0"/>
        <w:rPr>
          <w:rFonts w:hint="eastAsia" w:ascii="方正小标宋简体" w:eastAsia="方正小标宋简体"/>
          <w:b/>
          <w:bCs/>
          <w:color w:val="auto"/>
          <w:sz w:val="44"/>
          <w:szCs w:val="44"/>
          <w:lang w:val="en-US" w:eastAsia="zh-CN"/>
        </w:rPr>
      </w:pPr>
    </w:p>
    <w:p w14:paraId="71A973CD">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化龙镇社工服务站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末期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12CAFA6B">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末期</w:t>
      </w:r>
      <w:r>
        <w:rPr>
          <w:rFonts w:hint="eastAsia" w:ascii="方正小标宋简体" w:eastAsia="方正小标宋简体"/>
          <w:b/>
          <w:bCs/>
          <w:color w:val="auto"/>
          <w:sz w:val="32"/>
          <w:szCs w:val="28"/>
          <w:lang w:val="en-US"/>
        </w:rPr>
        <w:t>评估背景</w:t>
      </w:r>
    </w:p>
    <w:p w14:paraId="06A68373">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8月1日，番禺区社会组织联合会5位评委及2名工作人员对化龙镇社工站展开了末期评估工作。评估为期1天，主要通过听取社工站介绍、实地考察、查阅资料、面谈（访谈）、填写问卷、入户困难群众询问等形式，对化龙镇社工站的项目管理、服务开展情况以及项目成效等方面进行评估。评估团队主要完成了以下几方面的工作：</w:t>
      </w:r>
    </w:p>
    <w:p w14:paraId="32BA8F99">
      <w:pPr>
        <w:pStyle w:val="12"/>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bookmarkStart w:id="7" w:name="bookmark2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0C6BA2EA">
      <w:pPr>
        <w:pStyle w:val="12"/>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1E70989F">
      <w:pPr>
        <w:pStyle w:val="12"/>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382F11D6">
      <w:pPr>
        <w:pStyle w:val="12"/>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77E4187C">
      <w:pPr>
        <w:pStyle w:val="12"/>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603B8115">
      <w:pPr>
        <w:pStyle w:val="12"/>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4F63B4B8">
      <w:pPr>
        <w:pStyle w:val="12"/>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4F8BFE6E">
      <w:pPr>
        <w:pStyle w:val="12"/>
        <w:keepNext w:val="0"/>
        <w:keepLines w:val="0"/>
        <w:pageBreakBefore w:val="0"/>
        <w:widowControl w:val="0"/>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14:paraId="28B50691">
      <w:pPr>
        <w:pStyle w:val="12"/>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bookmarkStart w:id="14" w:name="bookmark14"/>
      <w:bookmarkEnd w:id="14"/>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b w:val="0"/>
          <w:bCs/>
          <w:sz w:val="32"/>
          <w:szCs w:val="32"/>
          <w:lang w:eastAsia="zh-CN"/>
        </w:rPr>
        <w:t>《</w:t>
      </w:r>
      <w:r>
        <w:rPr>
          <w:rFonts w:hint="eastAsia" w:ascii="仿宋_GB2312" w:eastAsia="仿宋_GB2312"/>
          <w:b w:val="0"/>
          <w:bCs/>
          <w:sz w:val="32"/>
          <w:szCs w:val="32"/>
          <w:lang w:val="en-US" w:eastAsia="zh-CN"/>
        </w:rPr>
        <w:t>广州市社工站购买服务项目服务清单（民政领域社会工作）</w:t>
      </w:r>
      <w:r>
        <w:rPr>
          <w:rFonts w:hint="eastAsia" w:ascii="仿宋_GB2312" w:eastAsia="仿宋_GB2312"/>
          <w:b w:val="0"/>
          <w:bCs/>
          <w:sz w:val="32"/>
          <w:szCs w:val="32"/>
          <w:lang w:eastAsia="zh-CN"/>
        </w:rPr>
        <w:t>》《广州市社工站购买服务项目服务标准》《广州市社工站购买服务项目评估办法》</w:t>
      </w:r>
      <w:r>
        <w:rPr>
          <w:rFonts w:hint="eastAsia" w:ascii="仿宋_GB2312" w:eastAsia="仿宋_GB2312"/>
          <w:sz w:val="32"/>
          <w:szCs w:val="32"/>
        </w:rPr>
        <w:t>《广州市社工服务站管理办法》《广州市社工站岗位职责》《政府购买服务管理办法》《广州市社会工作服务条例》等。</w:t>
      </w:r>
    </w:p>
    <w:p w14:paraId="7AD9EFE6">
      <w:pPr>
        <w:pStyle w:val="12"/>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ascii="仿宋_GB2312" w:eastAsia="仿宋_GB2312"/>
          <w:sz w:val="32"/>
          <w:szCs w:val="32"/>
          <w:lang w:val="en-US" w:eastAsia="zh-CN"/>
        </w:rPr>
        <w:t>《广州市社工站购买服务项目评估指标体系</w:t>
      </w:r>
      <w:r>
        <w:rPr>
          <w:rFonts w:hint="eastAsia" w:ascii="仿宋_GB2312" w:eastAsia="仿宋_GB2312"/>
          <w:sz w:val="32"/>
          <w:szCs w:val="32"/>
          <w:lang w:val="en-US" w:eastAsia="zh-CN"/>
        </w:rPr>
        <w:t>》《</w:t>
      </w:r>
      <w:r>
        <w:rPr>
          <w:rFonts w:ascii="仿宋_GB2312" w:eastAsia="仿宋_GB2312"/>
          <w:sz w:val="32"/>
          <w:szCs w:val="32"/>
          <w:lang w:val="en-US" w:eastAsia="zh-CN"/>
        </w:rPr>
        <w:t>广州市社工站购买服务项目协议》。</w:t>
      </w:r>
    </w:p>
    <w:p w14:paraId="143D1971">
      <w:pPr>
        <w:pStyle w:val="12"/>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7D8A04E9">
      <w:pPr>
        <w:pStyle w:val="12"/>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5" w:name="bookmark17"/>
      <w:bookmarkEnd w:id="15"/>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36AE88AE">
      <w:pPr>
        <w:pStyle w:val="12"/>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3CD8B9A6">
      <w:pPr>
        <w:pStyle w:val="12"/>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2D703CD4">
      <w:pPr>
        <w:pStyle w:val="12"/>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0FC3AFC2">
      <w:pPr>
        <w:pStyle w:val="12"/>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769FB0A0">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2B620B7A">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三）评估阶段</w:t>
      </w:r>
    </w:p>
    <w:p w14:paraId="50C52CC6">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4798E910">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番禺区民政局会同番禺区社会组织联合会根据最新管理办法要求及化龙镇社工站项目合同期限确定评估时间，制定好评估计划和评估通知。</w:t>
      </w:r>
    </w:p>
    <w:p w14:paraId="1CD4CB01">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180E6B23">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化龙镇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1CFA2957">
      <w:pPr>
        <w:pStyle w:val="12"/>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5AB7BCB5">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评估小组根据评估计划组织实施，对化龙镇社工站提供的材料进行审阅，实地考察，进行现场评估并打分。评估小组根据公平、公正的原则，严格按照评估要求，对化龙镇社工站进行评估工作。</w:t>
      </w:r>
    </w:p>
    <w:p w14:paraId="565CFB65">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6C0BBD06">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化龙镇人民政府及化龙镇社工服务站反馈初评意见，对评估结果、存在问题及改进建议等进行沟通确认。</w:t>
      </w:r>
    </w:p>
    <w:p w14:paraId="01782DBB">
      <w:pPr>
        <w:pStyle w:val="12"/>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14:paraId="450C9705">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在评估工作结束后10个工作日内，向番禺区民政局、化龙镇人民政府及化龙镇社工服务站各出具一份评估报告，提出项目存在的问题及改进建议。</w:t>
      </w:r>
    </w:p>
    <w:p w14:paraId="50E111A3">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10E3029C">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化龙镇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14:paraId="78313E14">
      <w:pPr>
        <w:pStyle w:val="12"/>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3A98B864">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0DE001C4">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58A0274C">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lang w:val="en-US" w:eastAsia="zh-CN"/>
        </w:rPr>
        <w:t>服务对象满意度</w:t>
      </w:r>
      <w:r>
        <w:rPr>
          <w:rFonts w:hint="eastAsia" w:ascii="仿宋_GB2312" w:eastAsia="仿宋_GB2312"/>
          <w:b/>
          <w:color w:val="auto"/>
          <w:sz w:val="32"/>
          <w:szCs w:val="32"/>
        </w:rPr>
        <w:t>：</w:t>
      </w:r>
      <w:r>
        <w:rPr>
          <w:rFonts w:hint="eastAsia" w:ascii="仿宋_GB2312" w:eastAsia="仿宋_GB2312"/>
          <w:color w:val="auto"/>
          <w:sz w:val="32"/>
          <w:szCs w:val="32"/>
        </w:rPr>
        <w:t>由评估机构统筹实施，通过电访、走访、调查问卷等方式进行，随机抽取不少于100名服务对象开展满意度调查（困难群众和特殊群体总人数低于100的，按照实际人数开展全覆盖满意度调查）。</w:t>
      </w:r>
    </w:p>
    <w:p w14:paraId="54DE048E">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7F27B274">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6F21BBEF">
      <w:pPr>
        <w:pStyle w:val="12"/>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3A08F203">
      <w:pPr>
        <w:pStyle w:val="12"/>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14:paraId="5F7FC27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（一）保洁、安保等人员占用社工名额的；</w:t>
      </w:r>
    </w:p>
    <w:p w14:paraId="54A05C2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14:paraId="4A9C183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（三）持证社工比例不达标的；</w:t>
      </w:r>
    </w:p>
    <w:p w14:paraId="20390D0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（四）年度服务期内人员费用支出比例低于80%的；</w:t>
      </w:r>
    </w:p>
    <w:p w14:paraId="7593B4B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（五）限期内整改不及时、不到位的；</w:t>
      </w:r>
    </w:p>
    <w:p w14:paraId="44864D9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（六）专业评估结果为不合格的；</w:t>
      </w:r>
    </w:p>
    <w:p w14:paraId="0DF8F13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（七）财务评估结果为不合格的；</w:t>
      </w:r>
    </w:p>
    <w:p w14:paraId="2F2058A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（八）违反国家法律法规及有关规定的其他情形，情节严重的。</w:t>
      </w:r>
    </w:p>
    <w:p w14:paraId="5A7C0485">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1EBCDAEF">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7AFDC1D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highlight w:val="yellow"/>
          <w:lang w:eastAsia="zh-CN"/>
        </w:rPr>
      </w:pPr>
      <w:r>
        <w:rPr>
          <w:rFonts w:hint="eastAsia" w:ascii="仿宋_GB2312" w:eastAsia="仿宋_GB2312"/>
          <w:color w:val="auto"/>
          <w:sz w:val="32"/>
          <w:szCs w:val="32"/>
          <w:highlight w:val="none"/>
          <w:lang w:eastAsia="zh-CN"/>
        </w:rPr>
        <w:t>化龙镇</w:t>
      </w:r>
      <w:r>
        <w:rPr>
          <w:rFonts w:hint="eastAsia" w:ascii="仿宋_GB2312" w:eastAsia="仿宋_GB2312"/>
          <w:color w:val="auto"/>
          <w:sz w:val="32"/>
          <w:szCs w:val="32"/>
          <w:highlight w:val="none"/>
        </w:rPr>
        <w:t>社工站位于</w:t>
      </w:r>
      <w:r>
        <w:rPr>
          <w:rFonts w:hint="eastAsia" w:ascii="仿宋_GB2312" w:eastAsia="仿宋_GB2312"/>
          <w:color w:val="auto"/>
          <w:sz w:val="32"/>
          <w:szCs w:val="32"/>
          <w:highlight w:val="none"/>
          <w:lang w:val="en-US" w:eastAsia="zh-CN"/>
        </w:rPr>
        <w:t>番禺区化龙镇亭南路15号化龙公园星光老年之家2楼。</w:t>
      </w:r>
      <w:r>
        <w:rPr>
          <w:rFonts w:hint="eastAsia" w:ascii="仿宋_GB2312" w:eastAsia="仿宋_GB2312"/>
          <w:color w:val="auto"/>
          <w:sz w:val="32"/>
          <w:szCs w:val="32"/>
        </w:rPr>
        <w:t>化龙镇社工服务站挂牌成立于2012年6月29日，至今一直由</w:t>
      </w:r>
      <w:r>
        <w:rPr>
          <w:rFonts w:hint="eastAsia" w:ascii="仿宋_GB2312" w:eastAsia="仿宋_GB2312"/>
          <w:color w:val="auto"/>
          <w:sz w:val="32"/>
          <w:szCs w:val="32"/>
          <w:lang w:eastAsia="zh-CN"/>
        </w:rPr>
        <w:t>番禺区</w:t>
      </w:r>
      <w:r>
        <w:rPr>
          <w:rFonts w:hint="eastAsia" w:ascii="仿宋_GB2312" w:eastAsia="仿宋_GB2312"/>
          <w:color w:val="auto"/>
          <w:sz w:val="32"/>
          <w:szCs w:val="32"/>
        </w:rPr>
        <w:t>普爱社会工作服务社承接运营</w:t>
      </w:r>
      <w:r>
        <w:rPr>
          <w:rFonts w:hint="eastAsia" w:ascii="仿宋_GB2312" w:eastAsia="仿宋_GB2312"/>
          <w:color w:val="auto"/>
          <w:sz w:val="32"/>
          <w:szCs w:val="32"/>
          <w:lang w:eastAsia="zh-CN"/>
        </w:rPr>
        <w:t>，</w:t>
      </w:r>
      <w:r>
        <w:rPr>
          <w:rFonts w:hint="eastAsia" w:ascii="仿宋_GB2312" w:eastAsia="仿宋_GB2312"/>
          <w:sz w:val="32"/>
          <w:szCs w:val="32"/>
        </w:rPr>
        <w:t>社工站主要服务包括</w:t>
      </w:r>
      <w:r>
        <w:rPr>
          <w:rFonts w:hint="eastAsia" w:ascii="仿宋_GB2312" w:eastAsia="仿宋_GB2312"/>
          <w:sz w:val="32"/>
          <w:szCs w:val="32"/>
          <w:lang w:eastAsia="zh-CN"/>
        </w:rPr>
        <w:t>：党建引领服务、兜底性民生服务、基础性民生服务、普惠性民生服务四大板块</w:t>
      </w:r>
      <w:r>
        <w:rPr>
          <w:rFonts w:hint="eastAsia" w:ascii="仿宋_GB2312" w:eastAsia="仿宋_GB2312"/>
          <w:sz w:val="32"/>
          <w:szCs w:val="32"/>
        </w:rPr>
        <w:t>。</w:t>
      </w:r>
    </w:p>
    <w:p w14:paraId="67C521CC">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highlight w:val="none"/>
          <w:lang w:val="en-US" w:eastAsia="zh-CN"/>
        </w:rPr>
        <w:t>218.3</w:t>
      </w:r>
      <w:r>
        <w:rPr>
          <w:rFonts w:hint="eastAsia" w:ascii="仿宋_GB2312" w:eastAsia="仿宋_GB2312"/>
          <w:color w:val="auto"/>
          <w:sz w:val="32"/>
          <w:szCs w:val="32"/>
          <w:highlight w:val="none"/>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日。本次考核期为2024年8月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日——2025年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个月。</w:t>
      </w:r>
    </w:p>
    <w:p w14:paraId="0B3F605B">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14ADF7A2">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社工站共完成家访3000户，电访4039户，分别完成协议指标量的103.34%、103.09%；咨询个案46人，专业个案接案42人，服务节数335节，分别完成指标量102.22%，102.43%，102.13%。开展小组14个，完成84节，服务711人次，分别完成指标的100.00%、100.00%、123.44%。完成社区活动51场，服务5887人次，分别完成指标的106.00%和267.00%。发展志愿者174名，培育志愿者队伍5支，培育志愿者骨干14名，分别完成指标量的174.00%、166.67%、100.00%。（以上数据由社工站提供）。</w:t>
      </w:r>
    </w:p>
    <w:p w14:paraId="6F90A4D9">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从以上数据可知，化龙镇社工站服务指标完成情况良好，在服务进度方面整体把握到位。</w:t>
      </w:r>
    </w:p>
    <w:p w14:paraId="3AC989DF">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723C4092">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通过与社工站主任、相关人员访谈，查阅相关资料等方式了解社工站运营管理情况，汇总成以下几点：</w:t>
      </w:r>
    </w:p>
    <w:p w14:paraId="4B745955">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C861781">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26" w:name="bookmark31"/>
      <w:bookmarkEnd w:id="26"/>
      <w:r>
        <w:rPr>
          <w:rFonts w:hint="eastAsia" w:ascii="仿宋_GB2312" w:eastAsia="仿宋_GB2312"/>
          <w:color w:val="auto"/>
          <w:sz w:val="32"/>
          <w:szCs w:val="32"/>
          <w:lang w:val="en-US" w:eastAsia="zh-CN"/>
        </w:rPr>
        <w:t>（1）人员稳定，专业化程度较高。截至2025年7月31日，社工站项目共配备社工17人，社工应到219人次，实到221人次，其中，持证社工16人，持证率94.1%，持证社工应到109.5人次，实到209人次，从业3年以上社工15人，占协议社工总人数的88.24%，持续在岗17人，稳岗率为100%，人事资料归档完善，人员考勤清晰。社工继续教育时数达标率165.38%，培训记录完整。社工站项目负责人自2011年7月起从事社会服务至今，2016年6月取得社会工作师职业水平证书，2016年9月起任社工站管理岗位，从事社工服务与管理累计年限超过10年，资质和资历符合相关要求。</w:t>
      </w:r>
    </w:p>
    <w:p w14:paraId="203D9977">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质量内控制度内容具体，能较好地指导日常工作。包括定期组织工作会议，推进工作开展；组织日常服务内检，项目内部互检文书、机构内部定期组织服务质量评估等；针对评估建议制定整改方案并落实整改。</w:t>
      </w:r>
    </w:p>
    <w:p w14:paraId="65969318">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专业伦理价值规范和服务对象权益保障实践制度完善，落实情况较好。开展了相应的培训，社工学习有反思，进行了相关知识考核，也通过绩效评核方式定期评价社工的实践表现。在日常服务中，个案开展能与服务对象签署接受服务同意书，小组和活动的开展能结合相关主题内容作出安全保障，例如大型活动对天气问题、现场治安等均有预防应对措施。</w:t>
      </w:r>
    </w:p>
    <w:p w14:paraId="3EB44986">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项目能多渠道开展宣传工作。能定期通过线下宣传阵地和外展活动、线上公众号和居民群等发布服务信息，让服务对象知晓服务情况。项目周期内多次获得各级官方主流媒体的报道，也曾在《中国社会工作》《社区文化》等专业刊物发表服务案例，有效扩大了服务影响力。</w:t>
      </w:r>
    </w:p>
    <w:p w14:paraId="608FB124">
      <w:pPr>
        <w:pStyle w:val="12"/>
        <w:pageBreakBefore w:val="0"/>
        <w:widowControl w:val="0"/>
        <w:tabs>
          <w:tab w:val="left" w:pos="1355"/>
        </w:tabs>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27" w:name="bookmark36"/>
      <w:bookmarkEnd w:id="27"/>
      <w:bookmarkStart w:id="28" w:name="bookmark37"/>
      <w:bookmarkEnd w:id="28"/>
      <w:bookmarkStart w:id="29" w:name="bookmark38"/>
      <w:bookmarkEnd w:id="29"/>
      <w:bookmarkStart w:id="30" w:name="bookmark39"/>
      <w:bookmarkEnd w:id="30"/>
    </w:p>
    <w:p w14:paraId="5E6AE677">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）工作会议作为中心重要的服务质量内控机制的载体，建议重视工作会议跟进具体事项的确认以及落实，提升服务质量监测效能。</w:t>
      </w:r>
    </w:p>
    <w:p w14:paraId="5AC43125">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进一步关注专业伦理价值规范和服务对象权益保障制度的考核评价的结果应用，后续可对社工掌握薄弱的内容进行有针对性的研习；个别“接受服务同意书”告知的内容未填写完整，需完善；青少年的小组活动可完善家长知情同意的实践及资料归档；在服务意见收集反馈方面，可将现有的实践情况做好整理归档。</w:t>
      </w:r>
    </w:p>
    <w:p w14:paraId="2E8FBC2F">
      <w:pPr>
        <w:pStyle w:val="12"/>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342510F9">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F02B7F6">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1" w:name="bookmark40"/>
      <w:bookmarkEnd w:id="31"/>
    </w:p>
    <w:p w14:paraId="22FCC0F6">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服务依托“连心桥”项目得到了较为有效的落地和推进。社工站融合“党建+社工”“党建+慈善”等多种模式积极联动社区党员、企业和社区党组织的号召力，聚焦社区安全、爱国主义教育、心理健康和爱心网络搭建等困难群众和特殊群体的共性需求，加大社区党员志愿服务力度、加快社会支持网络构建、加强传统重大节日和微心愿的回应覆盖，抓手具体、共建积极，值得肯定。</w:t>
      </w:r>
    </w:p>
    <w:p w14:paraId="7ACBB540">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服务产出和指标完成积极，案例产出和研究较中期评估时丰富。社工站截止评估时共完成困难群众和特殊群体建档1053份、“红棉守护”热线畅通，服务电话访问4039个，服务台账完整；家庭探访3000个，发展志愿者174人，培育志愿骨干14名，发展志愿队伍5支、社区社会组织2个，双工联动658次，联动12支志愿队伍持续开展86次困难群体服务，惠及701人次；联动6个社区社会组织持续开展困难群众服务11次，惠及383人次。在《中国与社会工作》《社区文化》等杂志发表优秀案例2篇，指标完成执行有力、符合协议要求。</w:t>
      </w:r>
    </w:p>
    <w:p w14:paraId="141CB48B">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服务成果和社会美誉度较中期评估时有进步。经调查问卷、电访等方式调查服务对象满意度111人，其中98人满意度95%以上，综合满意度较高。社工站已在区级及以上公开媒体获得正面报道45篇次，服务对象在身心健康改善、学习或生活困难解决的成效较中期评估时有提升，合作方的感谢与认可也有进步，“妙赏奇潭”入选区2024年“全民终身学习品牌项目”，服务在辖区内外的认可度和社会影响力得到稳步提升，值得肯定。</w:t>
      </w:r>
    </w:p>
    <w:p w14:paraId="02672220">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特色项目“文化赋能+公益惠民”的做法较为创新。社工站结合辖区非遗文化传承困境和宣传效果不佳的实际，积极激活传统手艺人组织活力，全力推动“非遗体验+公益慈善+文旅打卡”的核心模式，通过非遗体验与慈善活动、文旅消费结合的创新方式探索文化与慈善协同发展的新路子，资金、资源支持和文创产品延伸的成效较过往有进步，值得肯定。</w:t>
      </w:r>
    </w:p>
    <w:p w14:paraId="5878B615">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015E5116">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2" w:name="bookmark43"/>
      <w:bookmarkEnd w:id="32"/>
      <w:bookmarkStart w:id="33" w:name="bookmark44"/>
      <w:bookmarkEnd w:id="33"/>
      <w:bookmarkStart w:id="34" w:name="bookmark45"/>
      <w:bookmarkEnd w:id="34"/>
    </w:p>
    <w:p w14:paraId="4C194EA9">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需求分析和服务设计仍需对标新体系做进一步完善和优化。建议社工站结合新评估体系对党建项目、特色服务项目、公益慈善创新项目和五社联动项目的要求，聚焦困难群众特殊群体在兜底性、基础性、普惠性方面的不同需求，进一步深入挖掘问题成因、优化项目设计、创新策略路径。</w:t>
      </w:r>
    </w:p>
    <w:p w14:paraId="4C28799B">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在地资源盘活和社会慈善资源链接仍待进一步加强，公益慈善项目的创新性、可持续性需要同步关注。建议社工站重视在地资源的梳理、对接、盘活，重视社区公益慈善资源链接的可持续性规划，加快资源整合、五社联动的方式创新，以更好地促进慈善资源的整合和社区治理的可持续发展。</w:t>
      </w:r>
    </w:p>
    <w:p w14:paraId="04D7E627">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社工的专业作用发挥和方法策略的实践应用有待进一步提升。建议社工站进一步明晰各位社工在沟通协调、知识技能、专业素养、职业晋升等方面的具体需求和成长规划，着力发挥机构、行业在问题解决、应急协同、资源整合、模式创新方面的专业支持，进</w:t>
      </w:r>
      <w:r>
        <w:rPr>
          <w:rFonts w:hint="eastAsia" w:ascii="仿宋_GB2312" w:eastAsia="仿宋_GB2312"/>
          <w:color w:val="auto"/>
          <w:sz w:val="32"/>
          <w:szCs w:val="32"/>
          <w:lang w:val="en-US" w:eastAsia="zh-CN"/>
        </w:rPr>
        <w:t>一</w:t>
      </w:r>
      <w:r>
        <w:rPr>
          <w:rFonts w:hint="eastAsia" w:ascii="仿宋_GB2312" w:eastAsia="仿宋_GB2312"/>
          <w:color w:val="auto"/>
          <w:sz w:val="32"/>
          <w:szCs w:val="32"/>
          <w:lang w:eastAsia="zh-CN"/>
        </w:rPr>
        <w:t>步夯实专业服务基础。</w:t>
      </w:r>
    </w:p>
    <w:p w14:paraId="4DC7DC40">
      <w:pPr>
        <w:pStyle w:val="12"/>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67BC8FB3">
      <w:pPr>
        <w:pStyle w:val="12"/>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第一片区：莘汀村、沙亭村、柏堂村、草堂村、复甦村</w:t>
      </w:r>
    </w:p>
    <w:p w14:paraId="17116A99">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758E1E5F">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0DA4F648">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5" w:name="bookmark46"/>
      <w:bookmarkEnd w:id="35"/>
      <w:bookmarkStart w:id="36" w:name="bookmark48"/>
      <w:bookmarkEnd w:id="36"/>
      <w:bookmarkStart w:id="37" w:name="bookmark47"/>
      <w:bookmarkEnd w:id="37"/>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困难群体</w:t>
      </w:r>
      <w:r>
        <w:rPr>
          <w:rFonts w:hint="eastAsia" w:ascii="仿宋_GB2312" w:eastAsia="仿宋_GB2312"/>
          <w:color w:val="auto"/>
          <w:sz w:val="32"/>
          <w:szCs w:val="32"/>
          <w:lang w:eastAsia="zh-CN"/>
        </w:rPr>
        <w:t>的服务执行情况，兜底对象的建档工作均按一户一档的要求完成，第一片区应建档405份，实际建档405份，服务覆盖面达到100%。另外社工能够按照评估等级的相关服务频次要求开展恒常关怀工作，截至末期，</w:t>
      </w:r>
      <w:r>
        <w:rPr>
          <w:rFonts w:hint="eastAsia" w:ascii="仿宋_GB2312" w:eastAsia="仿宋_GB2312"/>
          <w:color w:val="auto"/>
          <w:sz w:val="32"/>
          <w:szCs w:val="32"/>
          <w:lang w:val="en-US" w:eastAsia="zh-CN"/>
        </w:rPr>
        <w:t>片区社工</w:t>
      </w:r>
      <w:r>
        <w:rPr>
          <w:rFonts w:hint="eastAsia" w:ascii="仿宋_GB2312" w:eastAsia="仿宋_GB2312"/>
          <w:color w:val="auto"/>
          <w:sz w:val="32"/>
          <w:szCs w:val="32"/>
          <w:lang w:eastAsia="zh-CN"/>
        </w:rPr>
        <w:t>已经电访服务了1637人次，入户探访了1026人次。另外针对</w:t>
      </w:r>
      <w:r>
        <w:rPr>
          <w:rFonts w:hint="eastAsia" w:ascii="仿宋_GB2312" w:eastAsia="仿宋_GB2312"/>
          <w:color w:val="auto"/>
          <w:sz w:val="32"/>
          <w:szCs w:val="32"/>
          <w:lang w:val="en-US" w:eastAsia="zh-CN"/>
        </w:rPr>
        <w:t>困难群众</w:t>
      </w:r>
      <w:r>
        <w:rPr>
          <w:rFonts w:hint="eastAsia" w:ascii="仿宋_GB2312" w:eastAsia="仿宋_GB2312"/>
          <w:color w:val="auto"/>
          <w:sz w:val="32"/>
          <w:szCs w:val="32"/>
          <w:lang w:eastAsia="zh-CN"/>
        </w:rPr>
        <w:t>的个别化需求开展了专业个案11个，咨询个案10个，小组四个，共服务了337人次。</w:t>
      </w:r>
    </w:p>
    <w:p w14:paraId="1A7EA21C">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民生政策宣传工作取得了良好成效，第一片区社工深入到村居，通过讲座、入户等多种形式向有需要的居民宣传了老年人权益、青少年保护等相关政策，服务覆盖了724人次，并为5位困境群众解决了政策方面的实际问题。</w:t>
      </w:r>
    </w:p>
    <w:p w14:paraId="330D0D47">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）双工联动机制落实到位，第一片区社工多次参与到公共事件中，为事件中受影响的被家暴伤害的儿童、自杀的抑郁症患者提供及时的介入和有效帮助，积极地为陷入困境中的家庭排忧解难。</w:t>
      </w:r>
    </w:p>
    <w:p w14:paraId="50D724C4">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）第一片区的跟踪回访工作落实到位，文书查阅中抽查的已经结案的个案，社工均能在一个月内完成个案回访工作，收集案主现状信息作为服务成效的依据。</w:t>
      </w:r>
    </w:p>
    <w:p w14:paraId="0FCEB71D">
      <w:pPr>
        <w:pStyle w:val="12"/>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2A2E8926">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650C4E10">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）社区资源地图建议按照新标准进行优化，重点突出可在服务周期</w:t>
      </w:r>
      <w:r>
        <w:rPr>
          <w:rFonts w:hint="eastAsia" w:ascii="仿宋_GB2312" w:eastAsia="仿宋_GB2312"/>
          <w:b w:val="0"/>
          <w:bCs w:val="0"/>
          <w:color w:val="auto"/>
          <w:sz w:val="32"/>
          <w:szCs w:val="32"/>
          <w:lang w:val="en-US" w:eastAsia="zh-CN"/>
        </w:rPr>
        <w:t>中</w:t>
      </w:r>
      <w:r>
        <w:rPr>
          <w:rFonts w:hint="eastAsia" w:ascii="仿宋_GB2312" w:eastAsia="仿宋_GB2312"/>
          <w:b w:val="0"/>
          <w:bCs w:val="0"/>
          <w:color w:val="auto"/>
          <w:sz w:val="32"/>
          <w:szCs w:val="32"/>
          <w:lang w:eastAsia="zh-CN"/>
        </w:rPr>
        <w:t>发挥作用的社区资产，并为每个社区资产附上联络人及联系方式。</w:t>
      </w:r>
    </w:p>
    <w:p w14:paraId="55AF9271">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）第一片区社工在进行</w:t>
      </w:r>
      <w:r>
        <w:rPr>
          <w:rFonts w:hint="eastAsia" w:ascii="仿宋_GB2312" w:eastAsia="仿宋_GB2312"/>
          <w:b w:val="0"/>
          <w:bCs w:val="0"/>
          <w:color w:val="auto"/>
          <w:sz w:val="32"/>
          <w:szCs w:val="32"/>
          <w:lang w:val="en-US" w:eastAsia="zh-CN"/>
        </w:rPr>
        <w:t>服务</w:t>
      </w:r>
      <w:r>
        <w:rPr>
          <w:rFonts w:hint="eastAsia" w:ascii="仿宋_GB2312" w:eastAsia="仿宋_GB2312"/>
          <w:b w:val="0"/>
          <w:bCs w:val="0"/>
          <w:color w:val="auto"/>
          <w:sz w:val="32"/>
          <w:szCs w:val="32"/>
          <w:lang w:eastAsia="zh-CN"/>
        </w:rPr>
        <w:t>对象的评级工作时，建议社工对新的评估标准细项加强学习与理解，避免出现主观判断导致等级评估准确度不足的问题，</w:t>
      </w:r>
      <w:r>
        <w:rPr>
          <w:rFonts w:hint="eastAsia" w:ascii="仿宋_GB2312" w:eastAsia="仿宋_GB2312"/>
          <w:b w:val="0"/>
          <w:bCs w:val="0"/>
          <w:color w:val="auto"/>
          <w:sz w:val="32"/>
          <w:szCs w:val="32"/>
          <w:lang w:val="en-US" w:eastAsia="zh-CN"/>
        </w:rPr>
        <w:t>如服务对象</w:t>
      </w:r>
      <w:r>
        <w:rPr>
          <w:rFonts w:hint="eastAsia" w:ascii="仿宋_GB2312" w:eastAsia="仿宋_GB2312"/>
          <w:b w:val="0"/>
          <w:bCs w:val="0"/>
          <w:color w:val="auto"/>
          <w:sz w:val="32"/>
          <w:szCs w:val="32"/>
          <w:lang w:eastAsia="zh-CN"/>
        </w:rPr>
        <w:t>身体状况评估细项中以残疾等级来确定残疾程度的严重性。</w:t>
      </w:r>
    </w:p>
    <w:p w14:paraId="4BC59632">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困难群体</w:t>
      </w:r>
      <w:r>
        <w:rPr>
          <w:rFonts w:hint="eastAsia" w:ascii="仿宋_GB2312" w:eastAsia="仿宋_GB2312"/>
          <w:b w:val="0"/>
          <w:bCs w:val="0"/>
          <w:color w:val="auto"/>
          <w:sz w:val="32"/>
          <w:szCs w:val="32"/>
          <w:lang w:eastAsia="zh-CN"/>
        </w:rPr>
        <w:t>的恒常服务跟进记录，较多以概括性的日常关怀内容为主如提醒天气异常、居家安全等，较少记述有关服务对象的日常生活，身体状况，精神状态，人际关系，家庭互动等细节。建议日后在进行电探访服务时，强化主动挖掘需求的意识，根据不同类型的</w:t>
      </w:r>
      <w:r>
        <w:rPr>
          <w:rFonts w:hint="eastAsia" w:ascii="仿宋_GB2312" w:eastAsia="仿宋_GB2312"/>
          <w:b w:val="0"/>
          <w:bCs w:val="0"/>
          <w:color w:val="auto"/>
          <w:sz w:val="32"/>
          <w:szCs w:val="32"/>
          <w:lang w:val="en-US" w:eastAsia="zh-CN"/>
        </w:rPr>
        <w:t>服务</w:t>
      </w:r>
      <w:r>
        <w:rPr>
          <w:rFonts w:hint="eastAsia" w:ascii="仿宋_GB2312" w:eastAsia="仿宋_GB2312"/>
          <w:b w:val="0"/>
          <w:bCs w:val="0"/>
          <w:color w:val="auto"/>
          <w:sz w:val="32"/>
          <w:szCs w:val="32"/>
          <w:lang w:eastAsia="zh-CN"/>
        </w:rPr>
        <w:t>对象有侧重点地去收集更为具体和详细的资料，并以提升生活质量、降低风险为目标，来设计服务计划。如老年群体可侧重健康管理、居家安全的信息收集，精神残疾人可侧重病情管理、病发风险等方面进行信息收集。</w:t>
      </w:r>
    </w:p>
    <w:p w14:paraId="75B1683D">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东南村、水门村、塘头村、化龙社区、盛龙社区</w:t>
      </w:r>
    </w:p>
    <w:p w14:paraId="1D3236C5">
      <w:pPr>
        <w:pStyle w:val="12"/>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bookmarkStart w:id="38" w:name="bookmark57"/>
      <w:bookmarkEnd w:id="38"/>
      <w:r>
        <w:rPr>
          <w:rFonts w:hint="eastAsia" w:ascii="仿宋_GB2312" w:eastAsia="仿宋_GB2312"/>
          <w:b/>
          <w:bCs/>
          <w:color w:val="auto"/>
          <w:sz w:val="32"/>
          <w:szCs w:val="32"/>
        </w:rPr>
        <w:t>值得肯定的地方</w:t>
      </w:r>
    </w:p>
    <w:p w14:paraId="6A62E98B">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39" w:name="bookmark58"/>
      <w:bookmarkEnd w:id="39"/>
      <w:bookmarkStart w:id="40" w:name="bookmark59"/>
      <w:bookmarkEnd w:id="40"/>
    </w:p>
    <w:p w14:paraId="4241862E">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41" w:name="bookmark60"/>
      <w:bookmarkEnd w:id="41"/>
      <w:r>
        <w:rPr>
          <w:rFonts w:hint="eastAsia" w:ascii="仿宋_GB2312" w:eastAsia="仿宋_GB2312"/>
          <w:color w:val="auto"/>
          <w:sz w:val="32"/>
          <w:szCs w:val="32"/>
          <w:lang w:val="en-US" w:eastAsia="zh-CN"/>
        </w:rPr>
        <w:t>（1）该片区在服务需求摸查方面，通过焦点小组、座谈交流、访谈、问卷、既往服务数据等了解服务对象需求及社区需求，利用SWOT工具分析社区及服务对象情况，社区问题地图、资产地图、服务对象分布地图清晰；建立困难群众和特殊群体家庭信息汇总表、建立服务档案，做到特困群体服务全覆盖。截至末期评估第二片区共建档274人，建档率100%，做到“一户一档、一人一案”，动态评估，落实分级管理要求，进行电访或探访服务。</w:t>
      </w:r>
    </w:p>
    <w:p w14:paraId="6405D20F">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服务由爱相伴兜底服务计划和连心桥携手志愿关爱困难群体服务计划构成，对服务对象进行了生存环境、心理健康、社会支持方面的分析，制定年度服务计划。服务过程中通过常规定期的电访、探访、个案、小组、社区活动等执行服务计划。</w:t>
      </w:r>
    </w:p>
    <w:p w14:paraId="03B9607E">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评估周期内片区开展咨询个案9个18节，专业个案13个98节、小组6个36节、社区活动16个、兜底民生政策宣传30场，联动事务岗社工、民政、综治、来穗中心、派出所开展公共事件介入2例，解决服务对象的重点需求和疑难问题2例，产出服务案例4篇。其中抽查服务档案看到社工能够运用专业方法、技巧开展资源链接、政策支持、居家安全排查和改造、志愿者培育等服务，取得较好的成效。</w:t>
      </w:r>
    </w:p>
    <w:p w14:paraId="513494DC">
      <w:pPr>
        <w:pStyle w:val="12"/>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6C9D781A">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14:paraId="7C2AF545">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bookmarkStart w:id="42" w:name="bookmark62"/>
      <w:bookmarkEnd w:id="42"/>
      <w:bookmarkStart w:id="43" w:name="bookmark61"/>
      <w:bookmarkEnd w:id="43"/>
      <w:r>
        <w:rPr>
          <w:rFonts w:hint="eastAsia" w:ascii="仿宋_GB2312" w:eastAsia="仿宋_GB2312"/>
          <w:color w:val="auto"/>
          <w:sz w:val="32"/>
          <w:szCs w:val="32"/>
          <w:lang w:val="en-US" w:eastAsia="zh-CN"/>
        </w:rPr>
        <w:t>（1）在服务规范方面，建议结合社工服务内容调整个案服务指引中关于个案服务范围的说明，目前指引中约定了多类服务对象群体，建议针对兜底人群提出清晰的指引。在服务跟踪机制的建立及落实方面，建议针对各类型服务明确具体回访要求，如开展什么类型的服务需要回访，回访时间安排，频次等，以做到密切跟踪服务对象动态。</w:t>
      </w:r>
    </w:p>
    <w:p w14:paraId="10DA0B2E">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在服务需求调查方面，目前片区呈现的较多是兜底群体的较普遍性的生存需要和社会关系层面的，对发展性，特殊性需求的体现有待加强。服务计划的制定较概括笼统，在可操作性方面建议结合服务目标细化实施计划，使之具有可执行性和参考性。</w:t>
      </w:r>
    </w:p>
    <w:p w14:paraId="26555609">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在困难群体档案建设方面，存在记录不完整、评级依据不充分、督导意见较简单或未填写，跟进时间安排可进一步优化、服务对象基本信息有矛盾等情况，在案例撰写上未能较好地体现疑难点的处理，亮点不明显。建议团队内部做好档案检查工作，督导能够赋能支持社工做好评级及跟进计划，以目标为导向重视服务质量，提高疑难案例的处理和呈现质量。</w:t>
      </w:r>
    </w:p>
    <w:p w14:paraId="52E16ED4">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第三</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明经村、潭山村、西山村、山门村、眉山村</w:t>
      </w:r>
    </w:p>
    <w:p w14:paraId="2D7078A4">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98BC4E8">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14:paraId="28C776A9">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bookmarkStart w:id="44" w:name="bookmark65"/>
      <w:bookmarkEnd w:id="44"/>
      <w:bookmarkStart w:id="45" w:name="bookmark66"/>
      <w:bookmarkEnd w:id="45"/>
      <w:bookmarkStart w:id="46" w:name="bookmark64"/>
      <w:bookmarkEnd w:id="46"/>
      <w:bookmarkStart w:id="47" w:name="bookmark63"/>
      <w:bookmarkEnd w:id="47"/>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）“聚善惠民”困难群体支持计划分为“爱·相伴”计划与“贴心好伙伴”项目，包含微观、中观、宏观三个层面，通过多维服务策略回应了困难群众和特殊群体的多元需求。</w:t>
      </w:r>
    </w:p>
    <w:p w14:paraId="6FD6965F">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）“乡韵传承”化龙镇传统文化推广项目，创新“非遗体验+公益慈善+文旅打卡”三位一体服务模式，实现了“文化活起来，慈善火起来社区暖起来”的协同发展目标。</w:t>
      </w:r>
    </w:p>
    <w:p w14:paraId="240E2364">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）服务引入爱心企业等社区资源，以志愿服务为媒介，丰富“物质帮扶与情感关怀”的双轨服务内容，促进困难群众特殊群体与志愿者群体的双向收获与成长。</w:t>
      </w:r>
    </w:p>
    <w:p w14:paraId="0CB931BD">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4F0B6F23">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14:paraId="769F4C58">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bookmarkStart w:id="48" w:name="bookmark69"/>
      <w:bookmarkEnd w:id="48"/>
      <w:bookmarkStart w:id="49" w:name="bookmark68"/>
      <w:bookmarkEnd w:id="49"/>
      <w:bookmarkStart w:id="50" w:name="bookmark67"/>
      <w:bookmarkEnd w:id="50"/>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）服务文书细节还有提升空间，如项目背景阐述，项目框架设计，理论模式选择等。</w:t>
      </w:r>
    </w:p>
    <w:p w14:paraId="61270B34">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）疑难案例的呈现部分有需改进的地方，要在呈现完整服务过程的基础上，再拔高、提炼，突出疑难案例的指导及示范作用，更好展现社工专业服务的成效。</w:t>
      </w:r>
    </w:p>
    <w:p w14:paraId="7C208036">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14:paraId="0FD52752">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2EADF410">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人员工作态度认真负责，在日常工作中与村居保持紧密协作，积极发动整合企业、志愿者等资源，主动完成各项任务，并能协助镇政府应对各种突发工作。服务宣传形式多样，积极提炼经验及撰写案例发表，形成较好口碑。</w:t>
      </w:r>
    </w:p>
    <w:p w14:paraId="651D0EA4">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64D9C11B">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社工站持续关注和稳定社工团队。</w:t>
      </w:r>
    </w:p>
    <w:p w14:paraId="2510C0C3">
      <w:pPr>
        <w:pStyle w:val="12"/>
        <w:keepNext w:val="0"/>
        <w:keepLines w:val="0"/>
        <w:pageBreakBefore w:val="0"/>
        <w:widowControl w:val="0"/>
        <w:numPr>
          <w:ilvl w:val="0"/>
          <w:numId w:val="2"/>
        </w:numPr>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2EAF262B">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1E9DCC5C">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14:paraId="57D76FC0">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结合中期评估意见，项目团队完善了社工成长及规划需求摸查，尤其针对内部共学组织安排进行专题调研，以需求为本，成立3个成长共学小组和年度共学计划，配备2名内部督导指导各片区统筹共学活动开展，常态化推进共学活动，小组主题主要聚焦政策学习、个案理论学习及案例写作三大模块，采用“片区轮值＋督导领读＋同工分享”等方式开展共学活动，参与度高、产出丰富，在内部共学活动组织方面有一定创新探索。</w:t>
      </w:r>
    </w:p>
    <w:p w14:paraId="5FB20434">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团队重视“双工”联动服务。在站长的指导下，组织开展季度“双工联动”沟通会议，搭建“双工”信息互通平台，为“双工”紧密合作奠定基础。本服务年度内，项目社工联动事务性岗位社工，共同组织开展1次民生政策知识学习，每季度至少联动入户探访工作1次；项目社工与服务性岗位社工每月联动恒常探访困难群众和特殊群体，主要开展问题及需求评估、协助落实社会救助等民生政策，跟进疑难个案等，实现“双工”优势互补，高效协作。</w:t>
      </w:r>
    </w:p>
    <w:p w14:paraId="475A7D18">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重视成果宣传与实务研究工作。项目团队定期制作服务简报，报送至街道相关部门、15个村（居）委、服务合作单位及社区居民，促进各方对项目的了解，扩大社区宣传及影响力。同时，项目还通过拍摄社工短视频，拓展市级及以上主流媒体平台，多渠道多策略宣传服务信息。此外，承接机构通过举办年度项目大赛和优秀案例大赛，鼓励社工提炼总结服务经验，项目共有4篇案例获评机构奖项，也有案例公开发表于期刊《社区文化》。</w:t>
      </w:r>
    </w:p>
    <w:p w14:paraId="77C606AE">
      <w:pPr>
        <w:pStyle w:val="12"/>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6CB8ADF7">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经评委评估分析访谈情况和查阅项目调研、家访、个案服务等各类服务工作痕迹记录资料，该项目以下几方面需关注：</w:t>
      </w:r>
    </w:p>
    <w:p w14:paraId="37D78CB2">
      <w:pPr>
        <w:pStyle w:val="12"/>
        <w:pageBreakBefore w:val="0"/>
        <w:widowControl w:val="0"/>
        <w:numPr>
          <w:ilvl w:val="0"/>
          <w:numId w:val="3"/>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建议结合本年度社工能力提升体系实施与成效，进一步梳理、整合，注重提升体系的系统性与逻辑性，制定相应的监测方案，推动“需求分析-目标设定－计划执行－定期检视－成效总结”的闭环管理，促成学用转化。</w:t>
      </w:r>
    </w:p>
    <w:p w14:paraId="6F043BC4">
      <w:pPr>
        <w:pStyle w:val="12"/>
        <w:pageBreakBefore w:val="0"/>
        <w:widowControl w:val="0"/>
        <w:numPr>
          <w:ilvl w:val="0"/>
          <w:numId w:val="3"/>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项目团队的研究成果提炼能力有待提升。建议项目团队组建案例撰写小组，聚焦民政领域社会工作，深入挖掘亮点做法，从专业视角对服务经验进行梳理、分析和提炼，形成可推广的“化龙”实践模式，推动实务研究成果有突破。</w:t>
      </w:r>
    </w:p>
    <w:p w14:paraId="77605C8E">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3600C8B7">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社工站的反馈如下：</w:t>
      </w:r>
      <w:bookmarkStart w:id="51" w:name="bookmark85"/>
      <w:bookmarkEnd w:id="51"/>
    </w:p>
    <w:p w14:paraId="645B5A5C">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化龙镇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化龙镇</w:t>
      </w:r>
      <w:r>
        <w:rPr>
          <w:rFonts w:hint="eastAsia" w:ascii="仿宋_GB2312" w:eastAsia="仿宋_GB2312" w:hAnsiTheme="minorEastAsia"/>
          <w:color w:val="auto"/>
          <w:sz w:val="32"/>
          <w:szCs w:val="32"/>
          <w:lang w:eastAsia="zh-CN"/>
        </w:rPr>
        <w:t>社工站表示对评委们提出的意见和建议无异议。</w:t>
      </w:r>
    </w:p>
    <w:p w14:paraId="10547A78">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化龙镇人民政府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化龙镇</w:t>
      </w:r>
      <w:r>
        <w:rPr>
          <w:rFonts w:hint="eastAsia" w:ascii="仿宋_GB2312" w:eastAsia="仿宋_GB2312" w:hAnsiTheme="minorEastAsia"/>
          <w:color w:val="auto"/>
          <w:sz w:val="32"/>
          <w:szCs w:val="32"/>
          <w:lang w:eastAsia="zh-CN"/>
        </w:rPr>
        <w:t>社工站对评估报告初稿无异议。</w:t>
      </w:r>
    </w:p>
    <w:p w14:paraId="61A6F147">
      <w:pPr>
        <w:pStyle w:val="10"/>
        <w:keepNext/>
        <w:keepLines/>
        <w:pageBreakBefore w:val="0"/>
        <w:widowControl w:val="0"/>
        <w:kinsoku/>
        <w:wordWrap/>
        <w:overflowPunct/>
        <w:topLinePunct w:val="0"/>
        <w:autoSpaceDE/>
        <w:autoSpaceDN/>
        <w:bidi w:val="0"/>
        <w:adjustRightInd/>
        <w:snapToGrid/>
        <w:spacing w:before="0" w:after="0" w:line="540" w:lineRule="exact"/>
        <w:ind w:firstLine="643" w:firstLineChars="200"/>
        <w:jc w:val="both"/>
        <w:textAlignment w:val="auto"/>
        <w:rPr>
          <w:rFonts w:ascii="方正小标宋简体" w:eastAsia="方正小标宋简体"/>
          <w:b/>
          <w:bCs/>
          <w:color w:val="auto"/>
          <w:sz w:val="32"/>
          <w:szCs w:val="28"/>
          <w:lang w:val="en-US"/>
        </w:rPr>
      </w:pPr>
      <w:bookmarkStart w:id="52" w:name="bookmark86"/>
      <w:r>
        <w:rPr>
          <w:rFonts w:hint="eastAsia" w:ascii="方正小标宋简体" w:eastAsia="方正小标宋简体"/>
          <w:b/>
          <w:bCs/>
          <w:color w:val="auto"/>
          <w:sz w:val="32"/>
          <w:szCs w:val="28"/>
          <w:lang w:val="en-US"/>
        </w:rPr>
        <w:t>四</w:t>
      </w:r>
      <w:bookmarkEnd w:id="52"/>
      <w:r>
        <w:rPr>
          <w:rFonts w:hint="eastAsia" w:ascii="方正小标宋简体" w:eastAsia="方正小标宋简体"/>
          <w:b/>
          <w:bCs/>
          <w:color w:val="auto"/>
          <w:sz w:val="32"/>
          <w:szCs w:val="28"/>
          <w:lang w:val="en-US"/>
        </w:rPr>
        <w:t>、评估等级</w:t>
      </w:r>
    </w:p>
    <w:p w14:paraId="145A6A2B">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77AAC7A1">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化龙镇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末期</w:t>
      </w:r>
      <w:r>
        <w:rPr>
          <w:rFonts w:hint="eastAsia" w:ascii="仿宋_GB2312" w:eastAsia="仿宋_GB2312"/>
          <w:color w:val="auto"/>
          <w:sz w:val="32"/>
          <w:szCs w:val="32"/>
        </w:rPr>
        <w:t>评估的等级</w:t>
      </w:r>
      <w:r>
        <w:rPr>
          <w:rFonts w:hint="eastAsia" w:ascii="仿宋_GB2312" w:eastAsia="仿宋_GB2312"/>
          <w:color w:val="auto"/>
          <w:sz w:val="32"/>
          <w:szCs w:val="32"/>
          <w:highlight w:val="none"/>
        </w:rPr>
        <w:t>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优秀</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91.37</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14:paraId="28E8F28E">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1FE23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8756686">
            <w:pPr>
              <w:pStyle w:val="12"/>
              <w:spacing w:after="0" w:line="560" w:lineRule="exact"/>
              <w:jc w:val="center"/>
              <w:rPr>
                <w:rFonts w:ascii="仿宋_GB2312" w:hAnsi="仿宋_GB2312" w:eastAsia="仿宋_GB2312" w:cs="仿宋_GB2312"/>
                <w:b/>
                <w:bCs/>
                <w:lang w:val="en-US" w:eastAsia="zh-CN"/>
              </w:rPr>
            </w:pPr>
            <w:bookmarkStart w:id="53" w:name="bookmark87"/>
            <w:r>
              <w:rPr>
                <w:rFonts w:hint="eastAsia" w:ascii="仿宋_GB2312" w:hAnsi="仿宋_GB2312" w:eastAsia="仿宋_GB2312" w:cs="仿宋_GB2312"/>
                <w:b/>
                <w:bCs/>
                <w:lang w:val="en-US" w:eastAsia="zh-CN"/>
              </w:rPr>
              <w:t>评估内容</w:t>
            </w:r>
          </w:p>
        </w:tc>
        <w:tc>
          <w:tcPr>
            <w:tcW w:w="728" w:type="pct"/>
            <w:noWrap w:val="0"/>
            <w:vAlign w:val="center"/>
          </w:tcPr>
          <w:p w14:paraId="3A79ED65">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0539EAE9">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20AB9C80">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16BA0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F67E4A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bidi="ar"/>
              </w:rPr>
              <w:t>专业服务板块</w:t>
            </w:r>
          </w:p>
        </w:tc>
        <w:tc>
          <w:tcPr>
            <w:tcW w:w="1508" w:type="dxa"/>
            <w:noWrap w:val="0"/>
            <w:vAlign w:val="center"/>
          </w:tcPr>
          <w:p w14:paraId="4858AF27">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1844188F">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47.42</w:t>
            </w:r>
          </w:p>
        </w:tc>
        <w:tc>
          <w:tcPr>
            <w:tcW w:w="848" w:type="pct"/>
            <w:noWrap w:val="0"/>
            <w:vAlign w:val="center"/>
          </w:tcPr>
          <w:p w14:paraId="543B7FB2">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47.42</w:t>
            </w:r>
          </w:p>
        </w:tc>
      </w:tr>
      <w:tr w14:paraId="2424B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1298E26">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1508" w:type="dxa"/>
            <w:noWrap w:val="0"/>
            <w:vAlign w:val="center"/>
          </w:tcPr>
          <w:p w14:paraId="6367E455">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1E58A27D">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848" w:type="pct"/>
            <w:noWrap w:val="0"/>
            <w:vAlign w:val="center"/>
          </w:tcPr>
          <w:p w14:paraId="111229F5">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14:paraId="6C736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219CEBBB">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highlight w:val="none"/>
                <w:lang w:eastAsia="zh-CN" w:bidi="ar"/>
              </w:rPr>
              <w:t>督导中心</w:t>
            </w:r>
          </w:p>
        </w:tc>
        <w:tc>
          <w:tcPr>
            <w:tcW w:w="1508" w:type="dxa"/>
            <w:noWrap w:val="0"/>
            <w:vAlign w:val="center"/>
          </w:tcPr>
          <w:p w14:paraId="18072851">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430D93D8">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14.75</w:t>
            </w:r>
          </w:p>
        </w:tc>
        <w:tc>
          <w:tcPr>
            <w:tcW w:w="848" w:type="pct"/>
            <w:noWrap w:val="0"/>
            <w:vAlign w:val="center"/>
          </w:tcPr>
          <w:p w14:paraId="6280E4FD">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14.75</w:t>
            </w:r>
          </w:p>
        </w:tc>
      </w:tr>
      <w:tr w14:paraId="6351C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22A171FB">
            <w:pPr>
              <w:widowControl/>
              <w:jc w:val="center"/>
              <w:textAlignment w:val="center"/>
              <w:rPr>
                <w:rFonts w:ascii="仿宋_GB2312" w:hAnsi="仿宋_GB2312" w:eastAsia="仿宋_GB2312" w:cs="仿宋_GB2312"/>
                <w:sz w:val="28"/>
                <w:szCs w:val="28"/>
                <w:highlight w:val="yellow"/>
                <w:lang w:eastAsia="zh-CN" w:bidi="ar"/>
              </w:rPr>
            </w:pPr>
            <w:r>
              <w:rPr>
                <w:rFonts w:hint="default" w:ascii="仿宋_GB2312" w:hAnsi="仿宋_GB2312" w:eastAsia="仿宋_GB2312" w:cs="仿宋_GB2312"/>
                <w:sz w:val="28"/>
                <w:szCs w:val="28"/>
                <w:lang w:eastAsia="zh-CN" w:bidi="ar"/>
              </w:rPr>
              <w:t>监督方</w:t>
            </w:r>
          </w:p>
        </w:tc>
        <w:tc>
          <w:tcPr>
            <w:tcW w:w="1508" w:type="dxa"/>
            <w:noWrap w:val="0"/>
            <w:vAlign w:val="center"/>
          </w:tcPr>
          <w:p w14:paraId="45E7BE5C">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2F97E9AC">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c>
          <w:tcPr>
            <w:tcW w:w="848" w:type="pct"/>
            <w:noWrap w:val="0"/>
            <w:vAlign w:val="center"/>
          </w:tcPr>
          <w:p w14:paraId="5CBEC978">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r w14:paraId="2CD17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5685C5D0">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4AF42EAE">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91.37</w:t>
            </w:r>
          </w:p>
        </w:tc>
      </w:tr>
    </w:tbl>
    <w:p w14:paraId="75E583A4">
      <w:pPr>
        <w:pStyle w:val="10"/>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3"/>
      <w:r>
        <w:rPr>
          <w:rFonts w:hint="eastAsia" w:ascii="方正小标宋简体" w:eastAsia="方正小标宋简体"/>
          <w:b/>
          <w:bCs/>
          <w:color w:val="auto"/>
          <w:sz w:val="32"/>
          <w:szCs w:val="28"/>
          <w:lang w:val="en-US"/>
        </w:rPr>
        <w:t>、结语</w:t>
      </w:r>
    </w:p>
    <w:p w14:paraId="1BA3598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化龙镇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化龙镇党委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广州市番禺区普爱社会工作服务社</w:t>
      </w:r>
      <w:r>
        <w:rPr>
          <w:rFonts w:hint="eastAsia" w:ascii="仿宋_GB2312" w:eastAsia="仿宋_GB2312"/>
          <w:color w:val="auto"/>
          <w:sz w:val="32"/>
          <w:szCs w:val="32"/>
        </w:rPr>
        <w:t>的努力下，</w:t>
      </w:r>
      <w:r>
        <w:rPr>
          <w:rFonts w:hint="eastAsia" w:ascii="仿宋_GB2312" w:eastAsia="仿宋_GB2312"/>
          <w:color w:val="auto"/>
          <w:sz w:val="32"/>
          <w:szCs w:val="32"/>
          <w:lang w:eastAsia="zh-CN"/>
        </w:rPr>
        <w:t>能</w:t>
      </w:r>
      <w:r>
        <w:rPr>
          <w:rFonts w:hint="eastAsia" w:ascii="仿宋_GB2312" w:eastAsia="仿宋_GB2312"/>
          <w:color w:val="auto"/>
          <w:sz w:val="32"/>
          <w:szCs w:val="32"/>
          <w:lang w:val="en-US" w:eastAsia="zh-CN"/>
        </w:rPr>
        <w:t>坚持党的领导，积极配合镇政府的相关工作；项目人员配备充足，持证比例高；服务质量内控制度内容具体，专业伦理价值规范和服务对象权益保障实践制度完善，能较好地指导日常工作；协助镇街积极宣传政策、积极联动社区党员、企业和社区党组织的号召力，聚焦困难群众和特殊群体的共性需求，</w:t>
      </w:r>
      <w:r>
        <w:rPr>
          <w:rFonts w:hint="eastAsia" w:ascii="仿宋_GB2312" w:eastAsia="仿宋_GB2312"/>
          <w:color w:val="auto"/>
          <w:sz w:val="32"/>
          <w:szCs w:val="32"/>
          <w:lang w:eastAsia="zh-CN"/>
        </w:rPr>
        <w:t>能够根据分层分类的结果，对困难群众和特殊群体进行常态化跟进，及时发现问题，及时回应日常需求，</w:t>
      </w:r>
      <w:r>
        <w:rPr>
          <w:rFonts w:hint="eastAsia" w:ascii="仿宋_GB2312" w:eastAsia="仿宋_GB2312" w:hAnsiTheme="minorEastAsia"/>
          <w:color w:val="auto"/>
          <w:sz w:val="32"/>
          <w:szCs w:val="32"/>
          <w:lang w:val="en-US" w:eastAsia="zh-CN"/>
        </w:rPr>
        <w:t>重视服务宣传及实务案例研究提炼</w:t>
      </w:r>
      <w:r>
        <w:rPr>
          <w:rFonts w:hint="eastAsia" w:ascii="仿宋_GB2312" w:eastAsia="仿宋_GB2312"/>
          <w:color w:val="auto"/>
          <w:sz w:val="32"/>
          <w:szCs w:val="32"/>
          <w:lang w:val="en-US" w:eastAsia="zh-CN"/>
        </w:rPr>
        <w:t>。</w:t>
      </w:r>
    </w:p>
    <w:p w14:paraId="3F738CE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建议社工站需</w:t>
      </w:r>
      <w:r>
        <w:rPr>
          <w:rFonts w:hint="eastAsia" w:ascii="仿宋_GB2312" w:eastAsia="仿宋_GB2312"/>
          <w:color w:val="auto"/>
          <w:sz w:val="32"/>
          <w:szCs w:val="32"/>
          <w:lang w:eastAsia="zh-CN"/>
        </w:rPr>
        <w:t>社工站持续关注和稳定社工团队，</w:t>
      </w:r>
      <w:r>
        <w:rPr>
          <w:rFonts w:hint="eastAsia" w:ascii="仿宋_GB2312" w:eastAsia="仿宋_GB2312"/>
          <w:color w:val="auto"/>
          <w:sz w:val="32"/>
          <w:szCs w:val="32"/>
          <w:lang w:val="en-US" w:eastAsia="zh-CN"/>
        </w:rPr>
        <w:t>对需求分析和服务设计做进一步完善和优化；</w:t>
      </w:r>
      <w:r>
        <w:rPr>
          <w:rFonts w:hint="eastAsia" w:ascii="仿宋_GB2312" w:eastAsia="仿宋_GB2312"/>
          <w:color w:val="auto"/>
          <w:sz w:val="32"/>
          <w:szCs w:val="32"/>
          <w:lang w:eastAsia="zh-CN"/>
        </w:rPr>
        <w:t>加强针对困难群众和特殊群体的服务工作，</w:t>
      </w:r>
      <w:r>
        <w:rPr>
          <w:rFonts w:hint="eastAsia" w:ascii="仿宋_GB2312" w:eastAsia="仿宋_GB2312"/>
          <w:color w:val="auto"/>
          <w:sz w:val="32"/>
          <w:szCs w:val="32"/>
          <w:lang w:val="en-US" w:eastAsia="zh-CN"/>
        </w:rPr>
        <w:t>根据不同类型的兜底对象进行电访、探访服务时，强化主动挖掘需求的意识</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重视在地资源的梳理、对接、盘活，重视社区公益慈善资源链接的可持续性规划，加快资源整合。</w:t>
      </w:r>
    </w:p>
    <w:p w14:paraId="4FA221D8">
      <w:pPr>
        <w:tabs>
          <w:tab w:val="left" w:pos="7330"/>
        </w:tabs>
        <w:spacing w:line="560" w:lineRule="exact"/>
        <w:ind w:firstLine="1600" w:firstLineChars="500"/>
        <w:jc w:val="both"/>
        <w:rPr>
          <w:rFonts w:hint="eastAsia" w:ascii="仿宋_GB2312" w:eastAsia="仿宋_GB2312"/>
          <w:color w:val="auto"/>
          <w:sz w:val="32"/>
          <w:szCs w:val="32"/>
          <w:lang w:eastAsia="zh-CN"/>
        </w:rPr>
      </w:pPr>
    </w:p>
    <w:p w14:paraId="6FF3FB19">
      <w:pPr>
        <w:tabs>
          <w:tab w:val="left" w:pos="7330"/>
        </w:tabs>
        <w:spacing w:line="560" w:lineRule="exact"/>
        <w:ind w:firstLine="1600" w:firstLineChars="500"/>
        <w:jc w:val="both"/>
        <w:rPr>
          <w:rFonts w:hint="eastAsia" w:ascii="仿宋_GB2312" w:eastAsia="仿宋_GB2312"/>
          <w:color w:val="auto"/>
          <w:sz w:val="32"/>
          <w:szCs w:val="32"/>
          <w:lang w:eastAsia="zh-CN"/>
        </w:rPr>
      </w:pPr>
    </w:p>
    <w:p w14:paraId="011A354E">
      <w:pPr>
        <w:tabs>
          <w:tab w:val="left" w:pos="7330"/>
        </w:tabs>
        <w:spacing w:line="560" w:lineRule="exact"/>
        <w:ind w:firstLine="1600" w:firstLineChars="500"/>
        <w:jc w:val="both"/>
        <w:rPr>
          <w:rFonts w:hint="eastAsia" w:ascii="仿宋_GB2312" w:eastAsia="仿宋_GB2312"/>
          <w:color w:val="auto"/>
          <w:sz w:val="32"/>
          <w:szCs w:val="32"/>
          <w:lang w:eastAsia="zh-CN"/>
        </w:rPr>
      </w:pPr>
    </w:p>
    <w:p w14:paraId="50666B9C">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19AB9855">
      <w:pPr>
        <w:pStyle w:val="12"/>
        <w:spacing w:after="160" w:line="360" w:lineRule="auto"/>
        <w:ind w:firstLine="6080" w:firstLineChars="19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F3850">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ED7F4E">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2ED7F4E">
                    <w:pPr>
                      <w:pStyle w:val="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B4BD6">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C4D5D">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87C4D5D">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2">
    <w:nsid w:val="168C3B0F"/>
    <w:multiLevelType w:val="singleLevel"/>
    <w:tmpl w:val="168C3B0F"/>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55DF0"/>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19430D4"/>
    <w:rsid w:val="043B2EAD"/>
    <w:rsid w:val="052C7D2D"/>
    <w:rsid w:val="05CD061E"/>
    <w:rsid w:val="07A04328"/>
    <w:rsid w:val="09BA0A50"/>
    <w:rsid w:val="0CED1904"/>
    <w:rsid w:val="1083680B"/>
    <w:rsid w:val="11894919"/>
    <w:rsid w:val="122C2101"/>
    <w:rsid w:val="12473866"/>
    <w:rsid w:val="1351449B"/>
    <w:rsid w:val="138C2E16"/>
    <w:rsid w:val="17034184"/>
    <w:rsid w:val="19F45A67"/>
    <w:rsid w:val="1CA73D07"/>
    <w:rsid w:val="20462A50"/>
    <w:rsid w:val="20F37C9C"/>
    <w:rsid w:val="21635C00"/>
    <w:rsid w:val="231B319B"/>
    <w:rsid w:val="258159FA"/>
    <w:rsid w:val="25B42E79"/>
    <w:rsid w:val="2658430F"/>
    <w:rsid w:val="3147701F"/>
    <w:rsid w:val="32160B69"/>
    <w:rsid w:val="32794A1C"/>
    <w:rsid w:val="33027ED5"/>
    <w:rsid w:val="338F274A"/>
    <w:rsid w:val="34C21DA4"/>
    <w:rsid w:val="39D02328"/>
    <w:rsid w:val="3AEE06D4"/>
    <w:rsid w:val="3BB47C7C"/>
    <w:rsid w:val="3BC44428"/>
    <w:rsid w:val="3C734681"/>
    <w:rsid w:val="3CEF4B2F"/>
    <w:rsid w:val="3D0E630E"/>
    <w:rsid w:val="3DE87C02"/>
    <w:rsid w:val="42942629"/>
    <w:rsid w:val="46046F03"/>
    <w:rsid w:val="46CD7A34"/>
    <w:rsid w:val="47A36A87"/>
    <w:rsid w:val="486F624E"/>
    <w:rsid w:val="48950FE9"/>
    <w:rsid w:val="4A246FC0"/>
    <w:rsid w:val="4A3D3E09"/>
    <w:rsid w:val="4CF338F1"/>
    <w:rsid w:val="4D7C5695"/>
    <w:rsid w:val="4ECA5D66"/>
    <w:rsid w:val="501A5ADD"/>
    <w:rsid w:val="508067FB"/>
    <w:rsid w:val="50892358"/>
    <w:rsid w:val="50A43895"/>
    <w:rsid w:val="52DD6CAC"/>
    <w:rsid w:val="553B7BE4"/>
    <w:rsid w:val="55BB348B"/>
    <w:rsid w:val="56A40CE5"/>
    <w:rsid w:val="57C86C54"/>
    <w:rsid w:val="58072B01"/>
    <w:rsid w:val="5A113973"/>
    <w:rsid w:val="5A4A08C9"/>
    <w:rsid w:val="5C092364"/>
    <w:rsid w:val="5C627366"/>
    <w:rsid w:val="5CE67A24"/>
    <w:rsid w:val="5F5631DE"/>
    <w:rsid w:val="5FF0585E"/>
    <w:rsid w:val="639C78DE"/>
    <w:rsid w:val="68E464EF"/>
    <w:rsid w:val="68F348EA"/>
    <w:rsid w:val="69557DDE"/>
    <w:rsid w:val="69726A9D"/>
    <w:rsid w:val="6EA83A3B"/>
    <w:rsid w:val="700C6F8E"/>
    <w:rsid w:val="709E2EDA"/>
    <w:rsid w:val="75864A53"/>
    <w:rsid w:val="76001EAB"/>
    <w:rsid w:val="7AB658E0"/>
    <w:rsid w:val="7B065502"/>
    <w:rsid w:val="7B4C229B"/>
    <w:rsid w:val="7D284F5A"/>
    <w:rsid w:val="7DAC4138"/>
    <w:rsid w:val="7E76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link w:val="30"/>
    <w:autoRedefine/>
    <w:qFormat/>
    <w:uiPriority w:val="0"/>
    <w:pPr>
      <w:spacing w:after="120"/>
    </w:pPr>
  </w:style>
  <w:style w:type="paragraph" w:styleId="4">
    <w:name w:val="footer"/>
    <w:basedOn w:val="1"/>
    <w:link w:val="28"/>
    <w:autoRedefine/>
    <w:qFormat/>
    <w:uiPriority w:val="0"/>
    <w:pPr>
      <w:tabs>
        <w:tab w:val="center" w:pos="4153"/>
        <w:tab w:val="right" w:pos="8306"/>
      </w:tabs>
      <w:snapToGrid w:val="0"/>
    </w:pPr>
    <w:rPr>
      <w:sz w:val="18"/>
      <w:szCs w:val="18"/>
    </w:rPr>
  </w:style>
  <w:style w:type="paragraph" w:styleId="5">
    <w:name w:val="header"/>
    <w:basedOn w:val="1"/>
    <w:link w:val="27"/>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autoRedefine/>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autoRedefine/>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autoRedefine/>
    <w:qFormat/>
    <w:uiPriority w:val="0"/>
    <w:rPr>
      <w:sz w:val="20"/>
      <w:szCs w:val="20"/>
      <w:u w:val="none"/>
      <w:shd w:val="clear" w:color="auto" w:fill="auto"/>
      <w:lang w:val="zh-TW" w:eastAsia="zh-TW" w:bidi="zh-TW"/>
    </w:rPr>
  </w:style>
  <w:style w:type="paragraph" w:customStyle="1" w:styleId="14">
    <w:name w:val="Header or footer|2"/>
    <w:basedOn w:val="1"/>
    <w:link w:val="13"/>
    <w:autoRedefine/>
    <w:qFormat/>
    <w:uiPriority w:val="0"/>
    <w:rPr>
      <w:sz w:val="20"/>
      <w:szCs w:val="20"/>
      <w:lang w:val="zh-TW" w:eastAsia="zh-TW" w:bidi="zh-TW"/>
    </w:rPr>
  </w:style>
  <w:style w:type="character" w:customStyle="1" w:styleId="15">
    <w:name w:val="Header or footer|1_"/>
    <w:basedOn w:val="8"/>
    <w:link w:val="16"/>
    <w:autoRedefine/>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autoRedefine/>
    <w:qFormat/>
    <w:uiPriority w:val="0"/>
    <w:rPr>
      <w:rFonts w:ascii="宋体" w:hAnsi="宋体" w:eastAsia="宋体" w:cs="宋体"/>
      <w:sz w:val="26"/>
      <w:szCs w:val="26"/>
      <w:lang w:val="zh-TW" w:eastAsia="zh-TW" w:bidi="zh-TW"/>
    </w:rPr>
  </w:style>
  <w:style w:type="character" w:customStyle="1" w:styleId="17">
    <w:name w:val="Body text|2_"/>
    <w:basedOn w:val="8"/>
    <w:link w:val="18"/>
    <w:autoRedefine/>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autoRedefine/>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autoRedefine/>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autoRedefine/>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autoRedefine/>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autoRedefine/>
    <w:qFormat/>
    <w:uiPriority w:val="0"/>
    <w:rPr>
      <w:rFonts w:ascii="宋体" w:hAnsi="宋体" w:eastAsia="宋体" w:cs="宋体"/>
      <w:sz w:val="15"/>
      <w:szCs w:val="15"/>
      <w:lang w:val="zh-TW" w:eastAsia="zh-TW" w:bidi="zh-TW"/>
    </w:rPr>
  </w:style>
  <w:style w:type="character" w:customStyle="1" w:styleId="25">
    <w:name w:val="Picture caption|1_"/>
    <w:basedOn w:val="8"/>
    <w:link w:val="26"/>
    <w:autoRedefine/>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autoRedefine/>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autoRedefine/>
    <w:qFormat/>
    <w:uiPriority w:val="0"/>
    <w:rPr>
      <w:rFonts w:eastAsia="Times New Roman"/>
      <w:color w:val="000000"/>
      <w:sz w:val="18"/>
      <w:szCs w:val="18"/>
      <w:lang w:eastAsia="en-US" w:bidi="en-US"/>
    </w:rPr>
  </w:style>
  <w:style w:type="character" w:customStyle="1" w:styleId="28">
    <w:name w:val="页脚 Char"/>
    <w:basedOn w:val="8"/>
    <w:link w:val="4"/>
    <w:autoRedefine/>
    <w:qFormat/>
    <w:uiPriority w:val="0"/>
    <w:rPr>
      <w:rFonts w:eastAsia="Times New Roman"/>
      <w:color w:val="000000"/>
      <w:sz w:val="18"/>
      <w:szCs w:val="18"/>
      <w:lang w:eastAsia="en-US" w:bidi="en-US"/>
    </w:rPr>
  </w:style>
  <w:style w:type="paragraph" w:customStyle="1" w:styleId="29">
    <w:name w:val="NOTE_Normal"/>
    <w:basedOn w:val="1"/>
    <w:next w:val="3"/>
    <w:autoRedefine/>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autoRedefine/>
    <w:qFormat/>
    <w:uiPriority w:val="0"/>
    <w:rPr>
      <w:rFonts w:eastAsia="Times New Roman"/>
      <w:color w:val="000000"/>
      <w:sz w:val="24"/>
      <w:szCs w:val="24"/>
      <w:lang w:eastAsia="en-US" w:bidi="en-US"/>
    </w:rPr>
  </w:style>
  <w:style w:type="character" w:customStyle="1" w:styleId="31">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55780-2BA4-4433-9966-2B7DCE716B1E}">
  <ds:schemaRefs/>
</ds:datastoreItem>
</file>

<file path=docProps/app.xml><?xml version="1.0" encoding="utf-8"?>
<Properties xmlns="http://schemas.openxmlformats.org/officeDocument/2006/extended-properties" xmlns:vt="http://schemas.openxmlformats.org/officeDocument/2006/docPropsVTypes">
  <Template>Normal</Template>
  <Pages>17</Pages>
  <Words>10000</Words>
  <Characters>10371</Characters>
  <Lines>70</Lines>
  <Paragraphs>19</Paragraphs>
  <TotalTime>23</TotalTime>
  <ScaleCrop>false</ScaleCrop>
  <LinksUpToDate>false</LinksUpToDate>
  <CharactersWithSpaces>10373</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彭裕惠</cp:lastModifiedBy>
  <dcterms:modified xsi:type="dcterms:W3CDTF">2025-09-03T06:51:16Z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B123CC3B9A554EDEBFC349E6417F5155_13</vt:lpwstr>
  </property>
  <property fmtid="{D5CDD505-2E9C-101B-9397-08002B2CF9AE}" pid="4" name="KSOTemplateDocerSaveRecord">
    <vt:lpwstr>eyJoZGlkIjoiZDZhZGYwNTVjNmEwZDlmYmM0M2UzYmUxZTMyY2ZhNTgiLCJ1c2VySWQiOiIyOTU1NTMyNTMifQ==</vt:lpwstr>
  </property>
</Properties>
</file>