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keepLines/>
        <w:spacing w:before="0" w:after="0"/>
        <w:jc w:val="left"/>
        <w:rPr>
          <w:rFonts w:ascii="方正小标宋简体" w:eastAsia="PMingLiU"/>
          <w:lang w:val="en-US"/>
        </w:rPr>
      </w:pPr>
      <w:bookmarkStart w:id="0" w:name="bookmark2"/>
      <w:bookmarkStart w:id="1" w:name="bookmark0"/>
      <w:bookmarkStart w:id="2" w:name="bookmark1"/>
    </w:p>
    <w:p>
      <w:pPr>
        <w:pStyle w:val="9"/>
        <w:keepNext/>
        <w:keepLines/>
        <w:spacing w:before="0" w:after="0" w:line="360" w:lineRule="auto"/>
        <w:rPr>
          <w:rFonts w:ascii="方正小标宋简体" w:eastAsia="PMingLiU"/>
          <w:lang w:val="en-US"/>
        </w:rPr>
      </w:pPr>
    </w:p>
    <w:p>
      <w:pPr>
        <w:pStyle w:val="9"/>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洛浦</w:t>
      </w:r>
      <w:r>
        <w:rPr>
          <w:rFonts w:hint="eastAsia" w:ascii="方正小标宋简体" w:eastAsia="方正小标宋简体"/>
          <w:b/>
          <w:bCs/>
          <w:sz w:val="44"/>
          <w:szCs w:val="44"/>
          <w:lang w:val="en-US"/>
        </w:rPr>
        <w:t>街社工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末期</w:t>
      </w:r>
      <w:r>
        <w:rPr>
          <w:rFonts w:hint="eastAsia" w:ascii="方正小标宋简体" w:eastAsia="方正小标宋简体"/>
          <w:b/>
          <w:bCs/>
          <w:sz w:val="44"/>
          <w:szCs w:val="44"/>
        </w:rPr>
        <w:t>评估报告</w:t>
      </w:r>
      <w:bookmarkEnd w:id="0"/>
      <w:bookmarkEnd w:id="1"/>
      <w:bookmarkEnd w:id="2"/>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2024年8月6日—2025年8月5日</w:t>
      </w:r>
      <w:r>
        <w:rPr>
          <w:rFonts w:hint="eastAsia" w:ascii="方正小标宋简体" w:eastAsia="方正小标宋简体"/>
          <w:b/>
          <w:bCs/>
          <w:sz w:val="44"/>
          <w:szCs w:val="44"/>
          <w:lang w:eastAsia="zh-CN"/>
        </w:rPr>
        <w:t>）</w:t>
      </w: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_GB2312" w:hAnsi="仿宋" w:eastAsia="仿宋_GB2312"/>
          <w:sz w:val="32"/>
          <w:szCs w:val="32"/>
        </w:rPr>
      </w:pP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pPr>
        <w:pStyle w:val="11"/>
        <w:spacing w:after="0" w:line="560" w:lineRule="exact"/>
        <w:ind w:firstLine="1687"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洛浦</w:t>
      </w:r>
      <w:r>
        <w:rPr>
          <w:rFonts w:hint="eastAsia" w:ascii="仿宋_GB2312" w:hAnsi="仿宋" w:eastAsia="仿宋_GB2312"/>
          <w:b/>
          <w:sz w:val="32"/>
          <w:szCs w:val="32"/>
          <w:lang w:val="en-US"/>
        </w:rPr>
        <w:t>街道办事处</w:t>
      </w: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项目承办方：广州市</w:t>
      </w:r>
      <w:r>
        <w:rPr>
          <w:rFonts w:hint="eastAsia" w:ascii="仿宋_GB2312" w:hAnsi="仿宋" w:eastAsia="仿宋_GB2312"/>
          <w:b/>
          <w:sz w:val="32"/>
          <w:szCs w:val="32"/>
          <w:lang w:val="en-US" w:eastAsia="zh-CN"/>
        </w:rPr>
        <w:t>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pPr>
        <w:pStyle w:val="11"/>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3"/>
      <w:bookmarkStart w:id="4" w:name="bookmark4"/>
      <w:bookmarkStart w:id="5" w:name="bookmark5"/>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5</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7</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31</w:t>
      </w:r>
      <w:r>
        <w:rPr>
          <w:rFonts w:hint="eastAsia" w:ascii="仿宋_GB2312" w:hAnsi="仿宋" w:eastAsia="仿宋_GB2312" w:cs="Times New Roman"/>
          <w:b/>
          <w:sz w:val="32"/>
          <w:szCs w:val="32"/>
          <w:lang w:eastAsia="zh-CN"/>
        </w:rPr>
        <w:t>日</w:t>
      </w: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rPr>
          <w:rFonts w:eastAsia="PMingLiU"/>
        </w:rPr>
        <w:sectPr>
          <w:pgSz w:w="11900" w:h="16840"/>
          <w:pgMar w:top="1301" w:right="876" w:bottom="1373" w:left="885" w:header="457" w:footer="448" w:gutter="0"/>
          <w:cols w:space="720" w:num="1"/>
          <w:docGrid w:linePitch="360" w:charSpace="0"/>
        </w:sectPr>
      </w:pPr>
    </w:p>
    <w:p>
      <w:pPr>
        <w:pStyle w:val="11"/>
        <w:spacing w:after="0" w:line="240" w:lineRule="auto"/>
        <w:ind w:firstLine="0"/>
        <w:rPr>
          <w:rFonts w:eastAsia="PMingLiU"/>
        </w:rPr>
      </w:pPr>
    </w:p>
    <w:p>
      <w:pPr>
        <w:pStyle w:val="9"/>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洛浦</w:t>
      </w:r>
      <w:r>
        <w:rPr>
          <w:rFonts w:ascii="方正小标宋简体" w:eastAsia="方正小标宋简体"/>
          <w:b/>
          <w:bCs/>
          <w:lang w:val="en-US"/>
        </w:rPr>
        <w:t>街社工服务站</w:t>
      </w:r>
      <w:r>
        <w:rPr>
          <w:rFonts w:hint="eastAsia" w:ascii="方正小标宋简体" w:eastAsia="方正小标宋简体"/>
          <w:b/>
          <w:bCs/>
          <w:lang w:val="en-US" w:eastAsia="zh-CN"/>
        </w:rPr>
        <w:t>末期</w:t>
      </w:r>
      <w:r>
        <w:rPr>
          <w:rFonts w:ascii="方正小标宋简体" w:eastAsia="方正小标宋简体"/>
          <w:b/>
          <w:bCs/>
          <w:lang w:val="en-US"/>
        </w:rPr>
        <w:t>评估报告</w:t>
      </w:r>
      <w:bookmarkEnd w:id="3"/>
      <w:bookmarkEnd w:id="4"/>
      <w:bookmarkEnd w:id="5"/>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2024年8月6日—2025年8月5日</w:t>
      </w:r>
      <w:r>
        <w:rPr>
          <w:rFonts w:hint="eastAsia" w:ascii="方正小标宋简体" w:eastAsia="方正小标宋简体"/>
          <w:b/>
          <w:bCs/>
          <w:sz w:val="44"/>
          <w:szCs w:val="44"/>
          <w:lang w:eastAsia="zh-CN"/>
        </w:rPr>
        <w:t>）</w:t>
      </w:r>
    </w:p>
    <w:p>
      <w:pPr>
        <w:pStyle w:val="9"/>
        <w:keepNext/>
        <w:keepLines/>
        <w:spacing w:before="0" w:after="0" w:line="560" w:lineRule="exact"/>
        <w:jc w:val="both"/>
        <w:rPr>
          <w:rFonts w:ascii="方正小标宋简体" w:eastAsia="方正小标宋简体"/>
          <w:lang w:val="en-US"/>
        </w:rPr>
      </w:pP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洛浦</w:t>
      </w:r>
      <w:r>
        <w:rPr>
          <w:rFonts w:hint="eastAsia" w:ascii="仿宋_GB2312" w:eastAsia="仿宋_GB2312"/>
          <w:sz w:val="32"/>
          <w:szCs w:val="32"/>
        </w:rPr>
        <w:t>街社工服务站（简称</w:t>
      </w:r>
      <w:r>
        <w:rPr>
          <w:rFonts w:hint="eastAsia" w:ascii="仿宋_GB2312" w:eastAsia="仿宋_GB2312"/>
          <w:sz w:val="32"/>
          <w:szCs w:val="32"/>
          <w:lang w:val="en-US" w:eastAsia="zh-CN"/>
        </w:rPr>
        <w:t>洛浦街</w:t>
      </w:r>
      <w:r>
        <w:rPr>
          <w:rFonts w:hint="eastAsia" w:ascii="仿宋_GB2312" w:eastAsia="仿宋_GB2312"/>
          <w:sz w:val="32"/>
          <w:szCs w:val="32"/>
        </w:rPr>
        <w:t>社工站）</w:t>
      </w:r>
      <w:r>
        <w:rPr>
          <w:rFonts w:hint="eastAsia" w:ascii="仿宋_GB2312" w:eastAsia="仿宋_GB2312"/>
          <w:sz w:val="32"/>
          <w:szCs w:val="32"/>
          <w:lang w:eastAsia="zh-CN"/>
        </w:rPr>
        <w:t>末期</w:t>
      </w:r>
      <w:r>
        <w:rPr>
          <w:rFonts w:hint="eastAsia" w:ascii="仿宋_GB2312" w:eastAsia="仿宋_GB2312"/>
          <w:sz w:val="32"/>
          <w:szCs w:val="32"/>
        </w:rPr>
        <w:t>报告，是专业评估人员通过对</w:t>
      </w:r>
      <w:r>
        <w:rPr>
          <w:rFonts w:hint="eastAsia" w:ascii="仿宋_GB2312" w:eastAsia="仿宋_GB2312"/>
          <w:sz w:val="32"/>
          <w:szCs w:val="32"/>
          <w:lang w:val="en-US" w:eastAsia="zh-CN"/>
        </w:rPr>
        <w:t>洛浦街</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洛浦街</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夯实</w:t>
      </w:r>
      <w:r>
        <w:rPr>
          <w:rFonts w:hint="eastAsia" w:ascii="仿宋_GB2312" w:eastAsia="仿宋_GB2312"/>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末期</w:t>
      </w:r>
      <w:r>
        <w:rPr>
          <w:rFonts w:hint="eastAsia" w:ascii="方正小标宋简体" w:eastAsia="方正小标宋简体"/>
          <w:b/>
          <w:sz w:val="32"/>
          <w:szCs w:val="32"/>
        </w:rPr>
        <w:t>评估背景</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2025年7月31日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洛浦</w:t>
      </w:r>
      <w:r>
        <w:rPr>
          <w:rFonts w:hint="eastAsia" w:ascii="仿宋_GB2312" w:eastAsia="仿宋_GB2312"/>
          <w:sz w:val="32"/>
          <w:szCs w:val="32"/>
        </w:rPr>
        <w:t>社工站展开了</w:t>
      </w:r>
      <w:r>
        <w:rPr>
          <w:rFonts w:hint="eastAsia" w:ascii="仿宋_GB2312" w:eastAsia="仿宋_GB2312"/>
          <w:sz w:val="32"/>
          <w:szCs w:val="32"/>
          <w:lang w:eastAsia="zh-CN"/>
        </w:rPr>
        <w:t>末期</w:t>
      </w:r>
      <w:r>
        <w:rPr>
          <w:rFonts w:hint="eastAsia" w:ascii="仿宋_GB2312" w:eastAsia="仿宋_GB2312"/>
          <w:sz w:val="32"/>
          <w:szCs w:val="32"/>
        </w:rPr>
        <w:t>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困难群众询问</w:t>
      </w:r>
      <w:r>
        <w:rPr>
          <w:rFonts w:hint="eastAsia" w:ascii="仿宋_GB2312" w:eastAsia="仿宋_GB2312"/>
          <w:sz w:val="32"/>
          <w:szCs w:val="32"/>
        </w:rPr>
        <w:t>等形式，对</w:t>
      </w:r>
      <w:r>
        <w:rPr>
          <w:rFonts w:hint="eastAsia" w:ascii="仿宋_GB2312" w:eastAsia="仿宋_GB2312"/>
          <w:sz w:val="32"/>
          <w:szCs w:val="32"/>
          <w:lang w:eastAsia="zh-CN"/>
        </w:rPr>
        <w:t>洛浦</w:t>
      </w:r>
      <w:r>
        <w:rPr>
          <w:rFonts w:hint="eastAsia" w:ascii="仿宋_GB2312" w:eastAsia="仿宋_GB2312"/>
          <w:sz w:val="32"/>
          <w:szCs w:val="32"/>
        </w:rPr>
        <w:t>社工站的项目管理、服务开展情况以及项目成效等方面进行评估。评估团队主要完成了以下几方面的工作：</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bookmarkStart w:id="7" w:name="bookmark2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1"/>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1"/>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4" w:name="bookmark14"/>
      <w:bookmarkEnd w:id="14"/>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b w:val="0"/>
          <w:bCs/>
          <w:sz w:val="32"/>
          <w:szCs w:val="32"/>
          <w:lang w:eastAsia="zh-CN"/>
        </w:rPr>
        <w:t>《</w:t>
      </w:r>
      <w:r>
        <w:rPr>
          <w:rFonts w:hint="eastAsia" w:ascii="仿宋_GB2312" w:eastAsia="仿宋_GB2312"/>
          <w:b w:val="0"/>
          <w:bCs/>
          <w:sz w:val="32"/>
          <w:szCs w:val="32"/>
          <w:lang w:val="en-US" w:eastAsia="zh-CN"/>
        </w:rPr>
        <w:t>广州市社工站购买服务项目服务清单（民政领域社会工作）</w:t>
      </w:r>
      <w:r>
        <w:rPr>
          <w:rFonts w:hint="eastAsia" w:ascii="仿宋_GB2312" w:eastAsia="仿宋_GB2312"/>
          <w:b w:val="0"/>
          <w:bCs/>
          <w:sz w:val="32"/>
          <w:szCs w:val="32"/>
          <w:lang w:eastAsia="zh-CN"/>
        </w:rPr>
        <w:t>》《广州市社工站购买服务项目服务标准》《广州市社工站购买服务项目评估办法》</w:t>
      </w:r>
      <w:r>
        <w:rPr>
          <w:rFonts w:hint="eastAsia" w:ascii="仿宋_GB2312" w:eastAsia="仿宋_GB2312"/>
          <w:sz w:val="32"/>
          <w:szCs w:val="32"/>
        </w:rPr>
        <w:t>《广州市社工服务站管理办法》《广州市社工站岗位职责》《政府购买服务管理办法》《广州市社会工作服务条例》等。</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ascii="仿宋_GB2312" w:eastAsia="仿宋_GB2312"/>
          <w:sz w:val="32"/>
          <w:szCs w:val="32"/>
          <w:lang w:val="en-US" w:eastAsia="zh-CN"/>
        </w:rPr>
        <w:t>《广州市社工站购买服务项目评估指标体系</w:t>
      </w:r>
      <w:r>
        <w:rPr>
          <w:rFonts w:hint="eastAsia" w:ascii="仿宋_GB2312" w:eastAsia="仿宋_GB2312"/>
          <w:sz w:val="32"/>
          <w:szCs w:val="32"/>
          <w:lang w:val="en-US" w:eastAsia="zh-CN"/>
        </w:rPr>
        <w:t>》《</w:t>
      </w:r>
      <w:r>
        <w:rPr>
          <w:rFonts w:ascii="仿宋_GB2312" w:eastAsia="仿宋_GB2312"/>
          <w:sz w:val="32"/>
          <w:szCs w:val="32"/>
          <w:lang w:val="en-US" w:eastAsia="zh-CN"/>
        </w:rPr>
        <w:t>广州市社工站购买服务项目协议》。</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1"/>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5" w:name="bookmark17"/>
      <w:bookmarkEnd w:id="15"/>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1"/>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7"/>
      <w:r>
        <w:rPr>
          <w:rFonts w:hint="eastAsia" w:ascii="仿宋_GB2312" w:eastAsia="仿宋_GB2312"/>
          <w:b/>
          <w:sz w:val="32"/>
          <w:szCs w:val="32"/>
        </w:rPr>
        <w:t>三）评估阶段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番禺区民政局会同番禺区社会组织联合会根据最新管理办法要求及洛浦街社工站项目合同期限确定评估时间，制定好评估计划和评估通知。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洛浦街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1"/>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评估小组根据评估计划组织实施，对洛浦街社工站提供的材料进行审阅，实地考察，进行现场评估并打分。评估小组根据公平、公正的原则，严格按照评估要求，对洛浦街社工站进行评估工作。</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洛浦街道办事处及洛浦街社工服务站反馈初评意见，对评估结果、存在问题及改进建议等进行沟通确认。</w:t>
      </w:r>
    </w:p>
    <w:p>
      <w:pPr>
        <w:pStyle w:val="11"/>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在评估工作结束后10个工作日内，向番禺区民政局、洛浦街道办事处及洛浦街社工服务站各出具一份评估报告，提出项目存在的问题及改进建议。</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洛浦街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lang w:val="en-US" w:eastAsia="zh-CN"/>
        </w:rPr>
        <w:t>服务对象满意度</w:t>
      </w:r>
      <w:r>
        <w:rPr>
          <w:rFonts w:hint="eastAsia" w:ascii="仿宋_GB2312" w:eastAsia="仿宋_GB2312"/>
          <w:b/>
          <w:color w:val="auto"/>
          <w:sz w:val="32"/>
          <w:szCs w:val="32"/>
        </w:rPr>
        <w:t>：</w:t>
      </w:r>
      <w:r>
        <w:rPr>
          <w:rFonts w:hint="eastAsia" w:ascii="仿宋_GB2312" w:eastAsia="仿宋_GB2312"/>
          <w:color w:val="auto"/>
          <w:sz w:val="32"/>
          <w:szCs w:val="32"/>
        </w:rPr>
        <w:t>由评估机构统筹实施，通过电访、走访、调查问卷等方式进行，随机抽取不少于100名服务对象开展满意度调查（困难群众和特殊群体总人数低于100的，按照实际人数开展全覆盖满意度调查）。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60分至80分（不含80分）为合格，60分以下（不含60分）为不合格。评估中若发现有下列情形之一的，评估结果也定为不合格：</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（八）违反国家法律法规及有关规定的其他情形，情节严重的。</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洛浦街</w:t>
      </w:r>
      <w:r>
        <w:rPr>
          <w:rFonts w:hint="eastAsia" w:ascii="仿宋_GB2312" w:eastAsia="仿宋_GB2312"/>
          <w:sz w:val="32"/>
          <w:szCs w:val="32"/>
        </w:rPr>
        <w:t>社工站位于</w:t>
      </w:r>
      <w:r>
        <w:rPr>
          <w:rFonts w:hint="eastAsia" w:ascii="仿宋_GB2312" w:eastAsia="仿宋_GB2312"/>
          <w:sz w:val="32"/>
          <w:szCs w:val="32"/>
          <w:lang w:eastAsia="zh-CN"/>
        </w:rPr>
        <w:t>番禺区浦华路 606 号碧乐时光二楼</w:t>
      </w:r>
      <w:r>
        <w:rPr>
          <w:rFonts w:hint="eastAsia" w:ascii="仿宋_GB2312" w:eastAsia="仿宋_GB2312"/>
          <w:sz w:val="32"/>
          <w:szCs w:val="32"/>
        </w:rPr>
        <w:t>，2019年9月至今，由</w:t>
      </w:r>
      <w:r>
        <w:rPr>
          <w:rFonts w:hint="eastAsia" w:ascii="仿宋_GB2312" w:eastAsia="仿宋_GB2312"/>
          <w:sz w:val="32"/>
          <w:szCs w:val="32"/>
          <w:lang w:val="en-US" w:eastAsia="zh-CN"/>
        </w:rPr>
        <w:t>广州市阳光天使</w:t>
      </w:r>
      <w:r>
        <w:rPr>
          <w:rFonts w:hint="eastAsia" w:ascii="仿宋_GB2312" w:eastAsia="仿宋_GB2312"/>
          <w:sz w:val="32"/>
          <w:szCs w:val="32"/>
        </w:rPr>
        <w:t>社会工作服务</w:t>
      </w:r>
      <w:r>
        <w:rPr>
          <w:rFonts w:hint="eastAsia" w:ascii="仿宋_GB2312" w:eastAsia="仿宋_GB2312"/>
          <w:sz w:val="32"/>
          <w:szCs w:val="32"/>
          <w:lang w:eastAsia="zh-CN"/>
        </w:rPr>
        <w:t>中</w:t>
      </w:r>
      <w:r>
        <w:rPr>
          <w:rFonts w:hint="eastAsia" w:ascii="仿宋_GB2312" w:eastAsia="仿宋_GB2312"/>
          <w:sz w:val="32"/>
          <w:szCs w:val="32"/>
        </w:rPr>
        <w:t>心负责运营。</w:t>
      </w:r>
      <w:r>
        <w:rPr>
          <w:rFonts w:hint="eastAsia" w:ascii="仿宋_GB2312" w:eastAsia="仿宋_GB2312"/>
          <w:sz w:val="32"/>
          <w:szCs w:val="32"/>
          <w:lang w:eastAsia="zh-CN"/>
        </w:rPr>
        <w:t>洛浦街</w:t>
      </w:r>
      <w:r>
        <w:rPr>
          <w:rFonts w:hint="eastAsia" w:ascii="仿宋_GB2312" w:eastAsia="仿宋_GB2312"/>
          <w:sz w:val="32"/>
          <w:szCs w:val="32"/>
        </w:rPr>
        <w:t>社工站主要服务包括</w:t>
      </w:r>
      <w:r>
        <w:rPr>
          <w:rFonts w:hint="eastAsia" w:ascii="仿宋_GB2312" w:eastAsia="仿宋_GB2312"/>
          <w:sz w:val="32"/>
          <w:szCs w:val="32"/>
          <w:lang w:eastAsia="zh-CN"/>
        </w:rPr>
        <w:t>：党建引领服务、兜底性民生服务、基础性民生服务、普惠性民生服务四大板块。</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w:t>
      </w:r>
      <w:r>
        <w:rPr>
          <w:rFonts w:hint="eastAsia" w:ascii="仿宋_GB2312" w:eastAsia="仿宋_GB2312"/>
          <w:sz w:val="32"/>
          <w:szCs w:val="32"/>
        </w:rPr>
        <w:t>社工站配备工作人员</w:t>
      </w:r>
      <w:r>
        <w:rPr>
          <w:rFonts w:hint="eastAsia" w:ascii="仿宋_GB2312" w:eastAsia="仿宋_GB2312"/>
          <w:sz w:val="32"/>
          <w:szCs w:val="32"/>
          <w:lang w:val="en-US" w:eastAsia="zh-CN"/>
        </w:rPr>
        <w:t>17</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11</w:t>
      </w:r>
      <w:r>
        <w:rPr>
          <w:rFonts w:hint="eastAsia" w:ascii="仿宋_GB2312" w:eastAsia="仿宋_GB2312"/>
          <w:sz w:val="32"/>
          <w:szCs w:val="32"/>
        </w:rPr>
        <w:t>名（</w:t>
      </w:r>
      <w:r>
        <w:rPr>
          <w:rFonts w:hint="eastAsia" w:ascii="仿宋_GB2312" w:eastAsia="仿宋_GB2312"/>
          <w:sz w:val="32"/>
          <w:szCs w:val="32"/>
          <w:lang w:val="en-US" w:eastAsia="zh-CN"/>
        </w:rPr>
        <w:t>6</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5</w:t>
      </w:r>
      <w:r>
        <w:rPr>
          <w:rFonts w:hint="eastAsia" w:ascii="仿宋_GB2312" w:eastAsia="仿宋_GB2312"/>
          <w:sz w:val="32"/>
          <w:szCs w:val="32"/>
        </w:rPr>
        <w:t>名助理社工师），</w:t>
      </w:r>
      <w:r>
        <w:rPr>
          <w:rFonts w:hint="eastAsia" w:ascii="仿宋_GB2312" w:eastAsia="仿宋_GB2312"/>
          <w:sz w:val="32"/>
          <w:szCs w:val="32"/>
          <w:lang w:val="en-US" w:eastAsia="zh-CN"/>
        </w:rPr>
        <w:t>其他</w:t>
      </w:r>
      <w:r>
        <w:rPr>
          <w:rFonts w:hint="eastAsia" w:ascii="仿宋_GB2312" w:eastAsia="仿宋_GB2312"/>
          <w:sz w:val="32"/>
          <w:szCs w:val="32"/>
        </w:rPr>
        <w:t>人员</w:t>
      </w:r>
      <w:r>
        <w:rPr>
          <w:rFonts w:hint="eastAsia" w:ascii="仿宋_GB2312" w:eastAsia="仿宋_GB2312"/>
          <w:sz w:val="32"/>
          <w:szCs w:val="32"/>
          <w:lang w:val="en-US" w:eastAsia="zh-CN"/>
        </w:rPr>
        <w:t>6</w:t>
      </w:r>
      <w:r>
        <w:rPr>
          <w:rFonts w:hint="eastAsia" w:ascii="仿宋_GB2312" w:eastAsia="仿宋_GB2312"/>
          <w:sz w:val="32"/>
          <w:szCs w:val="32"/>
        </w:rPr>
        <w:t>名。此外，社工站配备督导</w:t>
      </w:r>
      <w:r>
        <w:rPr>
          <w:rFonts w:hint="eastAsia" w:ascii="仿宋_GB2312" w:eastAsia="仿宋_GB2312"/>
          <w:sz w:val="32"/>
          <w:szCs w:val="32"/>
          <w:lang w:val="en-US" w:eastAsia="zh-CN"/>
        </w:rPr>
        <w:t>4</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8</w:t>
      </w:r>
      <w:r>
        <w:rPr>
          <w:rFonts w:hint="eastAsia" w:ascii="仿宋_GB2312" w:eastAsia="仿宋_GB2312"/>
          <w:sz w:val="32"/>
          <w:szCs w:val="32"/>
        </w:rPr>
        <w:t>年以上。</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211.46</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月6日至202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月5日</w:t>
      </w:r>
      <w:r>
        <w:rPr>
          <w:rFonts w:hint="eastAsia" w:ascii="仿宋_GB2312" w:eastAsia="仿宋_GB2312"/>
          <w:sz w:val="32"/>
          <w:szCs w:val="32"/>
        </w:rPr>
        <w:t>。本次考核期为2024年8月</w:t>
      </w:r>
      <w:r>
        <w:rPr>
          <w:rFonts w:hint="eastAsia" w:ascii="仿宋_GB2312" w:eastAsia="仿宋_GB2312"/>
          <w:sz w:val="32"/>
          <w:szCs w:val="32"/>
          <w:lang w:val="en-US" w:eastAsia="zh-CN"/>
        </w:rPr>
        <w:t>6</w:t>
      </w:r>
      <w:r>
        <w:rPr>
          <w:rFonts w:hint="eastAsia" w:ascii="仿宋_GB2312" w:eastAsia="仿宋_GB2312"/>
          <w:sz w:val="32"/>
          <w:szCs w:val="32"/>
        </w:rPr>
        <w:t>日——2025年</w:t>
      </w:r>
      <w:r>
        <w:rPr>
          <w:rFonts w:hint="eastAsia" w:ascii="仿宋_GB2312" w:eastAsia="仿宋_GB2312"/>
          <w:sz w:val="32"/>
          <w:szCs w:val="32"/>
          <w:lang w:val="en-US" w:eastAsia="zh-CN"/>
        </w:rPr>
        <w:t>7</w:t>
      </w:r>
      <w:r>
        <w:rPr>
          <w:rFonts w:hint="eastAsia" w:ascii="仿宋_GB2312" w:eastAsia="仿宋_GB2312"/>
          <w:sz w:val="32"/>
          <w:szCs w:val="32"/>
        </w:rPr>
        <w:t>月31日，考核</w:t>
      </w:r>
      <w:r>
        <w:rPr>
          <w:rFonts w:hint="eastAsia" w:ascii="仿宋_GB2312" w:eastAsia="仿宋_GB2312"/>
          <w:sz w:val="32"/>
          <w:szCs w:val="32"/>
          <w:lang w:val="en-US" w:eastAsia="zh-CN"/>
        </w:rPr>
        <w:t>12</w:t>
      </w:r>
      <w:r>
        <w:rPr>
          <w:rFonts w:hint="eastAsia" w:ascii="仿宋_GB2312" w:eastAsia="仿宋_GB2312"/>
          <w:sz w:val="32"/>
          <w:szCs w:val="32"/>
        </w:rPr>
        <w:t>个月。</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2394</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11738人次</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完成协议指标量的</w:t>
      </w:r>
      <w:r>
        <w:rPr>
          <w:rFonts w:hint="eastAsia" w:ascii="仿宋_GB2312" w:eastAsia="仿宋_GB2312"/>
          <w:sz w:val="32"/>
          <w:szCs w:val="32"/>
          <w:lang w:val="en-US" w:eastAsia="zh-CN"/>
        </w:rPr>
        <w:t>159.60</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782.53%</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个案接案</w:t>
      </w:r>
      <w:r>
        <w:rPr>
          <w:rFonts w:hint="eastAsia" w:ascii="仿宋_GB2312" w:eastAsia="仿宋_GB2312"/>
          <w:sz w:val="32"/>
          <w:szCs w:val="32"/>
          <w:lang w:val="en-US" w:eastAsia="zh-CN"/>
        </w:rPr>
        <w:t>56</w:t>
      </w:r>
      <w:r>
        <w:rPr>
          <w:rFonts w:hint="eastAsia" w:ascii="仿宋_GB2312" w:eastAsia="仿宋_GB2312"/>
          <w:sz w:val="32"/>
          <w:szCs w:val="32"/>
        </w:rPr>
        <w:t>个，</w:t>
      </w:r>
      <w:r>
        <w:rPr>
          <w:rFonts w:hint="eastAsia" w:ascii="仿宋_GB2312" w:eastAsia="仿宋_GB2312"/>
          <w:sz w:val="32"/>
          <w:szCs w:val="32"/>
          <w:lang w:val="en-US" w:eastAsia="zh-CN"/>
        </w:rPr>
        <w:t>312节，</w:t>
      </w:r>
      <w:r>
        <w:rPr>
          <w:rFonts w:hint="eastAsia" w:ascii="仿宋_GB2312" w:eastAsia="仿宋_GB2312"/>
          <w:sz w:val="32"/>
          <w:szCs w:val="32"/>
        </w:rPr>
        <w:t>完成协议指标量的</w:t>
      </w:r>
      <w:r>
        <w:rPr>
          <w:rFonts w:hint="eastAsia" w:ascii="仿宋_GB2312" w:eastAsia="仿宋_GB2312"/>
          <w:sz w:val="32"/>
          <w:szCs w:val="32"/>
          <w:lang w:val="en-US" w:eastAsia="zh-CN"/>
        </w:rPr>
        <w:t>124.44</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138.67%</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15</w:t>
      </w:r>
      <w:r>
        <w:rPr>
          <w:rFonts w:hint="eastAsia" w:ascii="仿宋_GB2312" w:eastAsia="仿宋_GB2312"/>
          <w:sz w:val="32"/>
          <w:szCs w:val="32"/>
        </w:rPr>
        <w:t>个，</w:t>
      </w:r>
      <w:r>
        <w:rPr>
          <w:rFonts w:hint="eastAsia" w:ascii="仿宋_GB2312" w:eastAsia="仿宋_GB2312"/>
          <w:sz w:val="32"/>
          <w:szCs w:val="32"/>
          <w:lang w:val="en-US" w:eastAsia="zh-CN"/>
        </w:rPr>
        <w:t>78节，服务676人次，</w:t>
      </w:r>
      <w:r>
        <w:rPr>
          <w:rFonts w:hint="eastAsia" w:ascii="仿宋_GB2312" w:eastAsia="仿宋_GB2312"/>
          <w:sz w:val="32"/>
          <w:szCs w:val="32"/>
        </w:rPr>
        <w:t>完成协议指标量的</w:t>
      </w:r>
      <w:r>
        <w:rPr>
          <w:rFonts w:hint="eastAsia" w:ascii="仿宋_GB2312" w:eastAsia="仿宋_GB2312"/>
          <w:sz w:val="32"/>
          <w:szCs w:val="32"/>
          <w:lang w:val="en-US" w:eastAsia="zh-CN"/>
        </w:rPr>
        <w:t>125.00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130.00%、225.33%</w:t>
      </w:r>
      <w:r>
        <w:rPr>
          <w:rFonts w:hint="eastAsia" w:ascii="仿宋_GB2312" w:hAnsi="Times New Roman" w:eastAsia="仿宋_GB2312" w:cs="Times New Roman"/>
          <w:sz w:val="32"/>
          <w:szCs w:val="32"/>
        </w:rPr>
        <w:t xml:space="preserve">; </w:t>
      </w:r>
      <w:r>
        <w:rPr>
          <w:rFonts w:hint="eastAsia" w:ascii="仿宋_GB2312" w:eastAsia="仿宋_GB2312"/>
          <w:sz w:val="32"/>
          <w:szCs w:val="32"/>
        </w:rPr>
        <w:t>完成社区活动</w:t>
      </w:r>
      <w:r>
        <w:rPr>
          <w:rFonts w:hint="eastAsia" w:ascii="仿宋_GB2312" w:eastAsia="仿宋_GB2312"/>
          <w:sz w:val="32"/>
          <w:szCs w:val="32"/>
          <w:lang w:val="en-US" w:eastAsia="zh-CN"/>
        </w:rPr>
        <w:t>174</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30192人次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271.88</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2358.75</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培育志愿者150名，志愿者骨干36名，培育志愿者队伍5支，分别完成指标的150.00%、100.00%、100.00%。（以上数据由社工站提供，各项目指标完成情况见附件1）。</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洛浦街</w:t>
      </w:r>
      <w:r>
        <w:rPr>
          <w:rFonts w:hint="eastAsia" w:ascii="仿宋_GB2312" w:eastAsia="仿宋_GB2312"/>
          <w:sz w:val="32"/>
          <w:szCs w:val="32"/>
        </w:rPr>
        <w:t>社工站服务指标完成情况良好，在服务进度方面整体把握到位。</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（1）根据合同协议要求，洛浦街社工站2024年8月到12月配备人员20人，2025年1月到8月配备人员16人，社工到岗情况符合合同要求，末期评估要求到岗212人次，实际到岗222人次。在稳岗率方面达93.75%。</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（2）社工站副站长持有社会工作者中级社工证，具备社工服务管理经验17年以上。</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（3）社工专业服务年限方面，从业3年以上社工占社工数比例占88.23%。</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（4）社工继续教育方面，符合评估要求。</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（5）在服务规范和服务对象权益保护方面，有较为完整的制度与规范要求及执行细则。中期评估中对此服务规范的制度与规范流程提出改进建议，末期评估进行了完善。</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（1）在人员配备方面，持证社工数11人，占68.75%，建议社工加强学习，增加持证社工占比。</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（2）在服务规范和服务对象权益的制度与规范要求方面，建议增加图表、流程图等表现形式，以更简洁易懂。</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（3）在人员成长方面，建议社工关注工作领域的政策法规、行业信息及工作技术等多方面提升。也建议社工机构关注员工个人发展，如对于优秀员工可给予培训进修的激励。</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（4）在宣传渠道多样性方面，建议使用新媒体平台，持续扩大服务影响力和覆盖面。</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现有党员社工1人，学习教育记录完整，并积极联动社区社会组织开展政策宣传，《中华人民共和国未成年人保护法》《最低生活保障办事指南》等得到了及时的了解和落实，且能依托所属机构党支部积极联动8个基层党支部、3个政府职能部门、多个公司党支部链接资源，困难群体的节日慰问和增权赋能得到了一定的覆盖和推进，值得肯定。</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服务执行有力，服务成果和产出较中期评估时更为丰富。社工站以“参与改变、合作共赢”为主题积极落实各项计划，全员驻点，24小时红棉守护热线100%覆盖，服务指引较清晰，服务记录详实完整。困难对象建档100%覆盖，入户探访1278人次，电访5970人次，点亮微心愿195人次。本周期培育了2支老年志愿者队伍，联动志愿者持续开展19次困难群众服务，合计服务1780人次；联动9个社区社会组织开展14次困难群众服务，合计服务549人次。且社工站重视案例总结和研究推广，在区级以上媒体获得正面报道32篇次，发表研究文章和疑难案例整理、问题解决情况等成果较中期评估时有进步。经调查问卷、电访等方式抽查118名重点服务对象，其中97人满意度95%以上，综合满意度较高。</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会慈善资源链接有力，且资源配对较为精准。社工站积极联动慈善资源主体30余家，精准配对资源312940.82元，自主链接物资折合652500元，协助社区慈善基金筹集资金4440383元，培育社区居委、辖区企业、物业、社区组织、社区志愿服务队的负责人成为劝募师、协助各方在线组队劝募粉丝群筹款的做法创新有力，通过公益微创投盘活社区基金资源的做法用实际行动诠释了专业关怀，“慈心善汇”较好地促进了“人人慈善、慈善人人”的社区公益力量的发挥。</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特色服务项目契合辖区特点，亮点打造创新积极。社工站从“一体共治”项目出发全力打造了社区养老委托服务和龙舟文化服务，聚焦社区独居、空巢长者的照顾需求和龙舟文化可持续传承的治理实际，积极创新社区照顾政策的宣传推广、主动回应紧急救助和个性化养老需求，积极打造“摄影+义卖+教育+体验”的文化传承路径，积极探索“文化+慈善”项目模式，照顾服务创新和文化融合取得了初步成效，值得肯定。</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5"/>
      <w:bookmarkEnd w:id="29"/>
      <w:bookmarkStart w:id="30" w:name="bookmark43"/>
      <w:bookmarkEnd w:id="30"/>
      <w:bookmarkStart w:id="31" w:name="bookmark44"/>
      <w:bookmarkEnd w:id="31"/>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服务的专业逻辑在“需求－计划－成效”方面有待进一步完善，且党员的需求与党建服务的需求有待进一步区分和明确。建议社工站注意区别党员社工的成长、党支部的发展需求与聚焦困难群众和特殊群体的党建服务项目在对象、内容和成效方面的不同，及时理顺前期4个需求访谈在后期计划安排、成效总结中的匹配与回应，以进一步完善党的工作覆盖。</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需求发现的分层分类梳理和服务设计的合理规划有待进一步完善。建议社工站对标《广州市社工站购买服务项目服务清单（民政领域社会工作）》，结合社区特点和片区实际，进一步深入分析17类困难群众特殊群体在兜底性、基础性、普惠性方面的差异需求，进一步分析社区问题和需求在不同社区和站、片、点的不同表现，以进一步促进服务设计的层次清晰、主题明确、策略合理。</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慈善创新服务项目和“五社联动”项目的问题导向有待进一步明确，慈善资源链接的可持续性有待加强。建议社工站在积极推进资源整合与“五社联动”项目的同时，及时明确链接资源、联动“五社”的目的，洞察工作核心、突出服务重点、拓展机制成效，并着力关注公益慈善项目的可持续性和创新性，积极推进“五社联动”项目的高质量发展。</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东西片区：沙溪村、厦滘村、上漖村、洛溪村、东乡村、西一村、西二村、西三村</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2" w:name="bookmark47"/>
      <w:bookmarkEnd w:id="32"/>
      <w:bookmarkStart w:id="33" w:name="bookmark48"/>
      <w:bookmarkEnd w:id="33"/>
      <w:bookmarkStart w:id="34" w:name="bookmark46"/>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东西片依托社工驻点和双岗双工协同机制，实现了片区8个村的17类困难群众和特殊群体的服务全覆盖。社区内620名困境群众和特殊群体的建档率达到100%，并依据新指标完成了困难群众和特殊群体的分级评估工作，其中一级2人，二级3人，三级190人，四级61人，五级339人，六级25人，全面落实了“一户一档”“一人一案”。</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通过电访、探访等多种方式，全年累计完成探访1134人次，电访5910人次，并积极落实动态评估机制，精准识别服务对象的个性化服务需求变化。针对有特殊需求的服务对象，社工综合运用危机干预、政策援助、资源链接、心理疏导、社会支持等多元化手段，实现145个微心愿，及时响应并有效地解决困难群众的急难愁盼问题。</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采用入户宣传、外展摊位等多种形式，累计开展25场次民生政策宣传活动，覆盖服务5989人次，重点强化社会救助、扶困助困等惠民政策、法律的宣传，有效提升困难群体及特殊群体对兜底民生政策的认知及求助渠道知晓度。成功协助4人申办低保，3人办理残疾证及相应补贴、14人申领助学补助，政策宣传实效增强。</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积极转变服务思路，聚焦17类困难群众和特殊群体。通过分析既往资料、开展深度访谈等方式，精准识别其在生理、心理及社会交往等方面的痛点与难点，深入分析其成因。在此基础上，系统挖掘并整合社会资源，进而设计相应的年度服务计划与服务策略。</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持续强化困难群众和特殊群体的服务深度。当前部分社区的服务跟进深度与质量均有提升，但个别社区仍需加强重视。一是提升探访质量与信息动态管理。在跟进过程中，除基本问候外，同时深入掌握服务对象在个人、家庭、生活环境等多维度的具体状况与动态需求，及时更新档案信息，提高跟进质量。二是完善分级评估的记录与说明。在动态定级分类评估中，需重点关注部分服务对象突出的困扰问题和能力评估维度。建议社工在涉及关键维度的评估时，务必进行详实记录并清晰说明评分依据，提升评估信息的完整性与可追溯性。</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建议加强对疑难案例的发掘、总结与提炼。重点关注服务过程中遇到的典型疑难个案，通过系统梳理其介入过程与成效，深入总结服务模式、技巧与经验，清晰呈现服务过程的专业策略以及服务产出，以更全面地展现服务的专业性与独特性。</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六社片区：珠江社区、广奥社区、和悦社区、洛湖社区、洛涛南社区、洛城社区</w:t>
      </w:r>
    </w:p>
    <w:p>
      <w:pPr>
        <w:pStyle w:val="11"/>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关注兜底人群服务，制定困难群体和特殊群体跟进机制，为17类困难群众和特殊群体提供多种服务。各个社工点已经实现100%全覆盖建档，合计建档349人，社工对出现特殊情况的服务对象，能积极联动社区资源发挥作用，在周期内完成18宗个案，个案涉及儿童保护、家庭暴力、政策倡导、危机事件介入等，完成《从黑暗到曙光：家暴危机与重生》以及《独居老人突发健康危机的社工介入案例：从紧急救援到养老规划的全周期服务》两个疑难案例，并在周期内完成4个小组，32场社区活动，实现服务全覆盖，服务跟进仔细、到位、有效。</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积极联动社会资源，美誉度比较好。片区联动了6个基层党委，2个政府职能部门，多个爱心企业如粤穗口腔门诊、新东方教育培训中心以及广志协、广东狮子会等社会组织，片区联动价值达54067.6元，片区积极联动社区资源支持兜底人群，资源动员能力比较好。服务得到服务对象的认可，美誉度比较好。</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积极按照片区的特色，设计“童心守护项目”守护困境儿童健康成长，针对57名困境儿童全建档，并对困境儿童进行分级分类管理，通过一对一的课业帮扶、微心愿等形式，为17名困境儿童实现课业辅导，并联动企业点亮43个微心愿，服务达2936人次。</w:t>
      </w:r>
    </w:p>
    <w:p>
      <w:pPr>
        <w:pStyle w:val="11"/>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建议片区继续增强兜底人群服务的精准化程度。第一，建议下周期持续深化兜底人群服务的需求分析，围绕服务对象的环境、心理健康、社区支持等维度进行分析，将兜底服务的需求进行排序，如继续使用访谈法，针对社区点的访谈提纲可以增加更多关于兜底人群服务的内容，同时按环境、心理健康、社区支持维度编写片区调研报告；第二，要严格落实服务对象分级管理要求，根据《困难群众和特殊群体分级评估表》里面要求，对服务对象进行动态评价，如服务对象因为突发身体情况住院，社工根据危机干预原则开了个案跟进，建议结合个案开展情况，根据服务对象情况调整服务级别，并重新设计服务计划，将建档服务进一步精细化。</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细化针对兜底人群服务的年度计划。本周期的服务计划框架分为特殊人群以及一般人群建立服务计划，建议新周期按照标准，聚焦针对兜底人群服务年度计划的内容，如围绕服务对象的环境、心理健康、社区支持等维度进行分析，将兜底人群服务的需求进行排序后，进行成因分析，针对成因进行服务介入，细化针对兜底人群服务的年度计划。</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建议持续规范文书的流程规范要求以及提升疑难案例的专业度。如涉及社区服务，根据服务流程规范进行签到等过程留痕。建议社工站层面增加疑难案例撰写的培训，提升案例撰写的专业水平，如案例中使用的社工专业理论需要在服务流程中体现服务专业性，使用的社工理论做到贯彻个案整个过程。</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hint="eastAsia" w:ascii="仿宋_GB2312" w:eastAsia="仿宋_GB2312"/>
          <w:b/>
          <w:sz w:val="32"/>
          <w:szCs w:val="32"/>
          <w:highlight w:val="none"/>
          <w:lang w:eastAsia="zh-CN"/>
        </w:rPr>
      </w:pPr>
      <w:r>
        <w:rPr>
          <w:rFonts w:hint="eastAsia" w:ascii="仿宋_GB2312" w:eastAsia="仿宋_GB2312"/>
          <w:b/>
          <w:sz w:val="32"/>
          <w:szCs w:val="32"/>
          <w:highlight w:val="none"/>
          <w:lang w:eastAsia="zh-CN"/>
        </w:rPr>
        <w:t>丽锦片区：丽江社区、广碧社区、锦绣半岛社区、桔树村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bookmarkStart w:id="36" w:name="bookmark58"/>
      <w:bookmarkEnd w:id="36"/>
      <w:bookmarkStart w:id="37" w:name="bookmark59"/>
      <w:bookmarkEnd w:id="37"/>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（1）所有的数量指标都顺利完成，部分指标</w:t>
      </w:r>
      <w:r>
        <w:rPr>
          <w:rFonts w:hint="eastAsia" w:ascii="仿宋_GB2312" w:eastAsia="仿宋_GB2312"/>
          <w:sz w:val="32"/>
          <w:szCs w:val="32"/>
          <w:lang w:val="en-US" w:eastAsia="zh-CN"/>
        </w:rPr>
        <w:t>超额完成</w:t>
      </w:r>
      <w:r>
        <w:rPr>
          <w:rFonts w:hint="eastAsia" w:ascii="仿宋_GB2312" w:eastAsia="仿宋_GB2312"/>
          <w:sz w:val="32"/>
          <w:szCs w:val="32"/>
          <w:lang w:eastAsia="zh-CN"/>
        </w:rPr>
        <w:t>。</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（2）较好地完成老年人社区委托个案。采用个案工作方法，为服务对象提供个性化需求评估、政策衔接，资源匹配及情绪支持等服务，解决服务对象在养老照护，生活照料等方面的实际困境问题。</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（3）提升了困难群众与特殊群体的社会融入度及社会支持网络覆盖率。通过“红帆领航”计划，践行“五社联动”机制，通过资源链接与整合、政策宣传与倡导，开展社区探访及融合活动，一定程度上实现</w:t>
      </w:r>
      <w:r>
        <w:rPr>
          <w:rFonts w:hint="eastAsia" w:ascii="仿宋_GB2312" w:eastAsia="仿宋_GB2312"/>
          <w:sz w:val="32"/>
          <w:szCs w:val="32"/>
          <w:lang w:val="en-US" w:eastAsia="zh-CN"/>
        </w:rPr>
        <w:t>困难群体服务</w:t>
      </w:r>
      <w:r>
        <w:rPr>
          <w:rFonts w:hint="eastAsia" w:ascii="仿宋_GB2312" w:eastAsia="仿宋_GB2312"/>
          <w:sz w:val="32"/>
          <w:szCs w:val="32"/>
          <w:lang w:eastAsia="zh-CN"/>
        </w:rPr>
        <w:t>由“政府独奏”到“党群合唱”的升级。</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经评委评估分析访谈情况和查阅项目调研、家访、个案服务等各类服务工作痕迹记录资料，该项目以下几方面需关注：</w:t>
      </w:r>
    </w:p>
    <w:p>
      <w:pPr>
        <w:pStyle w:val="11"/>
        <w:keepNext w:val="0"/>
        <w:keepLines w:val="0"/>
        <w:pageBreakBefore w:val="0"/>
        <w:widowControl w:val="0"/>
        <w:numPr>
          <w:ilvl w:val="0"/>
          <w:numId w:val="1"/>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hAnsi="宋体" w:eastAsia="仿宋_GB2312" w:cs="宋体"/>
          <w:sz w:val="32"/>
          <w:szCs w:val="32"/>
          <w:lang w:val="en-US" w:eastAsia="zh-CN"/>
        </w:rPr>
      </w:pPr>
      <w:bookmarkStart w:id="39" w:name="bookmark61"/>
      <w:bookmarkEnd w:id="39"/>
      <w:bookmarkStart w:id="40" w:name="bookmark62"/>
      <w:bookmarkEnd w:id="40"/>
      <w:r>
        <w:rPr>
          <w:rFonts w:hint="eastAsia" w:ascii="仿宋_GB2312" w:hAnsi="宋体" w:eastAsia="仿宋_GB2312" w:cs="宋体"/>
          <w:sz w:val="32"/>
          <w:szCs w:val="32"/>
          <w:lang w:val="en-US" w:eastAsia="zh-CN"/>
        </w:rPr>
        <w:t>服务过程中的行动调整不够到位。一是如因条件受限导致入户探访未能按等级服务要求完成的，需备注缘由。二是服务周期内出现典型问题，需提供灵活、针对性的补充服务。</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（2）部分文书档案需完善。如部分家庭档案的信息汇总表中存在服务对象基础信息填写不规范的情况。</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3"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pPr>
        <w:pStyle w:val="11"/>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洛浦街道办事处</w:t>
      </w:r>
      <w:r>
        <w:rPr>
          <w:rFonts w:hint="eastAsia" w:ascii="仿宋_GB2312" w:eastAsia="仿宋_GB2312"/>
          <w:sz w:val="32"/>
          <w:szCs w:val="32"/>
        </w:rPr>
        <w:t>）代表认为，</w:t>
      </w:r>
      <w:r>
        <w:rPr>
          <w:rFonts w:hint="eastAsia" w:ascii="仿宋_GB2312" w:eastAsia="仿宋_GB2312"/>
          <w:sz w:val="32"/>
          <w:szCs w:val="32"/>
          <w:lang w:eastAsia="zh-CN"/>
        </w:rPr>
        <w:t>社工站能积极协助街道办处理公共应急事件，密切配合村居开展恒常兜底服务，并参与策划、筹备、执行各传统节日文化活动。</w:t>
      </w:r>
    </w:p>
    <w:p>
      <w:pPr>
        <w:pStyle w:val="11"/>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洛浦街道办事处</w:t>
      </w:r>
      <w:r>
        <w:rPr>
          <w:rFonts w:hint="eastAsia" w:ascii="仿宋_GB2312" w:eastAsia="仿宋_GB2312"/>
          <w:sz w:val="32"/>
          <w:szCs w:val="32"/>
        </w:rPr>
        <w:t>）代表认为，</w:t>
      </w:r>
      <w:r>
        <w:rPr>
          <w:rFonts w:hint="eastAsia" w:ascii="仿宋_GB2312" w:eastAsia="仿宋_GB2312"/>
          <w:sz w:val="32"/>
          <w:szCs w:val="32"/>
          <w:lang w:eastAsia="zh-CN"/>
        </w:rPr>
        <w:t>社工站需提升社工文书写作和档案整理技能。</w:t>
      </w:r>
    </w:p>
    <w:p>
      <w:pPr>
        <w:pStyle w:val="11"/>
        <w:keepNext w:val="0"/>
        <w:keepLines w:val="0"/>
        <w:pageBreakBefore w:val="0"/>
        <w:widowControl w:val="0"/>
        <w:numPr>
          <w:ilvl w:val="0"/>
          <w:numId w:val="2"/>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中期评估后，项目团队结合评估反馈与实际服务需求，修订完善了社工专业能力提升体系，建立了内部督导机制，明确督导频次、内容模块及反馈流程，为一线社工提供常态化、针对性的专业支持。同时，推动季度常态化内部共学活动，通过案例研讨、政策解读等多元形式，全面提升社工队伍的专业服务能力。</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团队扎根社区、深入群众，与村（居）委建立密切的合作关系，充分发挥在场优势开展兜底民生等服务。此外，项目制定了《协调沟通机制与工作指引》《“双工”合作与转介工作机制》，指导项目社工与直聘社工紧密协作，通过信息互通共享、转介、协同等方式，合力为辖区困难群众和特殊群体提供服务，筑牢兜底民生保障网。</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重视服务经验推广。项目能够积极利用社工站宣传阵地以及18个社工点的宣传栏定期公布《每月活动预告》及活动通讯稿等，同时，还结合入户及社区活动开展社区服务信息推广，扩大社工站在辖区的知晓度。此外，项目还积极拓展主流媒体宣传渠道，获得多次媒体报道</w:t>
      </w:r>
      <w:r>
        <w:rPr>
          <w:rFonts w:hint="eastAsia" w:ascii="仿宋_GB2312" w:eastAsia="仿宋_GB2312"/>
          <w:sz w:val="32"/>
          <w:szCs w:val="32"/>
          <w:lang w:val="en-US" w:eastAsia="zh-CN"/>
        </w:rPr>
        <w:t>。</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建议项目结合实际情况与团队特点，多层次、多维度构建有系统的社工专业能力提升体系，健全内部共学长效机制；完善内部督导的培养与激励机制，并充分发挥机构、内部督导、“双百”督导等资源优势，切实提升社工的专业水平。</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建议项目持续推进实务研究工作，聚焦民政领域社会工作，培养一支“能做、能写、能讲”的专业团队，梳理项目品牌特色服务，总结服务经验，积极产出实务研究成果，发挥示范与引领作用，扩大项目影响力。</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评估反馈主要分为两大环节，一是现场反馈环节，二是对评估报告初稿的意见反馈环节。本次洛浦街社工站的反馈如下：</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：经过为期一天的评估，评委针对洛浦街社工站的情况，进行了现场总结反馈，在总结反馈环节，洛浦街社工站表示对评委们提出的意见和建议无异议。</w:t>
      </w:r>
    </w:p>
    <w:p>
      <w:pPr>
        <w:pStyle w:val="11"/>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：番禺区民政局、洛浦街道办事处、洛浦街社工站对评估报告初稿无异议。</w:t>
      </w:r>
    </w:p>
    <w:bookmarkEnd w:id="41"/>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经过评估，洛浦街社工站本次末期评估的等级为</w:t>
      </w:r>
      <w:r>
        <w:rPr>
          <w:rFonts w:hint="eastAsia" w:ascii="仿宋_GB2312" w:eastAsia="仿宋_GB2312"/>
          <w:b/>
          <w:bCs/>
          <w:sz w:val="32"/>
          <w:szCs w:val="32"/>
          <w:lang w:val="en-US" w:eastAsia="zh-CN"/>
        </w:rPr>
        <w:t>“优秀”（90.61分）</w:t>
      </w:r>
      <w:r>
        <w:rPr>
          <w:rFonts w:hint="eastAsia" w:ascii="仿宋_GB2312" w:eastAsia="仿宋_GB2312"/>
          <w:sz w:val="32"/>
          <w:szCs w:val="32"/>
          <w:lang w:val="en-US" w:eastAsia="zh-CN"/>
        </w:rPr>
        <w:t>。</w:t>
      </w:r>
    </w:p>
    <w:p>
      <w:pPr>
        <w:pStyle w:val="11"/>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76" w:type="dxa"/>
            <w:vAlign w:val="center"/>
          </w:tcPr>
          <w:p>
            <w:pPr>
              <w:pStyle w:val="11"/>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1508" w:type="dxa"/>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1514" w:type="dxa"/>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1757" w:type="dxa"/>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76" w:type="dxa"/>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bidi="ar"/>
              </w:rPr>
              <w:t>专业服务板块</w:t>
            </w:r>
          </w:p>
        </w:tc>
        <w:tc>
          <w:tcPr>
            <w:tcW w:w="1508"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1514"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47.96</w:t>
            </w:r>
          </w:p>
        </w:tc>
        <w:tc>
          <w:tcPr>
            <w:tcW w:w="1757"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76" w:type="dxa"/>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购买方</w:t>
            </w:r>
          </w:p>
        </w:tc>
        <w:tc>
          <w:tcPr>
            <w:tcW w:w="1508"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20</w:t>
            </w:r>
          </w:p>
        </w:tc>
        <w:tc>
          <w:tcPr>
            <w:tcW w:w="1514"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1757"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76" w:type="dxa"/>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1508"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15</w:t>
            </w:r>
          </w:p>
        </w:tc>
        <w:tc>
          <w:tcPr>
            <w:tcW w:w="1514"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13.65</w:t>
            </w:r>
          </w:p>
        </w:tc>
        <w:tc>
          <w:tcPr>
            <w:tcW w:w="1757" w:type="dxa"/>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576" w:type="dxa"/>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监督方</w:t>
            </w:r>
          </w:p>
        </w:tc>
        <w:tc>
          <w:tcPr>
            <w:tcW w:w="1508"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10</w:t>
            </w:r>
          </w:p>
        </w:tc>
        <w:tc>
          <w:tcPr>
            <w:tcW w:w="1514" w:type="dxa"/>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1757" w:type="dxa"/>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8" w:type="dxa"/>
            <w:gridSpan w:val="3"/>
            <w:vAlign w:val="center"/>
          </w:tcPr>
          <w:p>
            <w:pPr>
              <w:pStyle w:val="11"/>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1757" w:type="dxa"/>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90.61</w:t>
            </w:r>
          </w:p>
        </w:tc>
      </w:tr>
    </w:tbl>
    <w:p>
      <w:pPr>
        <w:pStyle w:val="11"/>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洛浦街社工服务站在番禺区民政局、</w:t>
      </w:r>
      <w:r>
        <w:rPr>
          <w:rFonts w:hint="eastAsia" w:ascii="仿宋_GB2312" w:eastAsia="仿宋_GB2312"/>
          <w:color w:val="auto"/>
          <w:sz w:val="32"/>
          <w:szCs w:val="32"/>
          <w:lang w:eastAsia="zh-CN"/>
        </w:rPr>
        <w:t>洛浦街党工委和洛浦街道办事处</w:t>
      </w:r>
      <w:r>
        <w:rPr>
          <w:rFonts w:hint="eastAsia" w:ascii="仿宋_GB2312" w:eastAsia="仿宋_GB2312"/>
          <w:sz w:val="32"/>
          <w:szCs w:val="32"/>
          <w:lang w:eastAsia="zh-CN"/>
        </w:rPr>
        <w:t>的大力支持下，在广州市阳光天使社会工作服务中心的努力下，已运营</w:t>
      </w:r>
      <w:r>
        <w:rPr>
          <w:rFonts w:hint="eastAsia" w:ascii="仿宋_GB2312" w:eastAsia="仿宋_GB2312"/>
          <w:sz w:val="32"/>
          <w:szCs w:val="32"/>
          <w:lang w:val="en-US" w:eastAsia="zh-CN"/>
        </w:rPr>
        <w:t>5年</w:t>
      </w:r>
      <w:r>
        <w:rPr>
          <w:rFonts w:hint="eastAsia" w:ascii="仿宋_GB2312" w:eastAsia="仿宋_GB2312"/>
          <w:sz w:val="32"/>
          <w:szCs w:val="32"/>
          <w:lang w:eastAsia="zh-CN"/>
        </w:rPr>
        <w:t>时间，项目团队</w:t>
      </w:r>
      <w:r>
        <w:rPr>
          <w:rFonts w:hint="eastAsia" w:ascii="仿宋_GB2312" w:eastAsia="仿宋_GB2312"/>
          <w:sz w:val="32"/>
          <w:szCs w:val="32"/>
          <w:lang w:val="en-US" w:eastAsia="zh-CN"/>
        </w:rPr>
        <w:t>稳定，有较为完整的制度与规范要求及执行细则，能够立足辖区内居民的需求，为辖区内的居民提供不同类型的社工专业服务，积极配合购买方和各村居开展工作，社会慈善资源链接有力，关注辖区内的兜底群众，服务对象的满意度较高。</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ins w:id="0" w:author="Administrator" w:date="2025-08-29T11:36:47Z"/>
          <w:rFonts w:hint="eastAsia" w:ascii="仿宋_GB2312" w:eastAsia="仿宋_GB2312"/>
          <w:sz w:val="32"/>
          <w:szCs w:val="32"/>
          <w:lang w:eastAsia="zh-CN"/>
        </w:rPr>
      </w:pPr>
      <w:r>
        <w:rPr>
          <w:rFonts w:hint="eastAsia" w:ascii="仿宋_GB2312" w:eastAsia="仿宋_GB2312"/>
          <w:sz w:val="32"/>
          <w:szCs w:val="32"/>
          <w:lang w:val="en-US" w:eastAsia="zh-CN"/>
        </w:rPr>
        <w:t>建议洛浦街社工站需</w:t>
      </w:r>
      <w:r>
        <w:rPr>
          <w:rFonts w:hint="eastAsia" w:ascii="仿宋_GB2312" w:eastAsia="仿宋_GB2312"/>
          <w:sz w:val="32"/>
          <w:szCs w:val="32"/>
          <w:lang w:eastAsia="zh-CN"/>
        </w:rPr>
        <w:t>持续完善专业能力提升体系，继续增强兜底人群服务的精准化程度，细化针对兜底人群服务的年度计划，</w:t>
      </w:r>
      <w:r>
        <w:rPr>
          <w:rFonts w:hint="eastAsia" w:ascii="仿宋_GB2312" w:eastAsia="仿宋_GB2312"/>
          <w:sz w:val="32"/>
          <w:szCs w:val="32"/>
          <w:lang w:val="en-US" w:eastAsia="zh-CN"/>
        </w:rPr>
        <w:t>持续规范文书的流程规范要求以及提升疑难案例的专业度，</w:t>
      </w:r>
      <w:r>
        <w:rPr>
          <w:rFonts w:hint="eastAsia" w:ascii="仿宋_GB2312" w:eastAsia="仿宋_GB2312"/>
          <w:sz w:val="32"/>
          <w:szCs w:val="32"/>
          <w:lang w:eastAsia="zh-CN"/>
        </w:rPr>
        <w:t>聚焦民政领域社会工作，梳理项目品牌特色服务，总结服务经验，积极产出实务研究成果，发挥示范与引领作用，扩大项目影响力。</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43" w:name="_GoBack"/>
      <w:bookmarkEnd w:id="43"/>
    </w:p>
    <w:p>
      <w:pPr>
        <w:pStyle w:val="11"/>
        <w:spacing w:after="160" w:line="560" w:lineRule="exact"/>
        <w:ind w:firstLine="640"/>
        <w:rPr>
          <w:rFonts w:ascii="仿宋_GB2312" w:eastAsia="仿宋_GB2312"/>
          <w:sz w:val="32"/>
          <w:szCs w:val="32"/>
        </w:rPr>
      </w:pPr>
      <w:r>
        <w:rPr>
          <w:rFonts w:hint="eastAsia" w:ascii="仿宋_GB2312" w:eastAsia="仿宋_GB2312"/>
          <w:sz w:val="32"/>
          <w:szCs w:val="32"/>
        </w:rPr>
        <w:t>附件：</w:t>
      </w:r>
      <w:r>
        <w:rPr>
          <w:rFonts w:hint="eastAsia" w:ascii="仿宋_GB2312" w:hAnsi="Times New Roman" w:eastAsia="仿宋_GB2312" w:cs="Times New Roman"/>
          <w:sz w:val="32"/>
          <w:szCs w:val="32"/>
        </w:rPr>
        <w:t>1</w:t>
      </w:r>
      <w:r>
        <w:rPr>
          <w:rFonts w:hint="eastAsia" w:ascii="仿宋_GB2312" w:eastAsia="仿宋_GB2312"/>
          <w:sz w:val="32"/>
          <w:szCs w:val="32"/>
        </w:rPr>
        <w:t>.</w:t>
      </w:r>
      <w:r>
        <w:rPr>
          <w:rFonts w:hint="eastAsia" w:ascii="仿宋_GB2312" w:eastAsia="仿宋_GB2312"/>
          <w:sz w:val="32"/>
          <w:szCs w:val="32"/>
          <w:lang w:eastAsia="zh-CN"/>
        </w:rPr>
        <w:t>洛浦</w:t>
      </w:r>
      <w:r>
        <w:rPr>
          <w:rFonts w:hint="eastAsia" w:ascii="仿宋_GB2312" w:eastAsia="仿宋_GB2312"/>
          <w:sz w:val="32"/>
          <w:szCs w:val="32"/>
        </w:rPr>
        <w:t>街社工服务站指标完成情况统计表</w:t>
      </w:r>
    </w:p>
    <w:p>
      <w:pPr>
        <w:pStyle w:val="11"/>
        <w:spacing w:after="1240" w:line="560" w:lineRule="exact"/>
        <w:ind w:firstLine="1600" w:firstLineChars="500"/>
        <w:jc w:val="both"/>
        <w:rPr>
          <w:lang w:eastAsia="zh-CN"/>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w:t>
      </w:r>
      <w:r>
        <w:rPr>
          <w:rFonts w:hint="eastAsia" w:ascii="仿宋_GB2312" w:eastAsia="仿宋_GB2312"/>
          <w:sz w:val="32"/>
          <w:szCs w:val="32"/>
          <w:lang w:eastAsia="zh-CN"/>
        </w:rPr>
        <w:t>洛浦</w:t>
      </w:r>
      <w:r>
        <w:rPr>
          <w:rFonts w:hint="eastAsia" w:ascii="仿宋_GB2312" w:eastAsia="仿宋_GB2312"/>
          <w:sz w:val="32"/>
          <w:szCs w:val="32"/>
        </w:rPr>
        <w:t>街社工服务站工作人员情况统计表</w:t>
      </w:r>
    </w:p>
    <w:p>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pPr>
        <w:tabs>
          <w:tab w:val="left" w:pos="1960"/>
        </w:tabs>
        <w:spacing w:line="560" w:lineRule="exact"/>
        <w:ind w:firstLine="6080" w:firstLineChars="1900"/>
        <w:rPr>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31日</w:t>
      </w:r>
    </w:p>
    <w:sectPr>
      <w:footerReference r:id="rId3" w:type="default"/>
      <w:footerReference r:id="rId4" w:type="even"/>
      <w:pgSz w:w="11900" w:h="16840"/>
      <w:pgMar w:top="1301" w:right="876" w:bottom="1373" w:left="885" w:header="457" w:footer="448" w:gutter="0"/>
      <w:pgNumType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3F0E13A0"/>
    <w:multiLevelType w:val="singleLevel"/>
    <w:tmpl w:val="3F0E13A0"/>
    <w:lvl w:ilvl="0" w:tentative="0">
      <w:start w:val="1"/>
      <w:numFmt w:val="decimal"/>
      <w:suff w:val="nothing"/>
      <w:lvlText w:val="（%1）"/>
      <w:lvlJc w:val="left"/>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9E36810"/>
    <w:rsid w:val="579FD1A7"/>
    <w:rsid w:val="5FFDBEF7"/>
    <w:rsid w:val="7DB587DE"/>
    <w:rsid w:val="7FFFCCF6"/>
    <w:rsid w:val="FDDE3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28"/>
    <w:qFormat/>
    <w:uiPriority w:val="0"/>
    <w:pPr>
      <w:tabs>
        <w:tab w:val="center" w:pos="4153"/>
        <w:tab w:val="right" w:pos="8306"/>
      </w:tabs>
      <w:snapToGrid w:val="0"/>
    </w:pPr>
    <w:rPr>
      <w:sz w:val="18"/>
      <w:szCs w:val="18"/>
    </w:rPr>
  </w:style>
  <w:style w:type="paragraph" w:styleId="4">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ing #1|1_"/>
    <w:basedOn w:val="7"/>
    <w:link w:val="9"/>
    <w:qFormat/>
    <w:uiPriority w:val="0"/>
    <w:rPr>
      <w:rFonts w:ascii="宋体" w:hAnsi="宋体" w:eastAsia="宋体" w:cs="宋体"/>
      <w:sz w:val="40"/>
      <w:szCs w:val="40"/>
      <w:u w:val="none"/>
      <w:shd w:val="clear" w:color="auto" w:fill="auto"/>
      <w:lang w:val="zh-TW" w:eastAsia="zh-TW" w:bidi="zh-TW"/>
    </w:rPr>
  </w:style>
  <w:style w:type="paragraph" w:customStyle="1" w:styleId="9">
    <w:name w:val="Heading #1|1"/>
    <w:basedOn w:val="1"/>
    <w:link w:val="8"/>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0">
    <w:name w:val="Body text|1_"/>
    <w:basedOn w:val="7"/>
    <w:link w:val="11"/>
    <w:qFormat/>
    <w:uiPriority w:val="0"/>
    <w:rPr>
      <w:rFonts w:ascii="宋体" w:hAnsi="宋体" w:eastAsia="宋体" w:cs="宋体"/>
      <w:sz w:val="28"/>
      <w:szCs w:val="28"/>
      <w:u w:val="none"/>
      <w:shd w:val="clear" w:color="auto" w:fill="auto"/>
      <w:lang w:val="zh-TW" w:eastAsia="zh-TW" w:bidi="zh-TW"/>
    </w:rPr>
  </w:style>
  <w:style w:type="paragraph" w:customStyle="1" w:styleId="11">
    <w:name w:val="Body text|1"/>
    <w:basedOn w:val="1"/>
    <w:link w:val="1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2">
    <w:name w:val="Header or footer|2_"/>
    <w:basedOn w:val="7"/>
    <w:link w:val="13"/>
    <w:qFormat/>
    <w:uiPriority w:val="0"/>
    <w:rPr>
      <w:sz w:val="20"/>
      <w:szCs w:val="20"/>
      <w:u w:val="none"/>
      <w:shd w:val="clear" w:color="auto" w:fill="auto"/>
      <w:lang w:val="zh-TW" w:eastAsia="zh-TW" w:bidi="zh-TW"/>
    </w:rPr>
  </w:style>
  <w:style w:type="paragraph" w:customStyle="1" w:styleId="13">
    <w:name w:val="Header or footer|2"/>
    <w:basedOn w:val="1"/>
    <w:link w:val="12"/>
    <w:qFormat/>
    <w:uiPriority w:val="0"/>
    <w:rPr>
      <w:sz w:val="20"/>
      <w:szCs w:val="20"/>
      <w:lang w:val="zh-TW" w:eastAsia="zh-TW" w:bidi="zh-TW"/>
    </w:rPr>
  </w:style>
  <w:style w:type="character" w:customStyle="1" w:styleId="14">
    <w:name w:val="Header or footer|1_"/>
    <w:basedOn w:val="7"/>
    <w:link w:val="15"/>
    <w:qFormat/>
    <w:uiPriority w:val="0"/>
    <w:rPr>
      <w:rFonts w:ascii="宋体" w:hAnsi="宋体" w:eastAsia="宋体" w:cs="宋体"/>
      <w:sz w:val="26"/>
      <w:szCs w:val="26"/>
      <w:u w:val="none"/>
      <w:shd w:val="clear" w:color="auto" w:fill="auto"/>
      <w:lang w:val="zh-TW" w:eastAsia="zh-TW" w:bidi="zh-TW"/>
    </w:rPr>
  </w:style>
  <w:style w:type="paragraph" w:customStyle="1" w:styleId="15">
    <w:name w:val="Header or footer|1"/>
    <w:basedOn w:val="1"/>
    <w:link w:val="14"/>
    <w:qFormat/>
    <w:uiPriority w:val="0"/>
    <w:rPr>
      <w:rFonts w:ascii="宋体" w:hAnsi="宋体" w:eastAsia="宋体" w:cs="宋体"/>
      <w:sz w:val="26"/>
      <w:szCs w:val="26"/>
      <w:lang w:val="zh-TW" w:eastAsia="zh-TW" w:bidi="zh-TW"/>
    </w:rPr>
  </w:style>
  <w:style w:type="character" w:customStyle="1" w:styleId="16">
    <w:name w:val="Body text|2_"/>
    <w:basedOn w:val="7"/>
    <w:link w:val="17"/>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2"/>
    <w:basedOn w:val="1"/>
    <w:link w:val="16"/>
    <w:qFormat/>
    <w:uiPriority w:val="0"/>
    <w:pPr>
      <w:spacing w:after="240"/>
    </w:pPr>
    <w:rPr>
      <w:rFonts w:ascii="宋体" w:hAnsi="宋体" w:eastAsia="宋体" w:cs="宋体"/>
      <w:sz w:val="22"/>
      <w:szCs w:val="22"/>
      <w:lang w:val="zh-TW" w:eastAsia="zh-TW" w:bidi="zh-TW"/>
    </w:rPr>
  </w:style>
  <w:style w:type="character" w:customStyle="1" w:styleId="18">
    <w:name w:val="Other|1_"/>
    <w:basedOn w:val="7"/>
    <w:link w:val="19"/>
    <w:qFormat/>
    <w:uiPriority w:val="0"/>
    <w:rPr>
      <w:rFonts w:ascii="宋体" w:hAnsi="宋体" w:eastAsia="宋体" w:cs="宋体"/>
      <w:sz w:val="28"/>
      <w:szCs w:val="28"/>
      <w:u w:val="none"/>
      <w:shd w:val="clear" w:color="auto" w:fill="auto"/>
      <w:lang w:val="zh-TW" w:eastAsia="zh-TW" w:bidi="zh-TW"/>
    </w:rPr>
  </w:style>
  <w:style w:type="paragraph" w:customStyle="1" w:styleId="19">
    <w:name w:val="Other|1"/>
    <w:basedOn w:val="1"/>
    <w:link w:val="18"/>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0">
    <w:name w:val="Other|2_"/>
    <w:basedOn w:val="7"/>
    <w:link w:val="21"/>
    <w:qFormat/>
    <w:uiPriority w:val="0"/>
    <w:rPr>
      <w:rFonts w:ascii="宋体" w:hAnsi="宋体" w:eastAsia="宋体" w:cs="宋体"/>
      <w:sz w:val="15"/>
      <w:szCs w:val="15"/>
      <w:u w:val="none"/>
      <w:shd w:val="clear" w:color="auto" w:fill="auto"/>
      <w:lang w:val="zh-TW" w:eastAsia="zh-TW" w:bidi="zh-TW"/>
    </w:rPr>
  </w:style>
  <w:style w:type="paragraph" w:customStyle="1" w:styleId="21">
    <w:name w:val="Other|2"/>
    <w:basedOn w:val="1"/>
    <w:link w:val="20"/>
    <w:qFormat/>
    <w:uiPriority w:val="0"/>
    <w:pPr>
      <w:spacing w:line="177" w:lineRule="exact"/>
      <w:jc w:val="center"/>
    </w:pPr>
    <w:rPr>
      <w:rFonts w:ascii="宋体" w:hAnsi="宋体" w:eastAsia="宋体" w:cs="宋体"/>
      <w:sz w:val="15"/>
      <w:szCs w:val="15"/>
      <w:lang w:val="zh-TW" w:eastAsia="zh-TW" w:bidi="zh-TW"/>
    </w:rPr>
  </w:style>
  <w:style w:type="character" w:customStyle="1" w:styleId="22">
    <w:name w:val="Body text|3_"/>
    <w:basedOn w:val="7"/>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Body text|3"/>
    <w:basedOn w:val="1"/>
    <w:link w:val="22"/>
    <w:qFormat/>
    <w:uiPriority w:val="0"/>
    <w:rPr>
      <w:rFonts w:ascii="宋体" w:hAnsi="宋体" w:eastAsia="宋体" w:cs="宋体"/>
      <w:sz w:val="15"/>
      <w:szCs w:val="15"/>
      <w:lang w:val="zh-TW" w:eastAsia="zh-TW" w:bidi="zh-TW"/>
    </w:rPr>
  </w:style>
  <w:style w:type="character" w:customStyle="1" w:styleId="24">
    <w:name w:val="Picture caption|1_"/>
    <w:basedOn w:val="7"/>
    <w:link w:val="25"/>
    <w:qFormat/>
    <w:uiPriority w:val="0"/>
    <w:rPr>
      <w:rFonts w:ascii="宋体" w:hAnsi="宋体" w:eastAsia="宋体" w:cs="宋体"/>
      <w:sz w:val="20"/>
      <w:szCs w:val="20"/>
      <w:u w:val="none"/>
      <w:shd w:val="clear" w:color="auto" w:fill="auto"/>
      <w:lang w:val="zh-TW" w:eastAsia="zh-TW" w:bidi="zh-TW"/>
    </w:rPr>
  </w:style>
  <w:style w:type="paragraph" w:customStyle="1" w:styleId="25">
    <w:name w:val="Picture caption|1"/>
    <w:basedOn w:val="1"/>
    <w:link w:val="24"/>
    <w:qFormat/>
    <w:uiPriority w:val="0"/>
    <w:pPr>
      <w:jc w:val="center"/>
    </w:pPr>
    <w:rPr>
      <w:rFonts w:ascii="宋体" w:hAnsi="宋体" w:eastAsia="宋体" w:cs="宋体"/>
      <w:sz w:val="20"/>
      <w:szCs w:val="20"/>
      <w:lang w:val="zh-TW" w:eastAsia="zh-TW" w:bidi="zh-TW"/>
    </w:rPr>
  </w:style>
  <w:style w:type="paragraph" w:customStyle="1" w:styleId="26">
    <w:name w:val="List Paragraph"/>
    <w:basedOn w:val="1"/>
    <w:qFormat/>
    <w:uiPriority w:val="34"/>
    <w:pPr>
      <w:ind w:firstLine="420" w:firstLineChars="200"/>
    </w:pPr>
  </w:style>
  <w:style w:type="character" w:customStyle="1" w:styleId="27">
    <w:name w:val="页眉 Char"/>
    <w:basedOn w:val="7"/>
    <w:link w:val="4"/>
    <w:qFormat/>
    <w:uiPriority w:val="0"/>
    <w:rPr>
      <w:rFonts w:eastAsia="Times New Roman"/>
      <w:color w:val="000000"/>
      <w:sz w:val="18"/>
      <w:szCs w:val="18"/>
      <w:lang w:eastAsia="en-US" w:bidi="en-US"/>
    </w:rPr>
  </w:style>
  <w:style w:type="character" w:customStyle="1" w:styleId="28">
    <w:name w:val="页脚 Char"/>
    <w:basedOn w:val="7"/>
    <w:link w:val="3"/>
    <w:qFormat/>
    <w:uiPriority w:val="0"/>
    <w:rPr>
      <w:rFonts w:eastAsia="Times New Roman"/>
      <w:color w:val="000000"/>
      <w:sz w:val="18"/>
      <w:szCs w:val="18"/>
      <w:lang w:eastAsia="en-US" w:bidi="en-US"/>
    </w:rPr>
  </w:style>
  <w:style w:type="character" w:customStyle="1" w:styleId="29">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9975</Words>
  <Characters>10397</Characters>
  <Lines>75</Lines>
  <Paragraphs>21</Paragraphs>
  <TotalTime>25</TotalTime>
  <ScaleCrop>false</ScaleCrop>
  <LinksUpToDate>false</LinksUpToDate>
  <CharactersWithSpaces>10456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2023-07-27T11:06:00Z</dcterms:created>
  <dc:creator>WPS Office</dc:creator>
  <cp:lastModifiedBy>Administrator</cp:lastModifiedBy>
  <dcterms:modified xsi:type="dcterms:W3CDTF">2025-08-29T03:36:50Z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43F6DEB5F7EC4FBEA8189402BBBB5D8A_13</vt:lpwstr>
  </property>
  <property fmtid="{D5CDD505-2E9C-101B-9397-08002B2CF9AE}" pid="4" name="KSOTemplateDocerSaveRecord">
    <vt:lpwstr>eyJoZGlkIjoiZDZhZGYwNTVjNmEwZDlmYmM0M2UzYmUxZTMyY2ZhNTgiLCJ1c2VySWQiOiIyOTU1NTMyNTMifQ==</vt:lpwstr>
  </property>
</Properties>
</file>