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3373B5">
      <w:pPr>
        <w:adjustRightInd w:val="0"/>
        <w:snapToGrid w:val="0"/>
        <w:ind w:right="-156" w:hanging="180"/>
        <w:jc w:val="center"/>
        <w:rPr>
          <w:rFonts w:ascii="公文小标宋简" w:eastAsia="公文小标宋简"/>
          <w:b/>
          <w:bCs/>
          <w:smallCaps/>
          <w:snapToGrid w:val="0"/>
          <w:color w:val="auto"/>
          <w:spacing w:val="56"/>
          <w:kern w:val="0"/>
          <w:sz w:val="72"/>
          <w:szCs w:val="72"/>
        </w:rPr>
      </w:pPr>
      <w:bookmarkStart w:id="0" w:name="_GoBack"/>
      <w:bookmarkEnd w:id="0"/>
    </w:p>
    <w:p w14:paraId="1AA5779C">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穗环管影（番）〔202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64</w:t>
      </w:r>
      <w:r>
        <w:rPr>
          <w:rFonts w:hint="eastAsia" w:ascii="仿宋_GB2312" w:eastAsia="仿宋_GB2312"/>
          <w:color w:val="auto"/>
          <w:sz w:val="32"/>
          <w:szCs w:val="32"/>
        </w:rPr>
        <w:t>号</w:t>
      </w:r>
    </w:p>
    <w:p w14:paraId="0D9D23AD">
      <w:pPr>
        <w:keepNext w:val="0"/>
        <w:keepLines w:val="0"/>
        <w:pageBreakBefore w:val="0"/>
        <w:kinsoku/>
        <w:overflowPunct/>
        <w:topLinePunct w:val="0"/>
        <w:autoSpaceDE/>
        <w:autoSpaceDN/>
        <w:bidi w:val="0"/>
        <w:spacing w:line="560" w:lineRule="exact"/>
        <w:textAlignment w:val="auto"/>
        <w:rPr>
          <w:rFonts w:ascii="黑体" w:eastAsia="黑体"/>
          <w:color w:val="auto"/>
        </w:rPr>
      </w:pPr>
    </w:p>
    <w:p w14:paraId="0AC8BEF1">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auto"/>
        </w:rPr>
      </w:pPr>
    </w:p>
    <w:p w14:paraId="794FA26D">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rPr>
        <w:t>广州市生态环境局关于</w:t>
      </w:r>
      <w:r>
        <w:rPr>
          <w:rFonts w:hint="eastAsia" w:ascii="方正小标宋简体" w:eastAsia="方正小标宋简体"/>
          <w:color w:val="auto"/>
          <w:sz w:val="44"/>
          <w:szCs w:val="44"/>
          <w:lang w:eastAsia="zh-CN"/>
        </w:rPr>
        <w:t>广州科泓金属制品</w:t>
      </w:r>
    </w:p>
    <w:p w14:paraId="3E44A01B">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auto"/>
          <w:w w:val="95"/>
          <w:sz w:val="44"/>
          <w:szCs w:val="44"/>
          <w:lang w:eastAsia="zh-CN"/>
        </w:rPr>
      </w:pPr>
      <w:r>
        <w:rPr>
          <w:rFonts w:hint="eastAsia" w:ascii="方正小标宋简体" w:eastAsia="方正小标宋简体"/>
          <w:color w:val="auto"/>
          <w:w w:val="95"/>
          <w:sz w:val="44"/>
          <w:szCs w:val="44"/>
          <w:lang w:eastAsia="zh-CN"/>
        </w:rPr>
        <w:t>有限公司年加工1000吨金属工件建设项目</w:t>
      </w:r>
    </w:p>
    <w:p w14:paraId="03173BE7">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auto"/>
          <w:sz w:val="44"/>
          <w:szCs w:val="44"/>
        </w:rPr>
      </w:pPr>
      <w:r>
        <w:rPr>
          <w:rFonts w:hint="eastAsia" w:ascii="方正小标宋简体" w:eastAsia="方正小标宋简体"/>
          <w:color w:val="auto"/>
          <w:sz w:val="44"/>
          <w:szCs w:val="44"/>
        </w:rPr>
        <w:t>环境影响报告表的批复</w:t>
      </w:r>
    </w:p>
    <w:p w14:paraId="00880D9C">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D947783">
      <w:pPr>
        <w:keepNext w:val="0"/>
        <w:keepLines w:val="0"/>
        <w:pageBreakBefore w:val="0"/>
        <w:kinsoku/>
        <w:wordWrap/>
        <w:overflowPunct/>
        <w:topLinePunct w:val="0"/>
        <w:autoSpaceDE/>
        <w:autoSpaceDN/>
        <w:bidi w:val="0"/>
        <w:adjustRightInd/>
        <w:snapToGrid/>
        <w:spacing w:line="560" w:lineRule="exact"/>
        <w:textAlignment w:val="auto"/>
        <w:rPr>
          <w:rFonts w:ascii="仿宋_GB2312" w:eastAsia="仿宋_GB2312"/>
          <w:color w:val="auto"/>
          <w:sz w:val="32"/>
          <w:szCs w:val="32"/>
        </w:rPr>
      </w:pPr>
      <w:r>
        <w:rPr>
          <w:rFonts w:hint="eastAsia" w:ascii="仿宋_GB2312" w:eastAsia="仿宋_GB2312"/>
          <w:color w:val="auto"/>
          <w:sz w:val="32"/>
          <w:szCs w:val="32"/>
          <w:lang w:eastAsia="zh-CN"/>
        </w:rPr>
        <w:t>广州科泓金属制品有限公司</w:t>
      </w:r>
      <w:r>
        <w:rPr>
          <w:rFonts w:hint="eastAsia" w:ascii="仿宋_GB2312" w:eastAsia="仿宋_GB2312"/>
          <w:color w:val="auto"/>
          <w:sz w:val="32"/>
          <w:szCs w:val="32"/>
        </w:rPr>
        <w:t>（91440113681318312B）：</w:t>
      </w:r>
    </w:p>
    <w:p w14:paraId="06F9824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广州科泓金属制品有限公司年加工1000吨金属工件建设项目</w:t>
      </w:r>
      <w:r>
        <w:rPr>
          <w:rFonts w:hint="eastAsia" w:ascii="仿宋_GB2312" w:eastAsia="仿宋_GB2312"/>
          <w:color w:val="auto"/>
          <w:sz w:val="32"/>
          <w:szCs w:val="32"/>
        </w:rPr>
        <w:t>环境影响报告表》（以下简称《报告表》）及附送资料收悉。经研究，现批复如下：</w:t>
      </w:r>
    </w:p>
    <w:p w14:paraId="6234E81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广州科泓金属制品有限公司年加工1000吨金属工件建设项目</w:t>
      </w:r>
      <w:r>
        <w:rPr>
          <w:rFonts w:hint="eastAsia" w:ascii="仿宋_GB2312" w:eastAsia="仿宋_GB2312"/>
          <w:color w:val="auto"/>
          <w:sz w:val="32"/>
          <w:szCs w:val="32"/>
        </w:rPr>
        <w:t>（以下简称“该</w:t>
      </w:r>
      <w:r>
        <w:rPr>
          <w:rFonts w:hint="eastAsia" w:ascii="仿宋_GB2312" w:eastAsia="仿宋_GB2312" w:cs="Times New Roman"/>
          <w:color w:val="auto"/>
          <w:sz w:val="32"/>
          <w:szCs w:val="32"/>
          <w:lang w:eastAsia="zh-CN"/>
        </w:rPr>
        <w:t>项目”）位于广州市番禺区石碁镇石碁村前锋北路46号，申报内容为从事金属工件热处理加工，年加工金属工件1000</w:t>
      </w:r>
      <w:r>
        <w:rPr>
          <w:rFonts w:hint="eastAsia" w:ascii="仿宋_GB2312" w:eastAsia="仿宋_GB2312" w:cs="Times New Roman"/>
          <w:color w:val="auto"/>
          <w:sz w:val="32"/>
          <w:szCs w:val="32"/>
          <w:lang w:val="en-US" w:eastAsia="zh-CN"/>
        </w:rPr>
        <w:t>吨</w:t>
      </w:r>
      <w:r>
        <w:rPr>
          <w:rFonts w:hint="eastAsia" w:ascii="仿宋_GB2312" w:eastAsia="仿宋_GB2312" w:cs="Times New Roman"/>
          <w:color w:val="auto"/>
          <w:sz w:val="32"/>
          <w:szCs w:val="32"/>
          <w:lang w:eastAsia="zh-CN"/>
        </w:rPr>
        <w:t>。该</w:t>
      </w:r>
      <w:r>
        <w:rPr>
          <w:rFonts w:hint="eastAsia" w:ascii="仿宋_GB2312" w:eastAsia="仿宋_GB2312"/>
          <w:color w:val="auto"/>
          <w:sz w:val="32"/>
          <w:szCs w:val="32"/>
        </w:rPr>
        <w:t>项目占地面积</w:t>
      </w:r>
      <w:r>
        <w:rPr>
          <w:rFonts w:hint="eastAsia" w:ascii="仿宋_GB2312" w:eastAsia="仿宋_GB2312"/>
          <w:color w:val="auto"/>
          <w:sz w:val="32"/>
          <w:szCs w:val="32"/>
          <w:lang w:val="en-US" w:eastAsia="zh-CN"/>
        </w:rPr>
        <w:t>1219</w:t>
      </w:r>
      <w:r>
        <w:rPr>
          <w:rFonts w:hint="eastAsia" w:ascii="仿宋_GB2312" w:eastAsia="仿宋_GB2312"/>
          <w:color w:val="auto"/>
          <w:sz w:val="32"/>
          <w:szCs w:val="32"/>
        </w:rPr>
        <w:t>平方米，总建</w:t>
      </w:r>
      <w:r>
        <w:rPr>
          <w:rFonts w:hint="eastAsia" w:ascii="仿宋_GB2312" w:eastAsia="仿宋_GB2312" w:cs="Times New Roman"/>
          <w:color w:val="auto"/>
          <w:sz w:val="32"/>
          <w:szCs w:val="32"/>
          <w:lang w:eastAsia="zh-CN"/>
        </w:rPr>
        <w:t>筑面积1639</w:t>
      </w:r>
      <w:r>
        <w:rPr>
          <w:rFonts w:hint="eastAsia" w:ascii="仿宋_GB2312" w:eastAsia="仿宋_GB2312"/>
          <w:color w:val="auto"/>
          <w:sz w:val="32"/>
          <w:szCs w:val="32"/>
        </w:rPr>
        <w:t>平方米</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lang w:val="en-US" w:eastAsia="zh-CN"/>
        </w:rPr>
        <w:t>租用1栋单层厂房和1栋三层办公楼</w:t>
      </w:r>
      <w:r>
        <w:rPr>
          <w:rFonts w:hint="eastAsia" w:ascii="仿宋_GB2312" w:eastAsia="仿宋_GB2312" w:cs="Times New Roman"/>
          <w:color w:val="auto"/>
          <w:sz w:val="32"/>
          <w:szCs w:val="32"/>
          <w:lang w:eastAsia="zh-CN"/>
        </w:rPr>
        <w:t>；主要设备有真空气淬炉</w:t>
      </w:r>
      <w:r>
        <w:rPr>
          <w:rFonts w:hint="eastAsia" w:ascii="仿宋_GB2312" w:eastAsia="仿宋_GB2312" w:cs="Times New Roman"/>
          <w:color w:val="auto"/>
          <w:sz w:val="32"/>
          <w:szCs w:val="32"/>
          <w:lang w:val="en-US" w:eastAsia="zh-CN"/>
        </w:rPr>
        <w:t>3台、</w:t>
      </w:r>
      <w:r>
        <w:rPr>
          <w:rFonts w:hint="eastAsia" w:ascii="仿宋_GB2312" w:eastAsia="仿宋_GB2312" w:cs="Times New Roman"/>
          <w:color w:val="auto"/>
          <w:sz w:val="32"/>
          <w:szCs w:val="32"/>
          <w:lang w:eastAsia="zh-CN"/>
        </w:rPr>
        <w:t>真空油淬炉</w:t>
      </w:r>
      <w:r>
        <w:rPr>
          <w:rFonts w:hint="eastAsia" w:ascii="仿宋_GB2312" w:eastAsia="仿宋_GB2312" w:cs="Times New Roman"/>
          <w:color w:val="auto"/>
          <w:sz w:val="32"/>
          <w:szCs w:val="32"/>
          <w:lang w:val="en-US" w:eastAsia="zh-CN"/>
        </w:rPr>
        <w:t>2台、</w:t>
      </w:r>
      <w:r>
        <w:rPr>
          <w:rFonts w:hint="eastAsia" w:ascii="仿宋_GB2312" w:eastAsia="仿宋_GB2312" w:cs="Times New Roman"/>
          <w:color w:val="auto"/>
          <w:sz w:val="32"/>
          <w:szCs w:val="32"/>
          <w:lang w:eastAsia="zh-CN"/>
        </w:rPr>
        <w:t>井式回火炉</w:t>
      </w:r>
      <w:r>
        <w:rPr>
          <w:rFonts w:hint="eastAsia" w:ascii="仿宋_GB2312" w:eastAsia="仿宋_GB2312" w:cs="Times New Roman"/>
          <w:color w:val="auto"/>
          <w:sz w:val="32"/>
          <w:szCs w:val="32"/>
          <w:lang w:val="en-US" w:eastAsia="zh-CN"/>
        </w:rPr>
        <w:t>3台、</w:t>
      </w:r>
      <w:r>
        <w:rPr>
          <w:rFonts w:hint="eastAsia" w:ascii="仿宋_GB2312" w:eastAsia="仿宋_GB2312" w:cs="Times New Roman"/>
          <w:color w:val="auto"/>
          <w:sz w:val="32"/>
          <w:szCs w:val="32"/>
          <w:lang w:eastAsia="zh-CN"/>
        </w:rPr>
        <w:t>箱式回火炉</w:t>
      </w:r>
      <w:r>
        <w:rPr>
          <w:rFonts w:hint="eastAsia" w:ascii="仿宋_GB2312" w:eastAsia="仿宋_GB2312" w:cs="Times New Roman"/>
          <w:color w:val="auto"/>
          <w:sz w:val="32"/>
          <w:szCs w:val="32"/>
          <w:lang w:val="en-US" w:eastAsia="zh-CN"/>
        </w:rPr>
        <w:t>4台、</w:t>
      </w:r>
      <w:r>
        <w:rPr>
          <w:rFonts w:hint="eastAsia" w:ascii="仿宋_GB2312" w:eastAsia="仿宋_GB2312" w:cs="Times New Roman"/>
          <w:color w:val="auto"/>
          <w:sz w:val="32"/>
          <w:szCs w:val="32"/>
          <w:lang w:eastAsia="zh-CN"/>
        </w:rPr>
        <w:t>箱式电阻炉</w:t>
      </w:r>
      <w:r>
        <w:rPr>
          <w:rFonts w:hint="eastAsia" w:ascii="仿宋_GB2312" w:eastAsia="仿宋_GB2312" w:cs="Times New Roman"/>
          <w:color w:val="auto"/>
          <w:sz w:val="32"/>
          <w:szCs w:val="32"/>
          <w:lang w:val="en-US" w:eastAsia="zh-CN"/>
        </w:rPr>
        <w:t>1台、</w:t>
      </w:r>
      <w:r>
        <w:rPr>
          <w:rFonts w:hint="eastAsia" w:ascii="仿宋_GB2312" w:eastAsia="仿宋_GB2312" w:cs="Times New Roman"/>
          <w:color w:val="auto"/>
          <w:sz w:val="32"/>
          <w:szCs w:val="32"/>
          <w:lang w:eastAsia="zh-CN"/>
        </w:rPr>
        <w:t>火花检测设备</w:t>
      </w:r>
      <w:r>
        <w:rPr>
          <w:rFonts w:hint="eastAsia" w:ascii="仿宋_GB2312" w:eastAsia="仿宋_GB2312" w:cs="Times New Roman"/>
          <w:color w:val="auto"/>
          <w:sz w:val="32"/>
          <w:szCs w:val="32"/>
          <w:lang w:val="en-US" w:eastAsia="zh-CN"/>
        </w:rPr>
        <w:t>4台、</w:t>
      </w:r>
      <w:r>
        <w:rPr>
          <w:rFonts w:hint="eastAsia" w:ascii="仿宋_GB2312" w:eastAsia="仿宋_GB2312" w:cs="Times New Roman"/>
          <w:color w:val="auto"/>
          <w:sz w:val="32"/>
          <w:szCs w:val="32"/>
          <w:lang w:eastAsia="zh-CN"/>
        </w:rPr>
        <w:t>循环冷却塔</w:t>
      </w:r>
      <w:r>
        <w:rPr>
          <w:rFonts w:hint="eastAsia" w:ascii="仿宋_GB2312" w:eastAsia="仿宋_GB2312" w:cs="Times New Roman"/>
          <w:color w:val="auto"/>
          <w:sz w:val="32"/>
          <w:szCs w:val="32"/>
          <w:lang w:val="en-US" w:eastAsia="zh-CN"/>
        </w:rPr>
        <w:t>1台、</w:t>
      </w:r>
      <w:r>
        <w:rPr>
          <w:rFonts w:hint="eastAsia" w:ascii="仿宋_GB2312" w:eastAsia="仿宋_GB2312" w:cs="Times New Roman"/>
          <w:color w:val="auto"/>
          <w:sz w:val="32"/>
          <w:szCs w:val="32"/>
          <w:lang w:eastAsia="zh-CN"/>
        </w:rPr>
        <w:t>成品检测设备</w:t>
      </w:r>
      <w:r>
        <w:rPr>
          <w:rFonts w:hint="eastAsia" w:ascii="仿宋_GB2312" w:eastAsia="仿宋_GB2312" w:cs="Times New Roman"/>
          <w:color w:val="auto"/>
          <w:sz w:val="32"/>
          <w:szCs w:val="32"/>
          <w:lang w:val="en-US" w:eastAsia="zh-CN"/>
        </w:rPr>
        <w:t>1台等</w:t>
      </w:r>
      <w:r>
        <w:rPr>
          <w:rFonts w:hint="eastAsia" w:ascii="仿宋_GB2312" w:eastAsia="仿宋_GB2312" w:cs="Times New Roman"/>
          <w:color w:val="auto"/>
          <w:sz w:val="32"/>
          <w:szCs w:val="32"/>
          <w:lang w:eastAsia="zh-CN"/>
        </w:rPr>
        <w:t>；</w:t>
      </w:r>
      <w:r>
        <w:rPr>
          <w:rFonts w:hint="eastAsia" w:ascii="仿宋_GB2312" w:eastAsia="仿宋_GB2312"/>
          <w:color w:val="auto"/>
          <w:sz w:val="32"/>
          <w:szCs w:val="32"/>
        </w:rPr>
        <w:t>员工</w:t>
      </w:r>
      <w:r>
        <w:rPr>
          <w:rFonts w:hint="eastAsia" w:ascii="仿宋_GB2312" w:eastAsia="仿宋_GB2312"/>
          <w:color w:val="auto"/>
          <w:sz w:val="32"/>
          <w:szCs w:val="32"/>
          <w:lang w:val="en-US" w:eastAsia="zh-CN"/>
        </w:rPr>
        <w:t>12</w:t>
      </w:r>
      <w:r>
        <w:rPr>
          <w:rFonts w:hint="eastAsia" w:ascii="仿宋_GB2312" w:eastAsia="仿宋_GB2312"/>
          <w:color w:val="auto"/>
          <w:sz w:val="32"/>
          <w:szCs w:val="32"/>
        </w:rPr>
        <w:t>名，内部不安排食宿。</w:t>
      </w:r>
    </w:p>
    <w:p w14:paraId="0B64A3C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14:paraId="655CFE1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14:paraId="4A77641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s="Times New Roman"/>
          <w:color w:val="auto"/>
          <w:sz w:val="32"/>
          <w:szCs w:val="32"/>
          <w:lang w:eastAsia="zh-CN"/>
        </w:rPr>
        <w:t>水污染物</w:t>
      </w:r>
      <w:r>
        <w:rPr>
          <w:rFonts w:hint="eastAsia" w:ascii="仿宋_GB2312" w:eastAsia="仿宋_GB2312" w:cs="Times New Roman"/>
          <w:color w:val="auto"/>
          <w:sz w:val="32"/>
          <w:szCs w:val="32"/>
        </w:rPr>
        <w:t>排放执行广东省《水污染物排放限值》（DB44/26-2001）第二时段三级标准。生活污水排放量不超过</w:t>
      </w:r>
      <w:r>
        <w:rPr>
          <w:rFonts w:hint="eastAsia" w:ascii="仿宋_GB2312" w:eastAsia="仿宋_GB2312" w:cs="Times New Roman"/>
          <w:color w:val="auto"/>
          <w:sz w:val="32"/>
          <w:szCs w:val="32"/>
          <w:lang w:val="en-US" w:eastAsia="zh-CN"/>
        </w:rPr>
        <w:t>108</w:t>
      </w:r>
      <w:r>
        <w:rPr>
          <w:rFonts w:hint="eastAsia" w:ascii="仿宋_GB2312" w:eastAsia="仿宋_GB2312" w:cs="Times New Roman"/>
          <w:color w:val="auto"/>
          <w:sz w:val="32"/>
          <w:szCs w:val="32"/>
        </w:rPr>
        <w:t>吨/年；</w:t>
      </w:r>
      <w:r>
        <w:rPr>
          <w:rFonts w:hint="eastAsia" w:ascii="仿宋_GB2312" w:eastAsia="仿宋_GB2312" w:cs="Times New Roman"/>
          <w:color w:val="auto"/>
          <w:sz w:val="32"/>
          <w:szCs w:val="32"/>
          <w:lang w:val="en-US" w:eastAsia="zh-CN"/>
        </w:rPr>
        <w:t>冷却废水</w:t>
      </w:r>
      <w:r>
        <w:rPr>
          <w:rFonts w:hint="eastAsia" w:ascii="仿宋_GB2312" w:eastAsia="仿宋_GB2312" w:cs="Times New Roman"/>
          <w:color w:val="auto"/>
          <w:sz w:val="32"/>
          <w:szCs w:val="32"/>
        </w:rPr>
        <w:t>排放量不超过</w:t>
      </w:r>
      <w:r>
        <w:rPr>
          <w:rFonts w:hint="eastAsia" w:ascii="仿宋_GB2312" w:eastAsia="仿宋_GB2312" w:cs="Times New Roman"/>
          <w:color w:val="auto"/>
          <w:sz w:val="32"/>
          <w:szCs w:val="32"/>
          <w:lang w:val="en-US" w:eastAsia="zh-CN"/>
        </w:rPr>
        <w:t>36</w:t>
      </w:r>
      <w:r>
        <w:rPr>
          <w:rFonts w:hint="eastAsia" w:ascii="仿宋_GB2312" w:eastAsia="仿宋_GB2312" w:cs="Times New Roman"/>
          <w:color w:val="auto"/>
          <w:sz w:val="32"/>
          <w:szCs w:val="32"/>
        </w:rPr>
        <w:t>吨/年</w:t>
      </w:r>
      <w:r>
        <w:rPr>
          <w:rFonts w:hint="eastAsia" w:ascii="仿宋_GB2312" w:eastAsia="仿宋_GB2312"/>
          <w:color w:val="auto"/>
          <w:sz w:val="32"/>
          <w:szCs w:val="32"/>
        </w:rPr>
        <w:t>。</w:t>
      </w:r>
    </w:p>
    <w:p w14:paraId="5C2993F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lang w:val="en-US" w:eastAsia="zh-CN"/>
        </w:rPr>
      </w:pPr>
      <w:r>
        <w:rPr>
          <w:rFonts w:hint="eastAsia" w:ascii="仿宋_GB2312" w:eastAsia="仿宋_GB2312"/>
          <w:color w:val="auto"/>
          <w:sz w:val="32"/>
          <w:szCs w:val="32"/>
        </w:rPr>
        <w:t>（二）</w:t>
      </w:r>
      <w:r>
        <w:rPr>
          <w:rFonts w:hint="eastAsia" w:ascii="仿宋_GB2312" w:eastAsia="仿宋_GB2312" w:cs="Times New Roman"/>
          <w:color w:val="auto"/>
          <w:sz w:val="32"/>
          <w:szCs w:val="32"/>
          <w:lang w:val="en-US" w:eastAsia="zh-CN"/>
        </w:rPr>
        <w:t>油雾（颗粒物）排放执行广东省《大气污染物排放限值》（DB44/27-2001）第二时段二级标准及无组织排放监控浓度限值。非甲烷总烃排放执行广东省《固定污染源挥发性有机物综合排放标准》（DB44/2367-2022）表1挥发性有机物排放限值及表3厂区内VOCs无组织排放限值。</w:t>
      </w:r>
    </w:p>
    <w:p w14:paraId="1C45200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（三）边界噪声排放执行《工业企业厂界环境噪声排放标准》（GB12348-2008）3类区限值，即：昼间≤65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，夜间≤55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w:t>
      </w:r>
    </w:p>
    <w:p w14:paraId="5D589B1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14:paraId="548C04D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（一）排水系统采用雨污分流。冷却废水循环使用</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定期更换外排</w:t>
      </w:r>
      <w:r>
        <w:rPr>
          <w:rFonts w:hint="eastAsia" w:ascii="仿宋_GB2312" w:eastAsia="仿宋_GB2312"/>
          <w:color w:val="auto"/>
          <w:sz w:val="32"/>
          <w:szCs w:val="32"/>
        </w:rPr>
        <w:t>。生活污水</w:t>
      </w:r>
      <w:r>
        <w:rPr>
          <w:rFonts w:hint="eastAsia" w:ascii="仿宋_GB2312" w:eastAsia="仿宋_GB2312"/>
          <w:color w:val="auto"/>
          <w:sz w:val="32"/>
          <w:szCs w:val="32"/>
          <w:lang w:eastAsia="zh-CN"/>
        </w:rPr>
        <w:t>经三级化粪池预处理后</w:t>
      </w:r>
      <w:r>
        <w:rPr>
          <w:rFonts w:hint="eastAsia" w:ascii="仿宋_GB2312" w:eastAsia="仿宋_GB2312"/>
          <w:color w:val="auto"/>
          <w:sz w:val="32"/>
          <w:szCs w:val="32"/>
          <w:lang w:val="en-US" w:eastAsia="zh-CN"/>
        </w:rPr>
        <w:t>与冷却废水一并</w:t>
      </w:r>
      <w:r>
        <w:rPr>
          <w:rFonts w:hint="eastAsia" w:ascii="仿宋_GB2312" w:eastAsia="仿宋_GB2312"/>
          <w:color w:val="auto"/>
          <w:sz w:val="32"/>
          <w:szCs w:val="32"/>
        </w:rPr>
        <w:t>排入市政集污管网，送</w:t>
      </w:r>
      <w:r>
        <w:rPr>
          <w:rFonts w:hint="eastAsia" w:ascii="仿宋_GB2312" w:eastAsia="仿宋_GB2312"/>
          <w:color w:val="auto"/>
          <w:sz w:val="32"/>
          <w:szCs w:val="32"/>
          <w:lang w:val="en-US" w:eastAsia="zh-CN"/>
        </w:rPr>
        <w:t>前锋</w:t>
      </w:r>
      <w:r>
        <w:rPr>
          <w:rFonts w:hint="eastAsia" w:ascii="仿宋_GB2312" w:eastAsia="仿宋_GB2312"/>
          <w:color w:val="auto"/>
          <w:sz w:val="32"/>
          <w:szCs w:val="32"/>
        </w:rPr>
        <w:t>净水厂</w:t>
      </w:r>
      <w:r>
        <w:rPr>
          <w:rFonts w:hint="eastAsia" w:ascii="仿宋_GB2312" w:eastAsia="仿宋_GB2312"/>
          <w:color w:val="auto"/>
          <w:sz w:val="32"/>
          <w:szCs w:val="32"/>
          <w:lang w:val="en-US" w:eastAsia="zh-CN"/>
        </w:rPr>
        <w:t>集中</w:t>
      </w:r>
      <w:r>
        <w:rPr>
          <w:rFonts w:hint="eastAsia" w:ascii="仿宋_GB2312" w:eastAsia="仿宋_GB2312"/>
          <w:color w:val="auto"/>
          <w:sz w:val="32"/>
          <w:szCs w:val="32"/>
        </w:rPr>
        <w:t>处理。项目设置</w:t>
      </w:r>
      <w:r>
        <w:rPr>
          <w:rFonts w:hint="eastAsia" w:ascii="仿宋_GB2312" w:eastAsia="仿宋_GB2312"/>
          <w:color w:val="auto"/>
          <w:sz w:val="32"/>
          <w:szCs w:val="32"/>
          <w:lang w:val="en-US" w:eastAsia="zh-CN"/>
        </w:rPr>
        <w:t>废水总</w:t>
      </w:r>
      <w:r>
        <w:rPr>
          <w:rFonts w:hint="eastAsia" w:ascii="仿宋_GB2312" w:eastAsia="仿宋_GB2312"/>
          <w:color w:val="auto"/>
          <w:sz w:val="32"/>
          <w:szCs w:val="32"/>
        </w:rPr>
        <w:t>排口</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个。</w:t>
      </w:r>
    </w:p>
    <w:p w14:paraId="3A96B3D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w:t>
      </w:r>
      <w:r>
        <w:rPr>
          <w:rFonts w:hint="eastAsia" w:ascii="仿宋_GB2312" w:eastAsia="仿宋_GB2312"/>
          <w:color w:val="auto"/>
          <w:sz w:val="32"/>
          <w:szCs w:val="32"/>
          <w:lang w:val="en-US" w:eastAsia="zh-CN"/>
        </w:rPr>
        <w:t>按照</w:t>
      </w:r>
      <w:r>
        <w:rPr>
          <w:rFonts w:hint="eastAsia" w:ascii="仿宋_GB2312" w:eastAsia="仿宋_GB2312"/>
          <w:color w:val="auto"/>
          <w:sz w:val="32"/>
          <w:szCs w:val="32"/>
          <w:lang w:eastAsia="zh-CN"/>
        </w:rPr>
        <w:t>广东省</w:t>
      </w:r>
      <w:r>
        <w:rPr>
          <w:rFonts w:hint="eastAsia" w:ascii="仿宋_GB2312" w:eastAsia="仿宋_GB2312"/>
          <w:color w:val="auto"/>
          <w:sz w:val="32"/>
          <w:szCs w:val="32"/>
        </w:rPr>
        <w:t>《固定污染源挥发性有机物综合排放标准》（DB44</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2367-2022）的无组织排放控制要求落实相关措施</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油淬工序产生的废气配套真空泵油雾分离器处理后</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通过专用管道引至所在建筑物楼顶高空排放，排放口高度不低于15米。</w:t>
      </w:r>
      <w:r>
        <w:rPr>
          <w:rFonts w:hint="eastAsia" w:ascii="仿宋_GB2312" w:eastAsia="仿宋_GB2312"/>
          <w:color w:val="auto"/>
          <w:sz w:val="32"/>
          <w:szCs w:val="32"/>
        </w:rPr>
        <w:t>项目设置废气排放口</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个。</w:t>
      </w:r>
    </w:p>
    <w:p w14:paraId="148AB73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14:paraId="089C39E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（三）选用低噪声设备，合理布设生产车间，对噪声源采取隔声、减振等措施，定期检修设备。</w:t>
      </w:r>
    </w:p>
    <w:p w14:paraId="75D3641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w:t>
      </w:r>
      <w:r>
        <w:rPr>
          <w:rFonts w:hint="eastAsia" w:ascii="仿宋_GB2312" w:hAnsi="仿宋_GB2312" w:eastAsia="仿宋_GB2312" w:cs="仿宋_GB2312"/>
          <w:color w:val="auto"/>
          <w:sz w:val="32"/>
          <w:szCs w:val="32"/>
        </w:rPr>
        <w:t>油气分离器废弃滤芯</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废机油、</w:t>
      </w:r>
      <w:r>
        <w:rPr>
          <w:rFonts w:hint="eastAsia" w:ascii="仿宋_GB2312" w:hAnsi="仿宋_GB2312" w:eastAsia="仿宋_GB2312" w:cs="仿宋_GB2312"/>
          <w:color w:val="auto"/>
          <w:sz w:val="32"/>
          <w:szCs w:val="32"/>
        </w:rPr>
        <w:t>废</w:t>
      </w:r>
      <w:r>
        <w:rPr>
          <w:rFonts w:hint="eastAsia" w:ascii="仿宋_GB2312" w:hAnsi="仿宋_GB2312" w:eastAsia="仿宋_GB2312" w:cs="仿宋_GB2312"/>
          <w:color w:val="auto"/>
          <w:sz w:val="32"/>
          <w:szCs w:val="32"/>
          <w:lang w:val="en-US" w:eastAsia="zh-CN"/>
        </w:rPr>
        <w:t>化学品</w:t>
      </w:r>
      <w:r>
        <w:rPr>
          <w:rFonts w:hint="eastAsia" w:ascii="仿宋_GB2312" w:hAnsi="仿宋_GB2312" w:eastAsia="仿宋_GB2312" w:cs="仿宋_GB2312"/>
          <w:color w:val="auto"/>
          <w:sz w:val="32"/>
          <w:szCs w:val="32"/>
        </w:rPr>
        <w:t>包装桶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含油</w:t>
      </w:r>
      <w:r>
        <w:rPr>
          <w:rFonts w:hint="eastAsia" w:ascii="仿宋_GB2312" w:hAnsi="仿宋_GB2312" w:eastAsia="仿宋_GB2312" w:cs="仿宋_GB2312"/>
          <w:color w:val="auto"/>
          <w:sz w:val="32"/>
          <w:szCs w:val="32"/>
          <w:lang w:val="en-US" w:eastAsia="zh-CN"/>
        </w:rPr>
        <w:t>废</w:t>
      </w:r>
      <w:r>
        <w:rPr>
          <w:rFonts w:hint="eastAsia" w:ascii="仿宋_GB2312" w:hAnsi="仿宋_GB2312" w:eastAsia="仿宋_GB2312" w:cs="仿宋_GB2312"/>
          <w:color w:val="auto"/>
          <w:sz w:val="32"/>
          <w:szCs w:val="32"/>
        </w:rPr>
        <w:t>抹布及手套等</w:t>
      </w:r>
      <w:r>
        <w:rPr>
          <w:rFonts w:hint="eastAsia" w:ascii="仿宋_GB2312" w:hAnsi="仿宋_GB2312" w:eastAsia="仿宋_GB2312" w:cs="仿宋_GB2312"/>
          <w:color w:val="auto"/>
          <w:sz w:val="32"/>
          <w:szCs w:val="32"/>
          <w:lang w:val="en-US" w:eastAsia="zh-CN"/>
        </w:rPr>
        <w:t>属于</w:t>
      </w:r>
      <w:r>
        <w:rPr>
          <w:rFonts w:hint="eastAsia" w:ascii="仿宋_GB2312" w:hAnsi="仿宋_GB2312" w:eastAsia="仿宋_GB2312" w:cs="仿宋_GB2312"/>
          <w:color w:val="auto"/>
          <w:sz w:val="32"/>
          <w:szCs w:val="32"/>
        </w:rPr>
        <w:t>危险废物</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须设置符合《危险废物贮存污染控制标准》（GB18597-20</w:t>
      </w:r>
      <w:r>
        <w:rPr>
          <w:rFonts w:hint="eastAsia" w:ascii="仿宋_GB2312" w:hAnsi="仿宋_GB2312" w:eastAsia="仿宋_GB2312" w:cs="仿宋_GB2312"/>
          <w:color w:val="auto"/>
          <w:sz w:val="32"/>
          <w:szCs w:val="32"/>
          <w:lang w:val="en-US" w:eastAsia="zh-CN"/>
        </w:rPr>
        <w:t>23</w:t>
      </w:r>
      <w:r>
        <w:rPr>
          <w:rFonts w:hint="eastAsia" w:ascii="仿宋_GB2312" w:hAnsi="仿宋_GB2312" w:eastAsia="仿宋_GB2312" w:cs="仿宋_GB2312"/>
          <w:color w:val="auto"/>
          <w:sz w:val="32"/>
          <w:szCs w:val="32"/>
        </w:rPr>
        <w:t>）要求的专用贮存场所存放并委托具备危险废物处理资质的机构处理</w:t>
      </w:r>
      <w:r>
        <w:rPr>
          <w:rFonts w:hint="eastAsia" w:ascii="仿宋_GB2312" w:eastAsia="仿宋_GB2312"/>
          <w:color w:val="auto"/>
          <w:sz w:val="32"/>
          <w:szCs w:val="32"/>
        </w:rPr>
        <w:t>。</w:t>
      </w:r>
    </w:p>
    <w:p w14:paraId="73B05BF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14:paraId="75E76E2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五、自《报告表》批准之日起超过五年，方决定该项目开工建设的，《报告表》应当在开工建设前报我局重新审核。未经我局重新审核同意的，不得擅自开工建设。</w:t>
      </w:r>
    </w:p>
    <w:p w14:paraId="6FF04D6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六、该项目建设应严格执行配套建设的环境保护设施与主体工程同时设计、同时施工、同时投产使用的环境保护“三同时”制度，具体要求如下：</w:t>
      </w:r>
    </w:p>
    <w:p w14:paraId="085CFB9D">
      <w:pPr>
        <w:keepNext w:val="0"/>
        <w:keepLines w:val="0"/>
        <w:pageBreakBefore w:val="0"/>
        <w:widowControl/>
        <w:tabs>
          <w:tab w:val="left" w:pos="1418"/>
        </w:tabs>
        <w:kinsoku/>
        <w:wordWrap/>
        <w:overflowPunct/>
        <w:topLinePunct w:val="0"/>
        <w:autoSpaceDE/>
        <w:autoSpaceDN/>
        <w:bidi w:val="0"/>
        <w:adjustRightInd/>
        <w:snapToGrid/>
        <w:spacing w:line="56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rPr>
        <w:t>（一）项目竣工后，你单位应按规定申请取得排污许可证或填报排污登记表，并按照规定的标准、程序和时限，对配套建设的环境保护设施进行验收，编制验收报告，依法向社会公开。</w:t>
      </w:r>
    </w:p>
    <w:p w14:paraId="49DAD14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14:paraId="3564EFE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七、该项目建设和运行过程中如涉及规划、土地利用、建设、水务、消防、安全等问题，应遵照相关法律法规要求到相应的行政主管部门办理有关手续。</w:t>
      </w:r>
    </w:p>
    <w:p w14:paraId="59C5D8D3">
      <w:pPr>
        <w:pStyle w:val="18"/>
        <w:keepNext w:val="0"/>
        <w:keepLines w:val="0"/>
        <w:pageBreakBefore w:val="0"/>
        <w:kinsoku/>
        <w:wordWrap/>
        <w:overflowPunct/>
        <w:topLinePunct w:val="0"/>
        <w:autoSpaceDE/>
        <w:autoSpaceDN/>
        <w:bidi w:val="0"/>
        <w:adjustRightInd/>
        <w:snapToGrid/>
        <w:spacing w:line="560" w:lineRule="exact"/>
        <w:ind w:firstLine="636"/>
        <w:textAlignment w:val="auto"/>
        <w:rPr>
          <w:rFonts w:hint="eastAsia" w:ascii="仿宋_GB2312" w:hAnsi="仿宋" w:eastAsia="仿宋_GB2312" w:cs="Times New Roman"/>
          <w:color w:val="auto"/>
          <w:sz w:val="32"/>
        </w:rPr>
      </w:pPr>
      <w:r>
        <w:rPr>
          <w:rFonts w:hint="eastAsia" w:ascii="仿宋_GB2312" w:eastAsia="仿宋_GB2312"/>
          <w:color w:val="auto"/>
          <w:sz w:val="32"/>
          <w:szCs w:val="32"/>
        </w:rPr>
        <w:t>八、</w:t>
      </w:r>
      <w:r>
        <w:rPr>
          <w:rFonts w:hint="eastAsia" w:ascii="仿宋_GB2312" w:hAnsi="仿宋" w:eastAsia="仿宋_GB2312"/>
          <w:color w:val="auto"/>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w:t>
      </w:r>
      <w:r>
        <w:rPr>
          <w:rFonts w:hint="eastAsia" w:ascii="仿宋_GB2312" w:hAnsi="仿宋" w:eastAsia="仿宋_GB2312" w:cs="Times New Roman"/>
          <w:color w:val="auto"/>
          <w:sz w:val="32"/>
        </w:rPr>
        <w:t>的，不停止本决定的执行。</w:t>
      </w:r>
    </w:p>
    <w:p w14:paraId="5E7A6D00">
      <w:pPr>
        <w:pStyle w:val="18"/>
        <w:keepNext w:val="0"/>
        <w:keepLines w:val="0"/>
        <w:pageBreakBefore w:val="0"/>
        <w:kinsoku/>
        <w:wordWrap/>
        <w:overflowPunct/>
        <w:topLinePunct w:val="0"/>
        <w:autoSpaceDE/>
        <w:autoSpaceDN/>
        <w:bidi w:val="0"/>
        <w:adjustRightInd/>
        <w:snapToGrid/>
        <w:spacing w:line="560" w:lineRule="exact"/>
        <w:ind w:firstLine="636"/>
        <w:textAlignment w:val="auto"/>
        <w:rPr>
          <w:rFonts w:hint="eastAsia" w:ascii="仿宋_GB2312" w:hAnsi="仿宋" w:eastAsia="仿宋_GB2312"/>
          <w:color w:val="auto"/>
          <w:sz w:val="32"/>
          <w:lang w:val="en-US" w:eastAsia="zh-CN"/>
        </w:rPr>
      </w:pPr>
      <w:r>
        <w:rPr>
          <w:rFonts w:hint="eastAsia" w:ascii="仿宋_GB2312" w:hAnsi="仿宋" w:eastAsia="仿宋_GB2312" w:cs="Times New Roman"/>
          <w:color w:val="auto"/>
          <w:sz w:val="32"/>
          <w:lang w:val="en-US" w:eastAsia="zh-CN"/>
        </w:rPr>
        <w:t>九、</w:t>
      </w:r>
      <w:r>
        <w:rPr>
          <w:rFonts w:hint="eastAsia" w:ascii="仿宋_GB2312" w:hAnsi="仿宋" w:eastAsia="仿宋_GB2312" w:cs="Times New Roman"/>
          <w:color w:val="auto"/>
          <w:sz w:val="32"/>
        </w:rPr>
        <w:t>自本批复批准之日起，原批复文件穗(番)环管影〔2018]229号同时废止。</w:t>
      </w:r>
    </w:p>
    <w:p w14:paraId="2B5BD880">
      <w:pPr>
        <w:pStyle w:val="18"/>
        <w:keepNext w:val="0"/>
        <w:keepLines w:val="0"/>
        <w:pageBreakBefore w:val="0"/>
        <w:kinsoku/>
        <w:wordWrap/>
        <w:overflowPunct/>
        <w:topLinePunct w:val="0"/>
        <w:autoSpaceDE/>
        <w:autoSpaceDN/>
        <w:bidi w:val="0"/>
        <w:adjustRightInd/>
        <w:snapToGrid/>
        <w:spacing w:line="560" w:lineRule="exact"/>
        <w:ind w:firstLine="636"/>
        <w:textAlignment w:val="auto"/>
        <w:rPr>
          <w:rFonts w:hint="eastAsia" w:ascii="仿宋_GB2312" w:hAnsi="仿宋" w:eastAsia="仿宋_GB2312"/>
          <w:color w:val="auto"/>
          <w:sz w:val="32"/>
          <w:lang w:val="en-US" w:eastAsia="zh-CN"/>
        </w:rPr>
      </w:pPr>
    </w:p>
    <w:p w14:paraId="1DEC4323">
      <w:pPr>
        <w:pStyle w:val="18"/>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auto"/>
          <w:sz w:val="32"/>
        </w:rPr>
      </w:pPr>
    </w:p>
    <w:p w14:paraId="0A04E27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2799DFF0">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60D15471">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7E90A0C7">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14:paraId="7BC6E7C2">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30</w:t>
      </w:r>
      <w:r>
        <w:rPr>
          <w:rFonts w:hint="eastAsia" w:ascii="仿宋_GB2312" w:eastAsia="仿宋_GB2312"/>
          <w:color w:val="auto"/>
          <w:sz w:val="32"/>
          <w:szCs w:val="32"/>
        </w:rPr>
        <w:t>日</w:t>
      </w:r>
    </w:p>
    <w:p w14:paraId="372AA674">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5BAB33CE">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46B541E">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C99B1C4">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B5413A7">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326EB5F5">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0CCA8466">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14:paraId="22184C5B">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452DAE3">
      <w:pPr>
        <w:keepNext w:val="0"/>
        <w:keepLines w:val="0"/>
        <w:pageBreakBefore w:val="0"/>
        <w:kinsoku/>
        <w:overflowPunct/>
        <w:topLinePunct w:val="0"/>
        <w:autoSpaceDE/>
        <w:autoSpaceDN/>
        <w:bidi w:val="0"/>
        <w:spacing w:line="560" w:lineRule="exact"/>
        <w:ind w:left="1133" w:leftChars="201" w:hanging="711" w:hangingChars="254"/>
        <w:textAlignment w:val="auto"/>
        <w:rPr>
          <w:rFonts w:hint="eastAsia" w:ascii="仿宋_GB2312" w:eastAsia="仿宋_GB2312"/>
          <w:color w:val="auto"/>
          <w:sz w:val="28"/>
          <w:szCs w:val="28"/>
        </w:rPr>
      </w:pPr>
      <w:r>
        <w:rPr>
          <w:rFonts w:hint="eastAsia" w:ascii="仿宋_GB2312" w:eastAsia="仿宋_GB2312"/>
          <w:color w:val="auto"/>
          <w:sz w:val="28"/>
          <w:szCs w:val="28"/>
        </w:rPr>
        <w:t>抄送：广州市生态环境局番禺分局执法</w:t>
      </w:r>
      <w:r>
        <w:rPr>
          <w:rFonts w:hint="eastAsia" w:ascii="仿宋_GB2312" w:eastAsia="仿宋_GB2312"/>
          <w:color w:val="auto"/>
          <w:sz w:val="28"/>
          <w:szCs w:val="28"/>
          <w:lang w:val="en-US" w:eastAsia="zh-CN"/>
        </w:rPr>
        <w:t>二</w:t>
      </w:r>
      <w:r>
        <w:rPr>
          <w:rFonts w:hint="eastAsia" w:ascii="仿宋_GB2312" w:eastAsia="仿宋_GB2312"/>
          <w:color w:val="auto"/>
          <w:sz w:val="28"/>
          <w:szCs w:val="28"/>
        </w:rPr>
        <w:t>科、</w:t>
      </w:r>
      <w:r>
        <w:rPr>
          <w:rFonts w:hint="eastAsia" w:ascii="仿宋_GB2312" w:eastAsia="仿宋_GB2312"/>
          <w:color w:val="auto"/>
          <w:sz w:val="28"/>
          <w:szCs w:val="28"/>
          <w:lang w:eastAsia="zh-CN"/>
        </w:rPr>
        <w:t>番禺</w:t>
      </w:r>
      <w:r>
        <w:rPr>
          <w:rFonts w:hint="eastAsia" w:ascii="仿宋_GB2312" w:eastAsia="仿宋_GB2312"/>
          <w:color w:val="auto"/>
          <w:sz w:val="28"/>
          <w:szCs w:val="28"/>
        </w:rPr>
        <w:t>第</w:t>
      </w:r>
      <w:r>
        <w:rPr>
          <w:rFonts w:hint="eastAsia" w:ascii="仿宋_GB2312" w:eastAsia="仿宋_GB2312"/>
          <w:color w:val="auto"/>
          <w:sz w:val="28"/>
          <w:szCs w:val="28"/>
          <w:lang w:val="en-US" w:eastAsia="zh-CN"/>
        </w:rPr>
        <w:t>四</w:t>
      </w:r>
      <w:r>
        <w:rPr>
          <w:rFonts w:hint="eastAsia" w:ascii="仿宋_GB2312" w:eastAsia="仿宋_GB2312"/>
          <w:color w:val="auto"/>
          <w:sz w:val="28"/>
          <w:szCs w:val="28"/>
        </w:rPr>
        <w:t>环保所，广州坦源环保科技有限公司。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82500">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14:paraId="2C3B46C2">
    <w:pPr>
      <w:pStyle w:val="4"/>
      <w:ind w:right="360" w:firstLine="360"/>
      <w:jc w:val="center"/>
      <w:rPr>
        <w:rFonts w:ascii="Times New Roman" w:hAnsi="Times New Roman"/>
        <w:sz w:val="28"/>
        <w:szCs w:val="28"/>
      </w:rPr>
    </w:pPr>
  </w:p>
  <w:p w14:paraId="1F0202FA">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CDDBE">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14:paraId="75A86EC9">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attachedTemplate r:id="rId1"/>
  <w:documentProtection w:enforcement="0"/>
  <w:defaultTabStop w:val="420"/>
  <w:drawingGridHorizontalSpacing w:val="158"/>
  <w:drawingGridVerticalSpacing w:val="613"/>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A3F"/>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F42A41"/>
    <w:rsid w:val="020C3600"/>
    <w:rsid w:val="022F73A2"/>
    <w:rsid w:val="026A3D04"/>
    <w:rsid w:val="038631D7"/>
    <w:rsid w:val="039E0DF7"/>
    <w:rsid w:val="03D52F56"/>
    <w:rsid w:val="03EB097D"/>
    <w:rsid w:val="04410087"/>
    <w:rsid w:val="04C94AE8"/>
    <w:rsid w:val="0649045C"/>
    <w:rsid w:val="07A36DC9"/>
    <w:rsid w:val="07C74150"/>
    <w:rsid w:val="083C20B8"/>
    <w:rsid w:val="08C71AF5"/>
    <w:rsid w:val="08FF1C4F"/>
    <w:rsid w:val="091574A4"/>
    <w:rsid w:val="0A8452CE"/>
    <w:rsid w:val="0AB6351E"/>
    <w:rsid w:val="0B1F3303"/>
    <w:rsid w:val="0B8373EF"/>
    <w:rsid w:val="0BD14F70"/>
    <w:rsid w:val="0C006EB6"/>
    <w:rsid w:val="0C3D5924"/>
    <w:rsid w:val="0C7516B2"/>
    <w:rsid w:val="0C807692"/>
    <w:rsid w:val="0CB17E61"/>
    <w:rsid w:val="0CB9526E"/>
    <w:rsid w:val="0D5448F5"/>
    <w:rsid w:val="0DE36B99"/>
    <w:rsid w:val="0E3B3C64"/>
    <w:rsid w:val="0F0A6D3C"/>
    <w:rsid w:val="0F176051"/>
    <w:rsid w:val="0F1B4006"/>
    <w:rsid w:val="0F8021FE"/>
    <w:rsid w:val="0FB0759A"/>
    <w:rsid w:val="0FD72C0C"/>
    <w:rsid w:val="103E38B5"/>
    <w:rsid w:val="109C3C4F"/>
    <w:rsid w:val="10BF38FB"/>
    <w:rsid w:val="10E93D4E"/>
    <w:rsid w:val="11B62D57"/>
    <w:rsid w:val="12737E91"/>
    <w:rsid w:val="12CF7DBC"/>
    <w:rsid w:val="12DA5DA1"/>
    <w:rsid w:val="134428A9"/>
    <w:rsid w:val="13673D62"/>
    <w:rsid w:val="136817E4"/>
    <w:rsid w:val="13856B95"/>
    <w:rsid w:val="1549557C"/>
    <w:rsid w:val="15732B3D"/>
    <w:rsid w:val="157D650A"/>
    <w:rsid w:val="16BE72DC"/>
    <w:rsid w:val="17F06755"/>
    <w:rsid w:val="18452C20"/>
    <w:rsid w:val="18511C71"/>
    <w:rsid w:val="196E6BC6"/>
    <w:rsid w:val="19AF0CB4"/>
    <w:rsid w:val="19F023A6"/>
    <w:rsid w:val="1B75731B"/>
    <w:rsid w:val="1BC528C4"/>
    <w:rsid w:val="1BD42BB8"/>
    <w:rsid w:val="1BFA654F"/>
    <w:rsid w:val="1C4F4A80"/>
    <w:rsid w:val="1C9706F7"/>
    <w:rsid w:val="1CB51EA5"/>
    <w:rsid w:val="1D4266B3"/>
    <w:rsid w:val="1D73355D"/>
    <w:rsid w:val="1E237E7E"/>
    <w:rsid w:val="1E537B54"/>
    <w:rsid w:val="1EB41FD8"/>
    <w:rsid w:val="1EFA7EE1"/>
    <w:rsid w:val="1F4D7EC7"/>
    <w:rsid w:val="201209AE"/>
    <w:rsid w:val="20454680"/>
    <w:rsid w:val="20CF4E76"/>
    <w:rsid w:val="221365B8"/>
    <w:rsid w:val="23241352"/>
    <w:rsid w:val="242236D7"/>
    <w:rsid w:val="24377DF9"/>
    <w:rsid w:val="246C2851"/>
    <w:rsid w:val="24A13C25"/>
    <w:rsid w:val="250B3654"/>
    <w:rsid w:val="2537321F"/>
    <w:rsid w:val="256839EE"/>
    <w:rsid w:val="26380843"/>
    <w:rsid w:val="263C7249"/>
    <w:rsid w:val="26850942"/>
    <w:rsid w:val="26B164C1"/>
    <w:rsid w:val="27416AF7"/>
    <w:rsid w:val="27987506"/>
    <w:rsid w:val="288E5F3F"/>
    <w:rsid w:val="28AD7F47"/>
    <w:rsid w:val="28AE5DA0"/>
    <w:rsid w:val="2AA80E45"/>
    <w:rsid w:val="2AE40E6C"/>
    <w:rsid w:val="2B355773"/>
    <w:rsid w:val="2B6910C5"/>
    <w:rsid w:val="2BE12008"/>
    <w:rsid w:val="2C933131"/>
    <w:rsid w:val="2D5766F2"/>
    <w:rsid w:val="2D6C7591"/>
    <w:rsid w:val="2DCC08AF"/>
    <w:rsid w:val="2DDC0B49"/>
    <w:rsid w:val="2E9B7C83"/>
    <w:rsid w:val="2ECA65D4"/>
    <w:rsid w:val="2EEC64D0"/>
    <w:rsid w:val="2EFF79A7"/>
    <w:rsid w:val="30176AFD"/>
    <w:rsid w:val="30357A24"/>
    <w:rsid w:val="307C5365"/>
    <w:rsid w:val="30A22B85"/>
    <w:rsid w:val="315D2D09"/>
    <w:rsid w:val="3232786A"/>
    <w:rsid w:val="32661DA3"/>
    <w:rsid w:val="32E05404"/>
    <w:rsid w:val="335E1555"/>
    <w:rsid w:val="34565015"/>
    <w:rsid w:val="34A100EE"/>
    <w:rsid w:val="356C3834"/>
    <w:rsid w:val="35D37D9D"/>
    <w:rsid w:val="36A43530"/>
    <w:rsid w:val="36DC47B5"/>
    <w:rsid w:val="38EB77CC"/>
    <w:rsid w:val="3A1D0EF5"/>
    <w:rsid w:val="3A5771C4"/>
    <w:rsid w:val="3A7876F9"/>
    <w:rsid w:val="3AA44A54"/>
    <w:rsid w:val="3AE822E0"/>
    <w:rsid w:val="3B617677"/>
    <w:rsid w:val="3C161724"/>
    <w:rsid w:val="3C37543B"/>
    <w:rsid w:val="3C8B0C00"/>
    <w:rsid w:val="3CC7607D"/>
    <w:rsid w:val="3CCA53AD"/>
    <w:rsid w:val="3CF81873"/>
    <w:rsid w:val="3D06102C"/>
    <w:rsid w:val="3DBA1DD5"/>
    <w:rsid w:val="3ED57FA3"/>
    <w:rsid w:val="3EEA5570"/>
    <w:rsid w:val="3EF32DD6"/>
    <w:rsid w:val="3FAC4783"/>
    <w:rsid w:val="3FD014BF"/>
    <w:rsid w:val="3FD1113F"/>
    <w:rsid w:val="407C4E5B"/>
    <w:rsid w:val="41171C7F"/>
    <w:rsid w:val="412C177C"/>
    <w:rsid w:val="41594397"/>
    <w:rsid w:val="418E5F9D"/>
    <w:rsid w:val="41A36E3C"/>
    <w:rsid w:val="41A832C4"/>
    <w:rsid w:val="42576000"/>
    <w:rsid w:val="425E2DF2"/>
    <w:rsid w:val="42BF1B92"/>
    <w:rsid w:val="43D755DA"/>
    <w:rsid w:val="44DF1B8D"/>
    <w:rsid w:val="450F1F75"/>
    <w:rsid w:val="453C3F01"/>
    <w:rsid w:val="45520847"/>
    <w:rsid w:val="45E73322"/>
    <w:rsid w:val="4622569C"/>
    <w:rsid w:val="463311B9"/>
    <w:rsid w:val="47BB79BB"/>
    <w:rsid w:val="47F33399"/>
    <w:rsid w:val="4888168E"/>
    <w:rsid w:val="48C95CB2"/>
    <w:rsid w:val="48CE657F"/>
    <w:rsid w:val="49383A30"/>
    <w:rsid w:val="494A394A"/>
    <w:rsid w:val="4A6D27A8"/>
    <w:rsid w:val="4AE22D88"/>
    <w:rsid w:val="4B621286"/>
    <w:rsid w:val="4BF338A9"/>
    <w:rsid w:val="4C7044F7"/>
    <w:rsid w:val="4C8E3AA7"/>
    <w:rsid w:val="4CDB6B18"/>
    <w:rsid w:val="4D1D2609"/>
    <w:rsid w:val="4E154828"/>
    <w:rsid w:val="4E305A20"/>
    <w:rsid w:val="4E8770E5"/>
    <w:rsid w:val="4E884B66"/>
    <w:rsid w:val="4EB11A7C"/>
    <w:rsid w:val="4EE6167D"/>
    <w:rsid w:val="4F586ABA"/>
    <w:rsid w:val="4F593BBA"/>
    <w:rsid w:val="4F9C166D"/>
    <w:rsid w:val="50BA4F66"/>
    <w:rsid w:val="50E36F44"/>
    <w:rsid w:val="527618D9"/>
    <w:rsid w:val="53406164"/>
    <w:rsid w:val="53774CFF"/>
    <w:rsid w:val="53DE59A8"/>
    <w:rsid w:val="53F75E90"/>
    <w:rsid w:val="553B58E4"/>
    <w:rsid w:val="554A487A"/>
    <w:rsid w:val="55587413"/>
    <w:rsid w:val="55AA541C"/>
    <w:rsid w:val="567E16A6"/>
    <w:rsid w:val="5728768E"/>
    <w:rsid w:val="57323268"/>
    <w:rsid w:val="580E0C05"/>
    <w:rsid w:val="58272CFA"/>
    <w:rsid w:val="58406E56"/>
    <w:rsid w:val="58641614"/>
    <w:rsid w:val="58DD7FD9"/>
    <w:rsid w:val="592D325B"/>
    <w:rsid w:val="596879A6"/>
    <w:rsid w:val="59F57B8E"/>
    <w:rsid w:val="59F73FA9"/>
    <w:rsid w:val="5A0E3BCE"/>
    <w:rsid w:val="5B7E4A72"/>
    <w:rsid w:val="5C7A6246"/>
    <w:rsid w:val="5E1D1866"/>
    <w:rsid w:val="5E811B87"/>
    <w:rsid w:val="5FE1785D"/>
    <w:rsid w:val="5FF25578"/>
    <w:rsid w:val="601766B2"/>
    <w:rsid w:val="609E0F14"/>
    <w:rsid w:val="613B6814"/>
    <w:rsid w:val="614E41B0"/>
    <w:rsid w:val="621506F6"/>
    <w:rsid w:val="62973EAF"/>
    <w:rsid w:val="62BE08BB"/>
    <w:rsid w:val="631E222D"/>
    <w:rsid w:val="633565CF"/>
    <w:rsid w:val="63531402"/>
    <w:rsid w:val="636755BB"/>
    <w:rsid w:val="65434131"/>
    <w:rsid w:val="654A5CBA"/>
    <w:rsid w:val="654F3592"/>
    <w:rsid w:val="660D37F9"/>
    <w:rsid w:val="66D37837"/>
    <w:rsid w:val="66DD064E"/>
    <w:rsid w:val="66E97CE4"/>
    <w:rsid w:val="670A7A3E"/>
    <w:rsid w:val="679E2C8B"/>
    <w:rsid w:val="68637551"/>
    <w:rsid w:val="69814125"/>
    <w:rsid w:val="69EF3DF1"/>
    <w:rsid w:val="6B2C79E4"/>
    <w:rsid w:val="6B2F71CC"/>
    <w:rsid w:val="6BCD01C9"/>
    <w:rsid w:val="6C0F21D5"/>
    <w:rsid w:val="6CB43114"/>
    <w:rsid w:val="6CC509FF"/>
    <w:rsid w:val="6D8B22BF"/>
    <w:rsid w:val="6D9C0A62"/>
    <w:rsid w:val="6DA325EB"/>
    <w:rsid w:val="6DE53850"/>
    <w:rsid w:val="6DF05F6E"/>
    <w:rsid w:val="6E062690"/>
    <w:rsid w:val="6E0A6B18"/>
    <w:rsid w:val="6E357FD2"/>
    <w:rsid w:val="6EC417C9"/>
    <w:rsid w:val="6F202742"/>
    <w:rsid w:val="6F89280C"/>
    <w:rsid w:val="6F985025"/>
    <w:rsid w:val="6FFD27CB"/>
    <w:rsid w:val="71133AA5"/>
    <w:rsid w:val="712B4136"/>
    <w:rsid w:val="71365D4B"/>
    <w:rsid w:val="720860A3"/>
    <w:rsid w:val="721169B3"/>
    <w:rsid w:val="72B22CB9"/>
    <w:rsid w:val="72DE2883"/>
    <w:rsid w:val="73006EB1"/>
    <w:rsid w:val="73417714"/>
    <w:rsid w:val="739432AB"/>
    <w:rsid w:val="739F4EC0"/>
    <w:rsid w:val="73AA720C"/>
    <w:rsid w:val="747D1147"/>
    <w:rsid w:val="75A2558A"/>
    <w:rsid w:val="75A62E95"/>
    <w:rsid w:val="762C5749"/>
    <w:rsid w:val="765C5FCF"/>
    <w:rsid w:val="77923476"/>
    <w:rsid w:val="779C0BC8"/>
    <w:rsid w:val="77A5337F"/>
    <w:rsid w:val="77CD44E0"/>
    <w:rsid w:val="780A11FC"/>
    <w:rsid w:val="78824C27"/>
    <w:rsid w:val="78A10475"/>
    <w:rsid w:val="78C74E32"/>
    <w:rsid w:val="79133F4A"/>
    <w:rsid w:val="79442D41"/>
    <w:rsid w:val="79F37E22"/>
    <w:rsid w:val="7A6C09E6"/>
    <w:rsid w:val="7B331FDF"/>
    <w:rsid w:val="7B5B3EF1"/>
    <w:rsid w:val="7BA515D0"/>
    <w:rsid w:val="7BF357CD"/>
    <w:rsid w:val="7BFC23F6"/>
    <w:rsid w:val="7C2E2674"/>
    <w:rsid w:val="7C6B5C04"/>
    <w:rsid w:val="7D2221D8"/>
    <w:rsid w:val="7D875780"/>
    <w:rsid w:val="7E4F6A23"/>
    <w:rsid w:val="7EC00980"/>
    <w:rsid w:val="7F2467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4</Pages>
  <Words>2766</Words>
  <Characters>2996</Characters>
  <Lines>19</Lines>
  <Paragraphs>5</Paragraphs>
  <TotalTime>0</TotalTime>
  <ScaleCrop>false</ScaleCrop>
  <LinksUpToDate>false</LinksUpToDate>
  <CharactersWithSpaces>3060</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1</cp:lastModifiedBy>
  <cp:lastPrinted>2012-12-06T03:13:00Z</cp:lastPrinted>
  <dcterms:modified xsi:type="dcterms:W3CDTF">2025-05-30T02:48:46Z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0A24E1C222084ECC88A77366DF0914A9_13</vt:lpwstr>
  </property>
</Properties>
</file>