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CA8" w:rsidRDefault="000728E3">
      <w:pPr>
        <w:spacing w:line="560" w:lineRule="exact"/>
        <w:jc w:val="right"/>
        <w:rPr>
          <w:rFonts w:ascii="黑体" w:eastAsia="黑体"/>
          <w:color w:val="000000" w:themeColor="text1"/>
        </w:rPr>
      </w:pPr>
      <w:bookmarkStart w:id="0" w:name="_GoBack"/>
      <w:bookmarkEnd w:id="0"/>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57</w:t>
      </w:r>
      <w:r>
        <w:rPr>
          <w:rFonts w:ascii="仿宋_GB2312" w:eastAsia="仿宋_GB2312" w:hint="eastAsia"/>
          <w:color w:val="000000" w:themeColor="text1"/>
          <w:sz w:val="32"/>
          <w:szCs w:val="32"/>
        </w:rPr>
        <w:t>号</w:t>
      </w:r>
    </w:p>
    <w:p w:rsidR="005E2CA8" w:rsidRDefault="005E2CA8">
      <w:pPr>
        <w:adjustRightInd w:val="0"/>
        <w:snapToGrid w:val="0"/>
        <w:spacing w:line="560" w:lineRule="exact"/>
        <w:rPr>
          <w:rFonts w:ascii="仿宋_GB2312"/>
          <w:color w:val="000000" w:themeColor="text1"/>
        </w:rPr>
      </w:pPr>
    </w:p>
    <w:p w:rsidR="005E2CA8" w:rsidRDefault="005E2CA8">
      <w:pPr>
        <w:adjustRightInd w:val="0"/>
        <w:snapToGrid w:val="0"/>
        <w:spacing w:line="560" w:lineRule="exact"/>
        <w:rPr>
          <w:rFonts w:ascii="仿宋_GB2312"/>
          <w:color w:val="000000" w:themeColor="text1"/>
        </w:rPr>
      </w:pPr>
    </w:p>
    <w:p w:rsidR="005E2CA8" w:rsidRDefault="000728E3">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广州市生态环境局关于广州番禺俊柏电子有限公司碱性含铜蚀刻废液提铜再生技改项目</w:t>
      </w:r>
    </w:p>
    <w:p w:rsidR="005E2CA8" w:rsidRDefault="000728E3">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5E2CA8" w:rsidRDefault="005E2CA8">
      <w:pPr>
        <w:spacing w:line="560" w:lineRule="exact"/>
        <w:rPr>
          <w:rFonts w:ascii="仿宋_GB2312" w:eastAsia="仿宋_GB2312"/>
          <w:color w:val="000000" w:themeColor="text1"/>
          <w:sz w:val="32"/>
          <w:szCs w:val="32"/>
        </w:rPr>
      </w:pPr>
    </w:p>
    <w:p w:rsidR="005E2CA8" w:rsidRDefault="000728E3">
      <w:pPr>
        <w:spacing w:line="60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广州番禺俊柏电子有限公司（</w:t>
      </w:r>
      <w:r>
        <w:rPr>
          <w:rFonts w:ascii="仿宋_GB2312" w:eastAsia="仿宋_GB2312" w:hint="eastAsia"/>
          <w:color w:val="000000" w:themeColor="text1"/>
          <w:sz w:val="32"/>
          <w:szCs w:val="32"/>
        </w:rPr>
        <w:t>91440113708218734X</w:t>
      </w:r>
      <w:r>
        <w:rPr>
          <w:rFonts w:ascii="仿宋_GB2312" w:eastAsia="仿宋_GB2312" w:hint="eastAsia"/>
          <w:color w:val="000000" w:themeColor="text1"/>
          <w:sz w:val="32"/>
          <w:szCs w:val="32"/>
        </w:rPr>
        <w:t>）：</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你单位报送的《广州番禺俊柏电子有限公司碱性含铜蚀刻废液提铜再生技改项目环境影响报告表》（以下简称《报告表》）及附送资料收悉。经研究，现批复如下：</w:t>
      </w:r>
    </w:p>
    <w:p w:rsidR="005E2CA8" w:rsidRDefault="000728E3">
      <w:pPr>
        <w:spacing w:line="600" w:lineRule="exact"/>
        <w:ind w:firstLineChars="200" w:firstLine="640"/>
        <w:rPr>
          <w:rFonts w:ascii="仿宋_GB2312" w:eastAsia="仿宋_GB2312"/>
          <w:color w:val="000000" w:themeColor="text1"/>
          <w:sz w:val="32"/>
          <w:szCs w:val="32"/>
          <w:highlight w:val="yellow"/>
        </w:rPr>
      </w:pPr>
      <w:r>
        <w:rPr>
          <w:rFonts w:ascii="仿宋_GB2312" w:eastAsia="仿宋_GB2312" w:hint="eastAsia"/>
          <w:color w:val="000000" w:themeColor="text1"/>
          <w:sz w:val="32"/>
          <w:szCs w:val="32"/>
        </w:rPr>
        <w:t>一、广州番禺俊柏电子有限公司碱性含铜蚀刻废液提铜再生技改项目（以下简称“该项目”）位于广州市番禺区沙头街禺山西路联邦工业城</w:t>
      </w:r>
      <w:r>
        <w:rPr>
          <w:rFonts w:ascii="仿宋_GB2312" w:eastAsia="仿宋_GB2312" w:hint="eastAsia"/>
          <w:color w:val="000000" w:themeColor="text1"/>
          <w:sz w:val="32"/>
          <w:szCs w:val="32"/>
        </w:rPr>
        <w:t>A16</w:t>
      </w:r>
      <w:r>
        <w:rPr>
          <w:rFonts w:ascii="仿宋_GB2312" w:eastAsia="仿宋_GB2312" w:hint="eastAsia"/>
          <w:color w:val="000000" w:themeColor="text1"/>
          <w:sz w:val="32"/>
          <w:szCs w:val="32"/>
        </w:rPr>
        <w:t>座，申报内容为</w:t>
      </w:r>
      <w:r>
        <w:rPr>
          <w:rFonts w:ascii="仿宋_GB2312" w:eastAsia="仿宋_GB2312" w:hint="eastAsia"/>
          <w:color w:val="000000" w:themeColor="text1"/>
          <w:sz w:val="32"/>
          <w:szCs w:val="32"/>
        </w:rPr>
        <w:t>在</w:t>
      </w:r>
      <w:r>
        <w:rPr>
          <w:rFonts w:ascii="仿宋_GB2312" w:eastAsia="仿宋_GB2312" w:hint="eastAsia"/>
          <w:color w:val="000000" w:themeColor="text1"/>
          <w:sz w:val="32"/>
          <w:szCs w:val="32"/>
        </w:rPr>
        <w:t>原有生产车间</w:t>
      </w:r>
      <w:r>
        <w:rPr>
          <w:rFonts w:ascii="仿宋_GB2312" w:eastAsia="仿宋_GB2312" w:hint="eastAsia"/>
          <w:color w:val="000000" w:themeColor="text1"/>
          <w:sz w:val="32"/>
          <w:szCs w:val="32"/>
        </w:rPr>
        <w:t>新增一套碱性蚀刻废液循环再生及电解回收铜系统</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年处理碱性蚀刻废液</w:t>
      </w:r>
      <w:r>
        <w:rPr>
          <w:rFonts w:ascii="仿宋_GB2312" w:eastAsia="仿宋_GB2312" w:hint="eastAsia"/>
          <w:color w:val="000000" w:themeColor="text1"/>
          <w:sz w:val="32"/>
          <w:szCs w:val="32"/>
        </w:rPr>
        <w:t>600</w:t>
      </w:r>
      <w:r>
        <w:rPr>
          <w:rFonts w:ascii="仿宋_GB2312" w:eastAsia="仿宋_GB2312" w:hint="eastAsia"/>
          <w:color w:val="000000" w:themeColor="text1"/>
          <w:sz w:val="32"/>
          <w:szCs w:val="32"/>
        </w:rPr>
        <w:t>吨和回收单质铜</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吨。主要新增</w:t>
      </w:r>
      <w:r>
        <w:rPr>
          <w:rFonts w:ascii="仿宋_GB2312" w:eastAsia="仿宋_GB2312" w:hint="eastAsia"/>
          <w:color w:val="000000" w:themeColor="text1"/>
          <w:sz w:val="32"/>
          <w:szCs w:val="32"/>
        </w:rPr>
        <w:t>设备有电解槽</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台、循环槽</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台、调配罐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台、整流机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台、主控电箱</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台、自动添加控制器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台、冷却塔</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无新增员工。</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二、该项目各类污染物排放控制要求如下：</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排放执行《电子工业水污染物排放标准》（</w:t>
      </w:r>
      <w:r>
        <w:rPr>
          <w:rFonts w:ascii="仿宋_GB2312" w:eastAsia="仿宋_GB2312" w:hint="eastAsia"/>
          <w:color w:val="000000" w:themeColor="text1"/>
          <w:sz w:val="32"/>
          <w:szCs w:val="32"/>
        </w:rPr>
        <w:t>GB39731-2020</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间接排放与《电镀水污染物排放标准》</w:t>
      </w:r>
      <w:r>
        <w:rPr>
          <w:rFonts w:ascii="仿宋_GB2312" w:eastAsia="仿宋_GB2312" w:hint="eastAsia"/>
          <w:color w:val="000000" w:themeColor="text1"/>
          <w:sz w:val="32"/>
          <w:szCs w:val="32"/>
        </w:rPr>
        <w:t>(DB44/1597-2015)</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珠三角的较严值</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新增喷淋</w:t>
      </w:r>
      <w:r>
        <w:rPr>
          <w:rFonts w:ascii="仿宋_GB2312" w:eastAsia="仿宋_GB2312" w:hint="eastAsia"/>
          <w:color w:val="000000" w:themeColor="text1"/>
          <w:sz w:val="32"/>
          <w:szCs w:val="32"/>
        </w:rPr>
        <w:t>废水排放量不超过</w:t>
      </w:r>
      <w:r>
        <w:rPr>
          <w:rFonts w:ascii="仿宋_GB2312" w:eastAsia="仿宋_GB2312" w:hint="eastAsia"/>
          <w:color w:val="000000" w:themeColor="text1"/>
          <w:sz w:val="32"/>
          <w:szCs w:val="32"/>
        </w:rPr>
        <w:t>198</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氨气排放执行</w:t>
      </w:r>
      <w:r>
        <w:rPr>
          <w:rFonts w:ascii="仿宋_GB2312" w:eastAsia="仿宋_GB2312" w:hint="eastAsia"/>
          <w:color w:val="000000" w:themeColor="text1"/>
          <w:sz w:val="32"/>
          <w:szCs w:val="32"/>
        </w:rPr>
        <w:t>《恶臭污染物排放标准》（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w:t>
      </w:r>
      <w:r>
        <w:rPr>
          <w:rFonts w:ascii="仿宋_GB2312" w:eastAsia="仿宋_GB2312" w:hint="eastAsia"/>
          <w:color w:val="000000" w:themeColor="text1"/>
          <w:sz w:val="32"/>
          <w:szCs w:val="32"/>
        </w:rPr>
        <w:t>界新扩改建二级标准限值和表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排放标准值；</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w:t>
      </w:r>
      <w:r>
        <w:rPr>
          <w:rFonts w:ascii="仿宋_GB2312" w:eastAsia="仿宋_GB2312" w:hint="eastAsia"/>
          <w:color w:val="000000" w:themeColor="text1"/>
          <w:sz w:val="32"/>
          <w:szCs w:val="32"/>
        </w:rPr>
        <w:t>喷淋废水经自建废水处理设施处理后</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w:t>
      </w:r>
      <w:r>
        <w:rPr>
          <w:rFonts w:ascii="仿宋_GB2312" w:eastAsia="仿宋_GB2312" w:hint="eastAsia"/>
          <w:color w:val="000000" w:themeColor="text1"/>
          <w:sz w:val="32"/>
          <w:szCs w:val="32"/>
        </w:rPr>
        <w:t>不新增</w:t>
      </w:r>
      <w:r>
        <w:rPr>
          <w:rFonts w:ascii="仿宋_GB2312" w:eastAsia="仿宋_GB2312" w:hint="eastAsia"/>
          <w:color w:val="000000" w:themeColor="text1"/>
          <w:sz w:val="32"/>
          <w:szCs w:val="32"/>
        </w:rPr>
        <w:t>污水排放口。</w:t>
      </w:r>
    </w:p>
    <w:p w:rsidR="005E2CA8" w:rsidRDefault="000728E3">
      <w:pPr>
        <w:spacing w:line="600" w:lineRule="exact"/>
        <w:ind w:firstLineChars="200" w:firstLine="640"/>
        <w:rPr>
          <w:rFonts w:ascii="仿宋_GB2312" w:eastAsia="仿宋_GB2312"/>
          <w:color w:val="000000" w:themeColor="text1"/>
          <w:sz w:val="32"/>
          <w:szCs w:val="32"/>
          <w:highlight w:val="yellow"/>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电解和调配工序产生废气经收集至酸液喷淋塔处理后</w:t>
      </w:r>
      <w:r>
        <w:rPr>
          <w:rFonts w:ascii="仿宋_GB2312" w:eastAsia="仿宋_GB2312" w:hint="eastAsia"/>
          <w:color w:val="000000" w:themeColor="text1"/>
          <w:sz w:val="32"/>
          <w:szCs w:val="32"/>
        </w:rPr>
        <w:t>引至所在建筑物楼顶高空排放，排放口高度不低于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项目不新增废气排放口。</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（四）废抹布和手套、废包装物等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5E2CA8" w:rsidRDefault="000728E3">
      <w:pPr>
        <w:widowControl/>
        <w:tabs>
          <w:tab w:val="left" w:pos="1418"/>
        </w:tabs>
        <w:spacing w:line="60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w:t>
      </w:r>
      <w:r>
        <w:rPr>
          <w:rFonts w:ascii="仿宋_GB2312" w:eastAsia="仿宋_GB2312" w:hint="eastAsia"/>
          <w:color w:val="000000" w:themeColor="text1"/>
          <w:sz w:val="32"/>
          <w:szCs w:val="32"/>
        </w:rPr>
        <w:t>污许可证或填报排污登记表，并按照规定的标准、程序和时限，对配套建设的环境保护设施进行验收，编制验收报告，依法向社会公开。</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5E2CA8" w:rsidRDefault="000728E3">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5E2CA8" w:rsidRDefault="000728E3">
      <w:pPr>
        <w:pStyle w:val="New"/>
        <w:spacing w:line="600" w:lineRule="exact"/>
        <w:ind w:firstLine="636"/>
        <w:rPr>
          <w:rFonts w:eastAsia="仿宋_GB2312"/>
          <w:color w:val="000000" w:themeColor="text1"/>
          <w:sz w:val="32"/>
          <w:szCs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lastRenderedPageBreak/>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p>
    <w:p w:rsidR="005E2CA8" w:rsidRDefault="005E2CA8">
      <w:pPr>
        <w:pStyle w:val="New"/>
        <w:spacing w:line="600" w:lineRule="exact"/>
        <w:rPr>
          <w:rFonts w:ascii="仿宋_GB2312" w:eastAsia="仿宋_GB2312" w:hAnsi="仿宋"/>
          <w:color w:val="000000" w:themeColor="text1"/>
          <w:sz w:val="32"/>
        </w:rPr>
      </w:pPr>
    </w:p>
    <w:p w:rsidR="005E2CA8" w:rsidRDefault="005E2CA8">
      <w:pPr>
        <w:spacing w:line="600" w:lineRule="exact"/>
        <w:rPr>
          <w:rFonts w:ascii="仿宋_GB2312" w:eastAsia="仿宋_GB2312"/>
          <w:color w:val="000000" w:themeColor="text1"/>
          <w:sz w:val="32"/>
          <w:szCs w:val="32"/>
        </w:rPr>
      </w:pPr>
    </w:p>
    <w:p w:rsidR="005E2CA8" w:rsidRDefault="000728E3">
      <w:pPr>
        <w:spacing w:line="60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5E2CA8" w:rsidRDefault="000728E3">
      <w:pPr>
        <w:spacing w:line="60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21</w:t>
      </w:r>
      <w:r>
        <w:rPr>
          <w:rFonts w:ascii="仿宋_GB2312" w:eastAsia="仿宋_GB2312" w:hint="eastAsia"/>
          <w:color w:val="000000" w:themeColor="text1"/>
          <w:sz w:val="32"/>
          <w:szCs w:val="32"/>
        </w:rPr>
        <w:t>日</w:t>
      </w: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5E2CA8">
      <w:pPr>
        <w:spacing w:line="600" w:lineRule="exact"/>
        <w:rPr>
          <w:rFonts w:ascii="仿宋_GB2312" w:eastAsia="仿宋_GB2312"/>
          <w:color w:val="000000" w:themeColor="text1"/>
          <w:sz w:val="32"/>
          <w:szCs w:val="32"/>
        </w:rPr>
      </w:pPr>
    </w:p>
    <w:p w:rsidR="005E2CA8" w:rsidRDefault="000728E3">
      <w:pPr>
        <w:spacing w:line="60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5E2CA8" w:rsidRDefault="005E2CA8">
      <w:pPr>
        <w:spacing w:line="600" w:lineRule="exact"/>
        <w:rPr>
          <w:rFonts w:ascii="仿宋_GB2312" w:eastAsia="仿宋_GB2312"/>
          <w:color w:val="000000" w:themeColor="text1"/>
          <w:sz w:val="32"/>
          <w:szCs w:val="32"/>
        </w:rPr>
      </w:pPr>
    </w:p>
    <w:p w:rsidR="005E2CA8" w:rsidRDefault="000728E3">
      <w:pPr>
        <w:spacing w:line="60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28"/>
          <w:szCs w:val="28"/>
        </w:rPr>
        <w:t>一</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28"/>
          <w:szCs w:val="28"/>
        </w:rPr>
        <w:t>一</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广州瑞华环保科技有限公司</w:t>
      </w:r>
      <w:r>
        <w:rPr>
          <w:rFonts w:ascii="仿宋_GB2312" w:eastAsia="仿宋_GB2312" w:hint="eastAsia"/>
          <w:color w:val="000000" w:themeColor="text1"/>
          <w:sz w:val="28"/>
          <w:szCs w:val="28"/>
        </w:rPr>
        <w:t>。</w:t>
      </w:r>
    </w:p>
    <w:p w:rsidR="005E2CA8" w:rsidRDefault="005E2CA8">
      <w:pPr>
        <w:spacing w:line="600" w:lineRule="exact"/>
        <w:ind w:leftChars="201" w:left="1133" w:hangingChars="254" w:hanging="711"/>
        <w:rPr>
          <w:rFonts w:ascii="仿宋_GB2312" w:eastAsia="仿宋_GB2312"/>
          <w:sz w:val="28"/>
          <w:szCs w:val="28"/>
        </w:rPr>
      </w:pPr>
    </w:p>
    <w:sectPr w:rsidR="005E2CA8">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28E3" w:rsidRDefault="000728E3">
      <w:r>
        <w:separator/>
      </w:r>
    </w:p>
  </w:endnote>
  <w:endnote w:type="continuationSeparator" w:id="0">
    <w:p w:rsidR="000728E3" w:rsidRDefault="00072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hakuyoxingshu7000"/>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CA8" w:rsidRDefault="000728E3">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5E2CA8" w:rsidRDefault="005E2CA8">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CA8" w:rsidRDefault="000728E3">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54111F">
      <w:rPr>
        <w:rStyle w:val="ad"/>
        <w:rFonts w:ascii="宋体" w:hAnsi="宋体"/>
        <w:noProof/>
        <w:sz w:val="28"/>
        <w:szCs w:val="28"/>
      </w:rPr>
      <w:t>2</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5E2CA8" w:rsidRDefault="005E2CA8">
    <w:pPr>
      <w:pStyle w:val="a7"/>
      <w:ind w:right="360" w:firstLine="360"/>
      <w:jc w:val="center"/>
      <w:rPr>
        <w:rFonts w:ascii="Times New Roman" w:hAnsi="Times New Roman"/>
        <w:sz w:val="28"/>
        <w:szCs w:val="28"/>
      </w:rPr>
    </w:pPr>
  </w:p>
  <w:p w:rsidR="005E2CA8" w:rsidRDefault="005E2CA8">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2CA8" w:rsidRDefault="000728E3">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2180EDE7"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28E3" w:rsidRDefault="000728E3">
      <w:r>
        <w:separator/>
      </w:r>
    </w:p>
  </w:footnote>
  <w:footnote w:type="continuationSeparator" w:id="0">
    <w:p w:rsidR="000728E3" w:rsidRDefault="000728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728E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4111F"/>
    <w:rsid w:val="00562DAC"/>
    <w:rsid w:val="00564EB8"/>
    <w:rsid w:val="0059052A"/>
    <w:rsid w:val="005A149B"/>
    <w:rsid w:val="005B12AD"/>
    <w:rsid w:val="005B60C8"/>
    <w:rsid w:val="005B6D04"/>
    <w:rsid w:val="005C24D6"/>
    <w:rsid w:val="005C69AB"/>
    <w:rsid w:val="005D060E"/>
    <w:rsid w:val="005E2CA8"/>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846C77"/>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1873A89"/>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2F5160C"/>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D308BE5-3BCD-48F1-9C36-D29D7CEAF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2</TotalTime>
  <Pages>4</Pages>
  <Words>263</Words>
  <Characters>1503</Characters>
  <Application>Microsoft Office Word</Application>
  <DocSecurity>0</DocSecurity>
  <Lines>12</Lines>
  <Paragraphs>3</Paragraphs>
  <ScaleCrop>false</ScaleCrop>
  <Company>Bureau of Environment Protection</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2025-05-26T09:12:00Z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