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1C82" w:rsidRDefault="00266E24">
      <w:pPr>
        <w:wordWrap w:val="0"/>
        <w:adjustRightInd w:val="0"/>
        <w:snapToGrid w:val="0"/>
        <w:spacing w:line="600" w:lineRule="exact"/>
        <w:ind w:firstLineChars="200" w:firstLine="420"/>
        <w:rPr>
          <w:rFonts w:ascii="仿宋_GB2312"/>
        </w:rPr>
      </w:pPr>
      <w:bookmarkStart w:id="0" w:name="_GoBack"/>
      <w:bookmarkEnd w:id="0"/>
      <w:r>
        <w:rPr>
          <w:rFonts w:ascii="仿宋_GB2312" w:hint="eastAsia"/>
        </w:rPr>
        <w:t xml:space="preserve">                                       </w:t>
      </w:r>
      <w:r>
        <w:rPr>
          <w:rFonts w:ascii="仿宋_GB2312" w:eastAsia="仿宋_GB2312" w:hint="eastAsia"/>
          <w:sz w:val="32"/>
          <w:szCs w:val="32"/>
        </w:rPr>
        <w:t>穗环管影（番）〔</w:t>
      </w:r>
      <w:r>
        <w:rPr>
          <w:rFonts w:ascii="仿宋_GB2312" w:eastAsia="仿宋_GB2312" w:hint="eastAsia"/>
          <w:sz w:val="32"/>
          <w:szCs w:val="32"/>
        </w:rPr>
        <w:t>2025</w:t>
      </w:r>
      <w:r>
        <w:rPr>
          <w:rFonts w:ascii="仿宋_GB2312" w:eastAsia="仿宋_GB2312" w:hint="eastAsia"/>
          <w:sz w:val="32"/>
          <w:szCs w:val="32"/>
        </w:rPr>
        <w:t>〕</w:t>
      </w:r>
      <w:r>
        <w:rPr>
          <w:rFonts w:ascii="仿宋_GB2312" w:eastAsia="仿宋_GB2312" w:hint="eastAsia"/>
          <w:sz w:val="32"/>
          <w:szCs w:val="32"/>
        </w:rPr>
        <w:t>49</w:t>
      </w:r>
      <w:r>
        <w:rPr>
          <w:rFonts w:ascii="仿宋_GB2312" w:eastAsia="仿宋_GB2312" w:hint="eastAsia"/>
          <w:sz w:val="32"/>
          <w:szCs w:val="32"/>
        </w:rPr>
        <w:t>号</w:t>
      </w:r>
    </w:p>
    <w:p w:rsidR="00EC1C82" w:rsidRDefault="00EC1C82">
      <w:pPr>
        <w:rPr>
          <w:rFonts w:ascii="黑体" w:eastAsia="黑体"/>
        </w:rPr>
      </w:pPr>
    </w:p>
    <w:p w:rsidR="00EC1C82" w:rsidRDefault="00EC1C82">
      <w:pPr>
        <w:adjustRightInd w:val="0"/>
        <w:snapToGrid w:val="0"/>
        <w:spacing w:line="600" w:lineRule="exact"/>
        <w:rPr>
          <w:rFonts w:ascii="仿宋_GB2312"/>
        </w:rPr>
      </w:pPr>
    </w:p>
    <w:p w:rsidR="00EC1C82" w:rsidRDefault="00266E24">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广州市生态环境局关于广州魔声医疗科技</w:t>
      </w:r>
    </w:p>
    <w:p w:rsidR="00EC1C82" w:rsidRDefault="00266E24">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开发有限公司年产医学教学模型</w:t>
      </w:r>
      <w:r>
        <w:rPr>
          <w:rFonts w:ascii="方正小标宋简体" w:eastAsia="方正小标宋简体" w:hAnsi="方正小标宋简体" w:cs="方正小标宋简体" w:hint="eastAsia"/>
          <w:color w:val="000000" w:themeColor="text1"/>
          <w:sz w:val="44"/>
          <w:szCs w:val="44"/>
          <w:lang w:bidi="ar"/>
        </w:rPr>
        <w:t>3000</w:t>
      </w:r>
      <w:r>
        <w:rPr>
          <w:rFonts w:ascii="方正小标宋简体" w:eastAsia="方正小标宋简体" w:hAnsi="方正小标宋简体" w:cs="方正小标宋简体" w:hint="eastAsia"/>
          <w:color w:val="000000" w:themeColor="text1"/>
          <w:sz w:val="44"/>
          <w:szCs w:val="44"/>
          <w:lang w:bidi="ar"/>
        </w:rPr>
        <w:t>套</w:t>
      </w:r>
    </w:p>
    <w:p w:rsidR="00EC1C82" w:rsidRDefault="00266E24">
      <w:pPr>
        <w:spacing w:line="56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lang w:bidi="ar"/>
        </w:rPr>
        <w:t>建设项目环境影响报告表的批复</w:t>
      </w:r>
    </w:p>
    <w:p w:rsidR="00EC1C82" w:rsidRDefault="00EC1C82">
      <w:pPr>
        <w:spacing w:line="530" w:lineRule="exact"/>
        <w:rPr>
          <w:rFonts w:ascii="仿宋_GB2312" w:eastAsia="仿宋_GB2312"/>
          <w:color w:val="000000" w:themeColor="text1"/>
          <w:sz w:val="32"/>
          <w:szCs w:val="32"/>
        </w:rPr>
      </w:pPr>
    </w:p>
    <w:p w:rsidR="00EC1C82" w:rsidRDefault="00266E24">
      <w:pPr>
        <w:spacing w:line="56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广州魔声医疗科技开发有限公司（</w:t>
      </w:r>
      <w:r>
        <w:rPr>
          <w:rFonts w:ascii="仿宋_GB2312" w:eastAsia="仿宋_GB2312"/>
          <w:color w:val="000000" w:themeColor="text1"/>
          <w:sz w:val="32"/>
          <w:szCs w:val="32"/>
        </w:rPr>
        <w:t>91440101MA9XR46L1G</w:t>
      </w:r>
      <w:r>
        <w:rPr>
          <w:rFonts w:ascii="仿宋_GB2312" w:eastAsia="仿宋_GB2312" w:hint="eastAsia"/>
          <w:color w:val="000000" w:themeColor="text1"/>
          <w:sz w:val="32"/>
          <w:szCs w:val="32"/>
        </w:rPr>
        <w:t>）：</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你单位报送的《</w:t>
      </w:r>
      <w:r>
        <w:rPr>
          <w:rFonts w:ascii="仿宋_GB2312" w:eastAsia="仿宋_GB2312" w:hint="eastAsia"/>
          <w:color w:val="000000" w:themeColor="text1"/>
          <w:sz w:val="32"/>
          <w:szCs w:val="32"/>
        </w:rPr>
        <w:t>广州魔声医疗科技开发有限公司年产医学教学模型</w:t>
      </w:r>
      <w:r>
        <w:rPr>
          <w:rFonts w:ascii="仿宋_GB2312" w:eastAsia="仿宋_GB2312" w:hint="eastAsia"/>
          <w:color w:val="000000" w:themeColor="text1"/>
          <w:sz w:val="32"/>
          <w:szCs w:val="32"/>
        </w:rPr>
        <w:t>3000</w:t>
      </w:r>
      <w:r>
        <w:rPr>
          <w:rFonts w:ascii="仿宋_GB2312" w:eastAsia="仿宋_GB2312" w:hint="eastAsia"/>
          <w:color w:val="000000" w:themeColor="text1"/>
          <w:sz w:val="32"/>
          <w:szCs w:val="32"/>
        </w:rPr>
        <w:t>套建设项目</w:t>
      </w:r>
      <w:r>
        <w:rPr>
          <w:rFonts w:ascii="仿宋_GB2312" w:eastAsia="仿宋_GB2312" w:hint="eastAsia"/>
          <w:sz w:val="32"/>
          <w:szCs w:val="32"/>
        </w:rPr>
        <w:t>环境影响报告表》（以下简称《报告表》）及附送资料收悉。经研究，现批复如下：</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color w:val="000000" w:themeColor="text1"/>
          <w:sz w:val="32"/>
          <w:szCs w:val="32"/>
        </w:rPr>
        <w:t>广州魔声医疗科技开发有限公司年产医学教学模型</w:t>
      </w:r>
      <w:r>
        <w:rPr>
          <w:rFonts w:ascii="仿宋_GB2312" w:eastAsia="仿宋_GB2312" w:hint="eastAsia"/>
          <w:color w:val="000000" w:themeColor="text1"/>
          <w:sz w:val="32"/>
          <w:szCs w:val="32"/>
        </w:rPr>
        <w:t>3000</w:t>
      </w:r>
      <w:r>
        <w:rPr>
          <w:rFonts w:ascii="仿宋_GB2312" w:eastAsia="仿宋_GB2312" w:hint="eastAsia"/>
          <w:color w:val="000000" w:themeColor="text1"/>
          <w:sz w:val="32"/>
          <w:szCs w:val="32"/>
        </w:rPr>
        <w:t>套建设项目</w:t>
      </w:r>
      <w:r>
        <w:rPr>
          <w:rFonts w:ascii="仿宋_GB2312" w:eastAsia="仿宋_GB2312" w:hint="eastAsia"/>
          <w:sz w:val="32"/>
          <w:szCs w:val="32"/>
        </w:rPr>
        <w:t>（以下简称“该项目”）位于广州市番禺区石楼镇莲花西路</w:t>
      </w:r>
      <w:r>
        <w:rPr>
          <w:rFonts w:ascii="仿宋_GB2312" w:eastAsia="仿宋_GB2312" w:hint="eastAsia"/>
          <w:sz w:val="32"/>
          <w:szCs w:val="32"/>
        </w:rPr>
        <w:t>86</w:t>
      </w:r>
      <w:r>
        <w:rPr>
          <w:rFonts w:ascii="仿宋_GB2312" w:eastAsia="仿宋_GB2312" w:hint="eastAsia"/>
          <w:sz w:val="32"/>
          <w:szCs w:val="32"/>
        </w:rPr>
        <w:t>号（</w:t>
      </w:r>
      <w:r>
        <w:rPr>
          <w:rFonts w:ascii="仿宋_GB2312" w:eastAsia="仿宋_GB2312" w:hint="eastAsia"/>
          <w:sz w:val="32"/>
          <w:szCs w:val="32"/>
        </w:rPr>
        <w:t>4</w:t>
      </w:r>
      <w:r>
        <w:rPr>
          <w:rFonts w:ascii="仿宋_GB2312" w:eastAsia="仿宋_GB2312" w:hint="eastAsia"/>
          <w:sz w:val="32"/>
          <w:szCs w:val="32"/>
        </w:rPr>
        <w:t>号厂房）三层</w:t>
      </w:r>
      <w:r>
        <w:rPr>
          <w:rFonts w:ascii="仿宋_GB2312" w:eastAsia="仿宋_GB2312" w:hint="eastAsia"/>
          <w:sz w:val="32"/>
          <w:szCs w:val="32"/>
        </w:rPr>
        <w:t>301</w:t>
      </w:r>
      <w:r>
        <w:rPr>
          <w:rFonts w:ascii="仿宋_GB2312" w:eastAsia="仿宋_GB2312" w:hint="eastAsia"/>
          <w:sz w:val="32"/>
          <w:szCs w:val="32"/>
        </w:rPr>
        <w:t>，申报内容为从事医学教学模型的生产，年产</w:t>
      </w:r>
      <w:r>
        <w:rPr>
          <w:rFonts w:ascii="仿宋_GB2312" w:eastAsia="仿宋_GB2312" w:hint="eastAsia"/>
          <w:sz w:val="32"/>
          <w:szCs w:val="32"/>
        </w:rPr>
        <w:t>3000</w:t>
      </w:r>
      <w:r>
        <w:rPr>
          <w:rFonts w:ascii="仿宋_GB2312" w:eastAsia="仿宋_GB2312" w:hint="eastAsia"/>
          <w:sz w:val="32"/>
          <w:szCs w:val="32"/>
        </w:rPr>
        <w:t>套。该项目总建筑面积</w:t>
      </w:r>
      <w:r>
        <w:rPr>
          <w:rFonts w:ascii="仿宋_GB2312" w:eastAsia="仿宋_GB2312"/>
          <w:sz w:val="32"/>
          <w:szCs w:val="32"/>
        </w:rPr>
        <w:t>550</w:t>
      </w:r>
      <w:r>
        <w:rPr>
          <w:rFonts w:ascii="仿宋_GB2312" w:eastAsia="仿宋_GB2312" w:hint="eastAsia"/>
          <w:sz w:val="32"/>
          <w:szCs w:val="32"/>
        </w:rPr>
        <w:t>平方米，租用</w:t>
      </w:r>
      <w:r>
        <w:rPr>
          <w:rFonts w:ascii="仿宋_GB2312" w:eastAsia="仿宋_GB2312" w:hint="eastAsia"/>
          <w:sz w:val="32"/>
          <w:szCs w:val="32"/>
        </w:rPr>
        <w:t>1</w:t>
      </w:r>
      <w:r>
        <w:rPr>
          <w:rFonts w:ascii="仿宋_GB2312" w:eastAsia="仿宋_GB2312" w:hint="eastAsia"/>
          <w:sz w:val="32"/>
          <w:szCs w:val="32"/>
        </w:rPr>
        <w:t>栋</w:t>
      </w:r>
      <w:r>
        <w:rPr>
          <w:rFonts w:ascii="仿宋_GB2312" w:eastAsia="仿宋_GB2312" w:hint="eastAsia"/>
          <w:sz w:val="32"/>
          <w:szCs w:val="32"/>
        </w:rPr>
        <w:t>4</w:t>
      </w:r>
      <w:r>
        <w:rPr>
          <w:rFonts w:ascii="仿宋_GB2312" w:eastAsia="仿宋_GB2312" w:hint="eastAsia"/>
          <w:sz w:val="32"/>
          <w:szCs w:val="32"/>
        </w:rPr>
        <w:t>层厂房第三层的部分区域；</w:t>
      </w:r>
      <w:r>
        <w:rPr>
          <w:rFonts w:ascii="仿宋_GB2312" w:eastAsia="仿宋_GB2312" w:hint="eastAsia"/>
          <w:color w:val="000000" w:themeColor="text1"/>
          <w:sz w:val="32"/>
          <w:szCs w:val="32"/>
        </w:rPr>
        <w:t>主要设备有挤出机</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台、破碎机</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焊机</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w:t>
      </w:r>
      <w:r>
        <w:rPr>
          <w:rFonts w:ascii="仿宋_GB2312" w:eastAsia="仿宋_GB2312" w:hint="eastAsia"/>
          <w:color w:val="000000" w:themeColor="text1"/>
          <w:sz w:val="32"/>
          <w:szCs w:val="32"/>
        </w:rPr>
        <w:t>等</w:t>
      </w:r>
      <w:r>
        <w:rPr>
          <w:rFonts w:ascii="仿宋_GB2312" w:eastAsia="仿宋_GB2312" w:hint="eastAsia"/>
          <w:sz w:val="32"/>
          <w:szCs w:val="32"/>
        </w:rPr>
        <w:t>；员工</w:t>
      </w:r>
      <w:r>
        <w:rPr>
          <w:rFonts w:ascii="仿宋_GB2312" w:eastAsia="仿宋_GB2312"/>
          <w:sz w:val="32"/>
          <w:szCs w:val="32"/>
        </w:rPr>
        <w:t>20</w:t>
      </w:r>
      <w:r>
        <w:rPr>
          <w:rFonts w:ascii="仿宋_GB2312" w:eastAsia="仿宋_GB2312" w:hint="eastAsia"/>
          <w:sz w:val="32"/>
          <w:szCs w:val="32"/>
        </w:rPr>
        <w:t>名，</w:t>
      </w:r>
      <w:r>
        <w:rPr>
          <w:rFonts w:ascii="仿宋_GB2312" w:eastAsia="仿宋_GB2312" w:hint="eastAsia"/>
          <w:color w:val="000000" w:themeColor="text1"/>
          <w:sz w:val="32"/>
          <w:szCs w:val="32"/>
        </w:rPr>
        <w:t>内部不安排食宿</w:t>
      </w:r>
      <w:r>
        <w:rPr>
          <w:rFonts w:ascii="仿宋_GB2312" w:eastAsia="仿宋_GB2312" w:hint="eastAsia"/>
          <w:sz w:val="32"/>
          <w:szCs w:val="32"/>
        </w:rPr>
        <w:t>。该项目挤出工序只使用</w:t>
      </w:r>
      <w:r>
        <w:rPr>
          <w:rFonts w:ascii="仿宋_GB2312" w:eastAsia="仿宋_GB2312" w:hint="eastAsia"/>
          <w:sz w:val="32"/>
          <w:szCs w:val="32"/>
        </w:rPr>
        <w:t>PE</w:t>
      </w:r>
      <w:r>
        <w:rPr>
          <w:rFonts w:ascii="仿宋_GB2312" w:eastAsia="仿宋_GB2312" w:hint="eastAsia"/>
          <w:sz w:val="32"/>
          <w:szCs w:val="32"/>
        </w:rPr>
        <w:t>，不使用再生塑料。</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按照《报告表》的评价结论，在落实各项环境保护措施后，该项目产生的污染物及不良环境影响能够得到有效控制，从环境保护角度，在</w:t>
      </w:r>
      <w:r>
        <w:rPr>
          <w:rFonts w:ascii="仿宋_GB2312" w:eastAsia="仿宋_GB2312" w:hint="eastAsia"/>
          <w:color w:val="000000" w:themeColor="text1"/>
          <w:sz w:val="32"/>
          <w:szCs w:val="32"/>
        </w:rPr>
        <w:t>拟</w:t>
      </w:r>
      <w:r>
        <w:rPr>
          <w:rFonts w:ascii="仿宋_GB2312" w:eastAsia="仿宋_GB2312" w:hint="eastAsia"/>
          <w:sz w:val="32"/>
          <w:szCs w:val="32"/>
        </w:rPr>
        <w:t>选址处建设可行。经审查，我局原则同意《报告表》评价结论。该项目应当按照《报告表》所述性质、规模、地点、</w:t>
      </w:r>
      <w:r>
        <w:rPr>
          <w:rFonts w:ascii="仿宋_GB2312" w:eastAsia="仿宋_GB2312" w:hint="eastAsia"/>
          <w:color w:val="000000" w:themeColor="text1"/>
          <w:sz w:val="32"/>
          <w:szCs w:val="32"/>
        </w:rPr>
        <w:t>生产工艺</w:t>
      </w:r>
      <w:r>
        <w:rPr>
          <w:rFonts w:ascii="仿宋_GB2312" w:eastAsia="仿宋_GB2312" w:hint="eastAsia"/>
          <w:sz w:val="32"/>
          <w:szCs w:val="32"/>
        </w:rPr>
        <w:t>和环境保护措施进行建设。</w:t>
      </w:r>
      <w:r>
        <w:rPr>
          <w:rFonts w:ascii="方正小标宋简体" w:eastAsia="方正小标宋简体" w:hAnsi="方正小标宋简体" w:cs="方正小标宋简体" w:hint="eastAsia"/>
          <w:noProof/>
          <w:color w:val="000000" w:themeColor="text1"/>
          <w:sz w:val="44"/>
          <w:szCs w:val="44"/>
        </w:rPr>
        <mc:AlternateContent>
          <mc:Choice Requires="wps">
            <w:drawing>
              <wp:anchor distT="0" distB="0" distL="114300" distR="114300" simplePos="0" relativeHeight="251660288" behindDoc="0" locked="1" layoutInCell="1" allowOverlap="1">
                <wp:simplePos x="0" y="0"/>
                <wp:positionH relativeFrom="page">
                  <wp:align>center</wp:align>
                </wp:positionH>
                <wp:positionV relativeFrom="page">
                  <wp:posOffset>9893935</wp:posOffset>
                </wp:positionV>
                <wp:extent cx="6120130" cy="6350"/>
                <wp:effectExtent l="0" t="28575" r="6350" b="41275"/>
                <wp:wrapNone/>
                <wp:docPr id="2" name="直接连接符 2"/>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6120130" cy="6350"/>
                        </a:xfrm>
                        <a:prstGeom prst="line">
                          <a:avLst/>
                        </a:prstGeom>
                        <a:ln w="57150" cap="flat" cmpd="thinThick">
                          <a:solidFill>
                            <a:srgbClr val="FF0000"/>
                          </a:solidFill>
                          <a:prstDash val="solid"/>
                          <a:headEnd type="none" w="med" len="med"/>
                          <a:tailEnd type="none" w="med" len="med"/>
                        </a:ln>
                      </wps:spPr>
                      <wps:bodyPr/>
                    </wps:wsp>
                  </a:graphicData>
                </a:graphic>
              </wp:anchor>
            </w:drawing>
          </mc:Choice>
          <mc:Fallback>
            <w:pict>
              <v:line w14:anchorId="3B7EF10F" id="直接连接符 2" o:spid="_x0000_s1026" style="position:absolute;left:0;text-align:left;z-index:251660288;visibility:visible;mso-wrap-style:square;mso-wrap-distance-left:9pt;mso-wrap-distance-top:0;mso-wrap-distance-right:9pt;mso-wrap-distance-bottom:0;mso-position-horizontal:center;mso-position-horizontal-relative:page;mso-position-vertical:absolute;mso-position-vertical-relative:page" from="0,779.05pt" to="481.9pt,77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" strokecolor="red" strokeweight="4.5pt">
                <v:stroke linestyle="thinThick"/>
                <o:lock v:ext="edit" aspectratio="t" shapetype="f"/>
                <w10:wrap anchorx="page" anchory="page"/>
                <w10:anchorlock/>
              </v:line>
            </w:pict>
          </mc:Fallback>
        </mc:AlternateConten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（一）水污染物排放执行广东省《水污染物排放限值》</w:t>
      </w:r>
      <w:r>
        <w:rPr>
          <w:rFonts w:ascii="仿宋_GB2312" w:eastAsia="仿宋_GB2312" w:hint="eastAsia"/>
          <w:sz w:val="32"/>
          <w:szCs w:val="32"/>
        </w:rPr>
        <w:lastRenderedPageBreak/>
        <w:t>（</w:t>
      </w:r>
      <w:r>
        <w:rPr>
          <w:rFonts w:ascii="仿宋_GB2312" w:eastAsia="仿宋_GB2312" w:hint="eastAsia"/>
          <w:sz w:val="32"/>
          <w:szCs w:val="32"/>
        </w:rPr>
        <w:t>DB44/26-2001</w:t>
      </w:r>
      <w:r>
        <w:rPr>
          <w:rFonts w:ascii="仿宋_GB2312" w:eastAsia="仿宋_GB2312" w:hint="eastAsia"/>
          <w:sz w:val="32"/>
          <w:szCs w:val="32"/>
        </w:rPr>
        <w:t>）第二时段三级标准。生活污水排放量不超过</w:t>
      </w:r>
      <w:r>
        <w:rPr>
          <w:rFonts w:ascii="仿宋_GB2312" w:eastAsia="仿宋_GB2312" w:hint="eastAsia"/>
          <w:sz w:val="32"/>
          <w:szCs w:val="32"/>
        </w:rPr>
        <w:t>180</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（二）非甲烷总烃排放执行《合成树脂工业污染物排放标准》（</w:t>
      </w:r>
      <w:r>
        <w:rPr>
          <w:rFonts w:ascii="仿宋_GB2312" w:eastAsia="仿宋_GB2312" w:hint="eastAsia"/>
          <w:sz w:val="32"/>
          <w:szCs w:val="32"/>
        </w:rPr>
        <w:t>GB31572-2015</w:t>
      </w:r>
      <w:r>
        <w:rPr>
          <w:rFonts w:ascii="仿宋_GB2312" w:eastAsia="仿宋_GB2312" w:hint="eastAsia"/>
          <w:sz w:val="32"/>
          <w:szCs w:val="32"/>
        </w:rPr>
        <w:t>（</w:t>
      </w:r>
      <w:r>
        <w:rPr>
          <w:rFonts w:ascii="仿宋_GB2312" w:eastAsia="仿宋_GB2312" w:hint="eastAsia"/>
          <w:sz w:val="32"/>
          <w:szCs w:val="32"/>
        </w:rPr>
        <w:t>含</w:t>
      </w:r>
      <w:r>
        <w:rPr>
          <w:rFonts w:ascii="仿宋_GB2312" w:eastAsia="仿宋_GB2312" w:hint="eastAsia"/>
          <w:sz w:val="32"/>
          <w:szCs w:val="32"/>
        </w:rPr>
        <w:t>2024</w:t>
      </w:r>
      <w:r>
        <w:rPr>
          <w:rFonts w:ascii="仿宋_GB2312" w:eastAsia="仿宋_GB2312" w:hint="eastAsia"/>
          <w:sz w:val="32"/>
          <w:szCs w:val="32"/>
        </w:rPr>
        <w:t>年修改单</w:t>
      </w:r>
      <w:r>
        <w:rPr>
          <w:rFonts w:ascii="仿宋_GB2312" w:eastAsia="仿宋_GB2312" w:hint="eastAsia"/>
          <w:sz w:val="32"/>
          <w:szCs w:val="32"/>
        </w:rPr>
        <w:t>））</w:t>
      </w:r>
      <w:r>
        <w:rPr>
          <w:rFonts w:ascii="仿宋_GB2312" w:eastAsia="仿宋_GB2312" w:hint="eastAsia"/>
          <w:sz w:val="32"/>
          <w:szCs w:val="32"/>
        </w:rPr>
        <w:t>表</w:t>
      </w:r>
      <w:r>
        <w:rPr>
          <w:rFonts w:ascii="仿宋_GB2312" w:eastAsia="仿宋_GB2312" w:hint="eastAsia"/>
          <w:sz w:val="32"/>
          <w:szCs w:val="32"/>
        </w:rPr>
        <w:t>5</w:t>
      </w:r>
      <w:r>
        <w:rPr>
          <w:rFonts w:ascii="仿宋_GB2312" w:eastAsia="仿宋_GB2312" w:hint="eastAsia"/>
          <w:sz w:val="32"/>
          <w:szCs w:val="32"/>
        </w:rPr>
        <w:t>大气污染物特别排放限值；臭气浓度排放执行《恶臭污染物排放标准》（</w:t>
      </w:r>
      <w:r>
        <w:rPr>
          <w:rFonts w:ascii="仿宋_GB2312" w:eastAsia="仿宋_GB2312" w:hint="eastAsia"/>
          <w:sz w:val="32"/>
          <w:szCs w:val="32"/>
        </w:rPr>
        <w:t>GB14554-93</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厂界新扩改建二级标准限值和表</w:t>
      </w:r>
      <w:r>
        <w:rPr>
          <w:rFonts w:ascii="仿宋_GB2312" w:eastAsia="仿宋_GB2312" w:hint="eastAsia"/>
          <w:sz w:val="32"/>
          <w:szCs w:val="32"/>
        </w:rPr>
        <w:t>2</w:t>
      </w:r>
      <w:r>
        <w:rPr>
          <w:rFonts w:ascii="仿宋_GB2312" w:eastAsia="仿宋_GB2312" w:hint="eastAsia"/>
          <w:sz w:val="32"/>
          <w:szCs w:val="32"/>
        </w:rPr>
        <w:t>排放标准值；厂区内非甲烷总烃排放执行广东省《固定污染源挥发性有机物综合排放标准》（</w:t>
      </w:r>
      <w:r>
        <w:rPr>
          <w:rFonts w:ascii="仿宋_GB2312" w:eastAsia="仿宋_GB2312" w:hint="eastAsia"/>
          <w:sz w:val="32"/>
          <w:szCs w:val="32"/>
        </w:rPr>
        <w:t>DB44/2367-2022</w:t>
      </w:r>
      <w:r>
        <w:rPr>
          <w:rFonts w:ascii="仿宋_GB2312" w:eastAsia="仿宋_GB2312" w:hint="eastAsia"/>
          <w:sz w:val="32"/>
          <w:szCs w:val="32"/>
        </w:rPr>
        <w:t>）表</w:t>
      </w:r>
      <w:r>
        <w:rPr>
          <w:rFonts w:ascii="仿宋_GB2312" w:eastAsia="仿宋_GB2312" w:hint="eastAsia"/>
          <w:sz w:val="32"/>
          <w:szCs w:val="32"/>
        </w:rPr>
        <w:t>3</w:t>
      </w:r>
      <w:r>
        <w:rPr>
          <w:rFonts w:ascii="仿宋_GB2312" w:eastAsia="仿宋_GB2312" w:hint="eastAsia"/>
          <w:sz w:val="32"/>
          <w:szCs w:val="32"/>
        </w:rPr>
        <w:t>厂区内</w:t>
      </w:r>
      <w:r>
        <w:rPr>
          <w:rFonts w:ascii="仿宋_GB2312" w:eastAsia="仿宋_GB2312" w:hint="eastAsia"/>
          <w:sz w:val="32"/>
          <w:szCs w:val="32"/>
        </w:rPr>
        <w:t>VOCs</w:t>
      </w:r>
      <w:r>
        <w:rPr>
          <w:rFonts w:ascii="仿宋_GB2312" w:eastAsia="仿宋_GB2312" w:hint="eastAsia"/>
          <w:sz w:val="32"/>
          <w:szCs w:val="32"/>
        </w:rPr>
        <w:t>无组织排放限值；</w:t>
      </w:r>
      <w:r>
        <w:rPr>
          <w:rFonts w:ascii="仿宋_GB2312" w:eastAsia="仿宋_GB2312" w:hint="eastAsia"/>
          <w:color w:val="000000" w:themeColor="text1"/>
          <w:sz w:val="32"/>
          <w:szCs w:val="32"/>
        </w:rPr>
        <w:t>其他大气污染物排放执行广东省《大气污染物排放限值》（</w:t>
      </w:r>
      <w:r>
        <w:rPr>
          <w:rFonts w:ascii="仿宋_GB2312" w:eastAsia="仿宋_GB2312" w:hint="eastAsia"/>
          <w:color w:val="000000" w:themeColor="text1"/>
          <w:sz w:val="32"/>
          <w:szCs w:val="32"/>
        </w:rPr>
        <w:t>DB44/27-2001</w:t>
      </w:r>
      <w:r>
        <w:rPr>
          <w:rFonts w:ascii="仿宋_GB2312" w:eastAsia="仿宋_GB2312" w:hint="eastAsia"/>
          <w:color w:val="000000" w:themeColor="text1"/>
          <w:sz w:val="32"/>
          <w:szCs w:val="32"/>
        </w:rPr>
        <w:t>）第二时段无组织排放监控浓度限值</w:t>
      </w:r>
      <w:r>
        <w:rPr>
          <w:rFonts w:ascii="仿宋_GB2312" w:eastAsia="仿宋_GB2312" w:hint="eastAsia"/>
          <w:sz w:val="32"/>
          <w:szCs w:val="32"/>
        </w:rPr>
        <w:t>。</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hint="eastAsia"/>
          <w:color w:val="000000" w:themeColor="text1"/>
          <w:sz w:val="32"/>
          <w:szCs w:val="32"/>
        </w:rPr>
        <w:t>边界</w:t>
      </w:r>
      <w:r>
        <w:rPr>
          <w:rFonts w:ascii="仿宋_GB2312" w:eastAsia="仿宋_GB2312" w:hint="eastAsia"/>
          <w:sz w:val="32"/>
          <w:szCs w:val="32"/>
        </w:rPr>
        <w:t>噪声排放执行《工业企业厂界环境噪声排放标准》（</w:t>
      </w:r>
      <w:r>
        <w:rPr>
          <w:rFonts w:ascii="仿宋_GB2312" w:eastAsia="仿宋_GB2312" w:hint="eastAsia"/>
          <w:sz w:val="32"/>
          <w:szCs w:val="32"/>
        </w:rPr>
        <w:t>GB12348-2008</w:t>
      </w:r>
      <w:r>
        <w:rPr>
          <w:rFonts w:ascii="仿宋_GB2312" w:eastAsia="仿宋_GB2312" w:hint="eastAsia"/>
          <w:sz w:val="32"/>
          <w:szCs w:val="32"/>
        </w:rPr>
        <w:t>）</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60</w:t>
      </w:r>
      <w:r>
        <w:rPr>
          <w:rFonts w:ascii="仿宋_GB2312" w:eastAsia="仿宋_GB2312" w:hint="eastAsia"/>
          <w:color w:val="000000" w:themeColor="text1"/>
          <w:sz w:val="32"/>
          <w:szCs w:val="32"/>
        </w:rPr>
        <w:t>dB(A)</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50dB(A)</w:t>
      </w:r>
      <w:r>
        <w:rPr>
          <w:rFonts w:ascii="仿宋_GB2312" w:eastAsia="仿宋_GB2312" w:hint="eastAsia"/>
          <w:color w:val="000000" w:themeColor="text1"/>
          <w:sz w:val="32"/>
          <w:szCs w:val="32"/>
        </w:rPr>
        <w:t>。</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三、该项目应当认真落实《报告表》提出的各项环境保护措施，重点做好以下工作：</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（一）排水系统采用雨污分流。生活污水排入市政集污管网，送前锋净水厂集中处理。</w:t>
      </w:r>
      <w:r>
        <w:rPr>
          <w:rFonts w:ascii="仿宋_GB2312" w:eastAsia="仿宋_GB2312" w:hint="eastAsia"/>
          <w:color w:val="000000" w:themeColor="text1"/>
          <w:sz w:val="32"/>
          <w:szCs w:val="32"/>
        </w:rPr>
        <w:t>项目设置生活污水排放口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color w:val="000000" w:themeColor="text1"/>
          <w:sz w:val="32"/>
          <w:szCs w:val="32"/>
        </w:rPr>
        <w:t>按照广东省《固定污染源挥发性有机物综合排放标准》（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sz w:val="32"/>
          <w:szCs w:val="32"/>
        </w:rPr>
        <w:t>。挤出工序产生的废气经收集至二级活性炭吸附装置处理后</w:t>
      </w:r>
      <w:r>
        <w:rPr>
          <w:rFonts w:ascii="仿宋_GB2312" w:eastAsia="仿宋_GB2312" w:hAnsi="宋体" w:cs="仿宋_GB2312"/>
          <w:color w:val="000000"/>
          <w:kern w:val="0"/>
          <w:sz w:val="31"/>
          <w:szCs w:val="31"/>
          <w:lang w:bidi="ar"/>
        </w:rPr>
        <w:t>通过专用管道引至所在建筑物楼顶</w:t>
      </w:r>
      <w:r>
        <w:rPr>
          <w:rFonts w:ascii="仿宋_GB2312" w:eastAsia="仿宋_GB2312" w:hAnsi="宋体" w:cs="仿宋_GB2312" w:hint="eastAsia"/>
          <w:color w:val="000000"/>
          <w:kern w:val="0"/>
          <w:sz w:val="31"/>
          <w:szCs w:val="31"/>
          <w:lang w:bidi="ar"/>
        </w:rPr>
        <w:t>高空排放，排放口高度不低于</w:t>
      </w:r>
      <w:r>
        <w:rPr>
          <w:rFonts w:ascii="仿宋_GB2312" w:eastAsia="仿宋_GB2312" w:hAnsi="宋体" w:cs="仿宋_GB2312" w:hint="eastAsia"/>
          <w:color w:val="000000"/>
          <w:kern w:val="0"/>
          <w:sz w:val="31"/>
          <w:szCs w:val="31"/>
          <w:lang w:bidi="ar"/>
        </w:rPr>
        <w:t>15</w:t>
      </w:r>
      <w:r>
        <w:rPr>
          <w:rFonts w:ascii="仿宋_GB2312" w:eastAsia="仿宋_GB2312" w:hAnsi="宋体" w:cs="仿宋_GB2312" w:hint="eastAsia"/>
          <w:color w:val="000000"/>
          <w:kern w:val="0"/>
          <w:sz w:val="31"/>
          <w:szCs w:val="31"/>
          <w:lang w:bidi="ar"/>
        </w:rPr>
        <w:t>米</w:t>
      </w:r>
      <w:r>
        <w:rPr>
          <w:rFonts w:ascii="仿宋_GB2312" w:eastAsia="仿宋_GB2312" w:hint="eastAsia"/>
          <w:sz w:val="32"/>
          <w:szCs w:val="32"/>
        </w:rPr>
        <w:t>。项目设置废气排放口</w:t>
      </w:r>
      <w:r>
        <w:rPr>
          <w:rFonts w:ascii="仿宋_GB2312" w:eastAsia="仿宋_GB2312" w:hint="eastAsia"/>
          <w:sz w:val="32"/>
          <w:szCs w:val="32"/>
        </w:rPr>
        <w:t>1</w:t>
      </w:r>
      <w:r>
        <w:rPr>
          <w:rFonts w:ascii="仿宋_GB2312" w:eastAsia="仿宋_GB2312" w:hint="eastAsia"/>
          <w:sz w:val="32"/>
          <w:szCs w:val="32"/>
        </w:rPr>
        <w:t>个。</w:t>
      </w:r>
    </w:p>
    <w:p w:rsidR="00EC1C82" w:rsidRDefault="00266E24">
      <w:pPr>
        <w:spacing w:line="56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加强车间边界无组织排放废气的监控，确保车间边界无组织排放监控点的废气达到相应标准限值的要求，监测超标时应加强对无组织排放废气的收集和净化处理。</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（三）选用低噪声设备，合理布设生产车间，高噪声源应采</w:t>
      </w:r>
      <w:r>
        <w:rPr>
          <w:rFonts w:ascii="仿宋_GB2312" w:eastAsia="仿宋_GB2312" w:hint="eastAsia"/>
          <w:sz w:val="32"/>
          <w:szCs w:val="32"/>
        </w:rPr>
        <w:lastRenderedPageBreak/>
        <w:t>取隔声、减振等措施，定期检修设备。</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（四）废机油、废机油桶、含油废抹布及手套、废活性炭等属于危险废物的须设置符合《危险废物贮存污染控制标准》（</w:t>
      </w:r>
      <w:r>
        <w:rPr>
          <w:rFonts w:ascii="仿宋_GB2312" w:eastAsia="仿宋_GB2312" w:hint="eastAsia"/>
          <w:sz w:val="32"/>
          <w:szCs w:val="32"/>
        </w:rPr>
        <w:t>GB18597-2023</w:t>
      </w:r>
      <w:r>
        <w:rPr>
          <w:rFonts w:ascii="仿宋_GB2312" w:eastAsia="仿宋_GB2312" w:hint="eastAsia"/>
          <w:sz w:val="32"/>
          <w:szCs w:val="32"/>
        </w:rPr>
        <w:t>）要求的专用贮存场所存放并委托具备危险废物处理资质的机构处理。</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四、该项目的性质、规模、地点、采用的</w:t>
      </w:r>
      <w:r>
        <w:rPr>
          <w:rFonts w:ascii="仿宋_GB2312" w:eastAsia="仿宋_GB2312" w:hint="eastAsia"/>
          <w:color w:val="000000" w:themeColor="text1"/>
          <w:sz w:val="32"/>
          <w:szCs w:val="32"/>
        </w:rPr>
        <w:t>生产工艺</w:t>
      </w:r>
      <w:r>
        <w:rPr>
          <w:rFonts w:ascii="仿宋_GB2312" w:eastAsia="仿宋_GB2312" w:hint="eastAsia"/>
          <w:sz w:val="32"/>
          <w:szCs w:val="32"/>
        </w:rPr>
        <w:t>或者防治污染、防止生态破坏的措施发生重大变</w:t>
      </w:r>
      <w:r>
        <w:rPr>
          <w:rFonts w:ascii="仿宋_GB2312" w:eastAsia="仿宋_GB2312" w:hint="eastAsia"/>
          <w:sz w:val="32"/>
          <w:szCs w:val="32"/>
        </w:rPr>
        <w:t>动的，你单位应当重新报批环境影响评价文件。</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五、自《报告表》批准之日起超过五年，方决定该项目开工建设的，《报告表》应当在开工建设前报我局重新审核。未经我局重新审核同意的，不得擅自开工建设。</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六、该项目建设应严格执行配套建设的环境保护设施与主体工程同时设计、同时施工、同时投产使用的环境保护“三同时”制度，具体要求如下：</w:t>
      </w:r>
    </w:p>
    <w:p w:rsidR="00EC1C82" w:rsidRDefault="00266E24">
      <w:pPr>
        <w:widowControl/>
        <w:tabs>
          <w:tab w:val="left" w:pos="1418"/>
        </w:tabs>
        <w:spacing w:line="56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（一）项目竣工后，你单位应按规定申请取得排污许可证或填报排污登记表，并按照规定的标准、程序和时限，对配套建设的环境保护设施进行验收，编制验收报告，依法向社会公开。</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（二）项目配套建设的</w:t>
      </w:r>
      <w:r>
        <w:rPr>
          <w:rFonts w:ascii="仿宋_GB2312" w:eastAsia="仿宋_GB2312" w:hint="eastAsia"/>
          <w:sz w:val="32"/>
          <w:szCs w:val="32"/>
        </w:rPr>
        <w:t>环境保护设施经验收合格后，方可投入生产或者使用。</w:t>
      </w:r>
    </w:p>
    <w:p w:rsidR="00EC1C82" w:rsidRDefault="00266E24">
      <w:pPr>
        <w:spacing w:line="560" w:lineRule="exact"/>
        <w:ind w:firstLineChars="200" w:firstLine="640"/>
        <w:rPr>
          <w:rFonts w:ascii="仿宋_GB2312" w:eastAsia="仿宋_GB2312"/>
          <w:sz w:val="32"/>
          <w:szCs w:val="32"/>
        </w:rPr>
      </w:pPr>
      <w:r>
        <w:rPr>
          <w:rFonts w:ascii="仿宋_GB2312" w:eastAsia="仿宋_GB2312" w:hint="eastAsia"/>
          <w:sz w:val="32"/>
          <w:szCs w:val="32"/>
        </w:rPr>
        <w:t>七、该项目建设和运行过程中如涉及规划、土地利用、建设、水务、消防、安全等问题，应遵照相关法律法规要求到相应的行政主管部门办理有关手续。</w:t>
      </w:r>
    </w:p>
    <w:p w:rsidR="00EC1C82" w:rsidRDefault="00266E24">
      <w:pPr>
        <w:pStyle w:val="New"/>
        <w:spacing w:line="560" w:lineRule="exact"/>
        <w:ind w:firstLine="636"/>
        <w:rPr>
          <w:rFonts w:eastAsia="仿宋_GB2312"/>
          <w:sz w:val="32"/>
          <w:szCs w:val="32"/>
        </w:rPr>
      </w:pPr>
      <w:r>
        <w:rPr>
          <w:rFonts w:ascii="仿宋_GB2312" w:eastAsia="仿宋_GB2312" w:hint="eastAsia"/>
          <w:sz w:val="32"/>
          <w:szCs w:val="32"/>
        </w:rPr>
        <w:t>八、</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lastRenderedPageBreak/>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个月内直接向广州铁路运输法院提起行政诉讼。申请行政复议或提起行政诉讼的，不停止本决定的执行</w:t>
      </w:r>
      <w:r>
        <w:rPr>
          <w:rFonts w:ascii="仿宋_GB2312" w:eastAsia="仿宋_GB2312" w:hint="eastAsia"/>
          <w:color w:val="000000" w:themeColor="text1"/>
          <w:sz w:val="32"/>
          <w:szCs w:val="32"/>
        </w:rPr>
        <w:t>。</w:t>
      </w:r>
    </w:p>
    <w:p w:rsidR="00EC1C82" w:rsidRDefault="00EC1C82">
      <w:pPr>
        <w:spacing w:line="560" w:lineRule="exact"/>
        <w:ind w:firstLineChars="200" w:firstLine="640"/>
        <w:rPr>
          <w:rFonts w:ascii="仿宋_GB2312" w:eastAsia="仿宋_GB2312"/>
          <w:color w:val="FF0000"/>
          <w:sz w:val="32"/>
          <w:szCs w:val="32"/>
        </w:rPr>
      </w:pPr>
    </w:p>
    <w:p w:rsidR="00EC1C82" w:rsidRDefault="00EC1C82">
      <w:pPr>
        <w:spacing w:line="560" w:lineRule="exact"/>
        <w:ind w:firstLineChars="1400" w:firstLine="4480"/>
        <w:rPr>
          <w:rFonts w:ascii="仿宋_GB2312" w:eastAsia="仿宋_GB2312"/>
          <w:sz w:val="32"/>
          <w:szCs w:val="32"/>
        </w:rPr>
      </w:pPr>
    </w:p>
    <w:p w:rsidR="00EC1C82" w:rsidRDefault="00EC1C82">
      <w:pPr>
        <w:spacing w:line="560" w:lineRule="exact"/>
        <w:ind w:firstLineChars="1400" w:firstLine="4480"/>
        <w:rPr>
          <w:rFonts w:ascii="仿宋_GB2312" w:eastAsia="仿宋_GB2312"/>
          <w:sz w:val="32"/>
          <w:szCs w:val="32"/>
        </w:rPr>
      </w:pPr>
    </w:p>
    <w:p w:rsidR="00EC1C82" w:rsidRDefault="00266E24">
      <w:pPr>
        <w:spacing w:line="560" w:lineRule="exact"/>
        <w:ind w:firstLineChars="1400" w:firstLine="448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广州市生态环境局</w:t>
      </w:r>
    </w:p>
    <w:p w:rsidR="00EC1C82" w:rsidRDefault="00266E24">
      <w:pPr>
        <w:tabs>
          <w:tab w:val="left" w:pos="7371"/>
          <w:tab w:val="left" w:pos="7655"/>
          <w:tab w:val="left" w:pos="7797"/>
        </w:tabs>
        <w:spacing w:line="560" w:lineRule="exact"/>
        <w:ind w:firstLineChars="1400" w:firstLine="4480"/>
        <w:rPr>
          <w:rFonts w:ascii="黑体" w:eastAsia="黑体"/>
          <w:sz w:val="32"/>
          <w:szCs w:val="32"/>
        </w:rPr>
      </w:pPr>
      <w:r>
        <w:rPr>
          <w:rFonts w:ascii="仿宋_GB2312" w:eastAsia="仿宋_GB2312" w:hint="eastAsia"/>
          <w:sz w:val="32"/>
          <w:szCs w:val="32"/>
        </w:rPr>
        <w:t xml:space="preserve">     2025</w:t>
      </w:r>
      <w:r>
        <w:rPr>
          <w:rFonts w:ascii="仿宋_GB2312" w:eastAsia="仿宋_GB2312" w:hint="eastAsia"/>
          <w:sz w:val="32"/>
          <w:szCs w:val="32"/>
        </w:rPr>
        <w:t>年</w:t>
      </w:r>
      <w:r>
        <w:rPr>
          <w:rFonts w:ascii="仿宋_GB2312" w:eastAsia="仿宋_GB2312" w:hint="eastAsia"/>
          <w:sz w:val="32"/>
          <w:szCs w:val="32"/>
        </w:rPr>
        <w:t>4</w:t>
      </w:r>
      <w:r>
        <w:rPr>
          <w:rFonts w:ascii="仿宋_GB2312" w:eastAsia="仿宋_GB2312" w:hint="eastAsia"/>
          <w:sz w:val="32"/>
          <w:szCs w:val="32"/>
        </w:rPr>
        <w:t>月</w:t>
      </w:r>
      <w:r>
        <w:rPr>
          <w:rFonts w:ascii="仿宋_GB2312" w:eastAsia="仿宋_GB2312" w:hint="eastAsia"/>
          <w:sz w:val="32"/>
          <w:szCs w:val="32"/>
        </w:rPr>
        <w:t>29</w:t>
      </w:r>
      <w:r>
        <w:rPr>
          <w:rFonts w:ascii="仿宋_GB2312" w:eastAsia="仿宋_GB2312" w:hint="eastAsia"/>
          <w:sz w:val="32"/>
          <w:szCs w:val="32"/>
        </w:rPr>
        <w:t>日</w:t>
      </w:r>
    </w:p>
    <w:p w:rsidR="00EC1C82" w:rsidRDefault="00EC1C82">
      <w:pPr>
        <w:spacing w:line="520" w:lineRule="exact"/>
        <w:rPr>
          <w:rFonts w:ascii="黑体" w:eastAsia="黑体"/>
          <w:sz w:val="32"/>
          <w:szCs w:val="32"/>
        </w:rPr>
      </w:pPr>
    </w:p>
    <w:p w:rsidR="00EC1C82" w:rsidRDefault="00EC1C82">
      <w:pPr>
        <w:spacing w:line="520" w:lineRule="exact"/>
        <w:rPr>
          <w:rFonts w:ascii="黑体" w:eastAsia="黑体"/>
          <w:sz w:val="32"/>
          <w:szCs w:val="32"/>
        </w:rPr>
      </w:pPr>
    </w:p>
    <w:p w:rsidR="00EC1C82" w:rsidRDefault="00EC1C82">
      <w:pPr>
        <w:spacing w:line="520" w:lineRule="exact"/>
        <w:rPr>
          <w:rFonts w:ascii="黑体" w:eastAsia="黑体"/>
          <w:sz w:val="32"/>
          <w:szCs w:val="32"/>
        </w:rPr>
      </w:pPr>
    </w:p>
    <w:p w:rsidR="00EC1C82" w:rsidRDefault="00EC1C82">
      <w:pPr>
        <w:spacing w:line="520" w:lineRule="exact"/>
        <w:rPr>
          <w:rFonts w:ascii="黑体" w:eastAsia="黑体"/>
          <w:sz w:val="32"/>
          <w:szCs w:val="32"/>
        </w:rPr>
      </w:pPr>
    </w:p>
    <w:p w:rsidR="00EC1C82" w:rsidRDefault="00EC1C82">
      <w:pPr>
        <w:spacing w:line="520" w:lineRule="exact"/>
        <w:rPr>
          <w:rFonts w:ascii="黑体" w:eastAsia="黑体"/>
          <w:sz w:val="32"/>
          <w:szCs w:val="32"/>
        </w:rPr>
      </w:pPr>
    </w:p>
    <w:p w:rsidR="00EC1C82" w:rsidRDefault="00EC1C82">
      <w:pPr>
        <w:spacing w:line="520" w:lineRule="exact"/>
        <w:rPr>
          <w:rFonts w:ascii="黑体" w:eastAsia="黑体"/>
          <w:sz w:val="32"/>
          <w:szCs w:val="32"/>
        </w:rPr>
      </w:pPr>
    </w:p>
    <w:p w:rsidR="00EC1C82" w:rsidRDefault="00EC1C82">
      <w:pPr>
        <w:spacing w:line="520" w:lineRule="exact"/>
        <w:rPr>
          <w:rFonts w:ascii="黑体" w:eastAsia="黑体"/>
          <w:sz w:val="32"/>
          <w:szCs w:val="32"/>
        </w:rPr>
      </w:pPr>
    </w:p>
    <w:p w:rsidR="00EC1C82" w:rsidRDefault="00EC1C82">
      <w:pPr>
        <w:spacing w:line="520" w:lineRule="exact"/>
        <w:rPr>
          <w:rFonts w:ascii="黑体" w:eastAsia="黑体"/>
          <w:sz w:val="32"/>
          <w:szCs w:val="32"/>
        </w:rPr>
      </w:pPr>
    </w:p>
    <w:p w:rsidR="00EC1C82" w:rsidRDefault="00EC1C82">
      <w:pPr>
        <w:spacing w:line="520" w:lineRule="exact"/>
        <w:rPr>
          <w:rFonts w:ascii="黑体" w:eastAsia="黑体"/>
          <w:sz w:val="32"/>
          <w:szCs w:val="32"/>
        </w:rPr>
      </w:pPr>
    </w:p>
    <w:p w:rsidR="00EC1C82" w:rsidRDefault="00EC1C82">
      <w:pPr>
        <w:spacing w:line="520" w:lineRule="exact"/>
        <w:rPr>
          <w:rFonts w:ascii="黑体" w:eastAsia="黑体"/>
          <w:sz w:val="32"/>
          <w:szCs w:val="32"/>
        </w:rPr>
      </w:pPr>
    </w:p>
    <w:p w:rsidR="00EC1C82" w:rsidRDefault="00266E24">
      <w:pPr>
        <w:spacing w:line="520" w:lineRule="exact"/>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rsidR="00EC1C82" w:rsidRDefault="00EC1C82">
      <w:pPr>
        <w:spacing w:line="520" w:lineRule="exact"/>
        <w:rPr>
          <w:rFonts w:ascii="仿宋_GB2312" w:eastAsia="仿宋_GB2312"/>
          <w:sz w:val="32"/>
          <w:szCs w:val="32"/>
        </w:rPr>
      </w:pPr>
    </w:p>
    <w:p w:rsidR="00EC1C82" w:rsidRDefault="00266E24">
      <w:pPr>
        <w:spacing w:line="520" w:lineRule="exact"/>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抄送：广州市生态环境局番禺分局执法二科、番禺第四环保所，广州怀信环境技术有限公司。</w:t>
      </w:r>
    </w:p>
    <w:sectPr w:rsidR="00EC1C82">
      <w:footerReference w:type="even" r:id="rId7"/>
      <w:footerReference w:type="default" r:id="rId8"/>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6E24" w:rsidRDefault="00266E24">
      <w:r>
        <w:separator/>
      </w:r>
    </w:p>
  </w:endnote>
  <w:endnote w:type="continuationSeparator" w:id="0">
    <w:p w:rsidR="00266E24" w:rsidRDefault="00266E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1C82" w:rsidRDefault="00266E24">
    <w:pPr>
      <w:pStyle w:val="a7"/>
      <w:framePr w:wrap="around" w:vAnchor="text" w:hAnchor="margin" w:xAlign="outside" w:y="1"/>
      <w:rPr>
        <w:rStyle w:val="ad"/>
      </w:rPr>
    </w:pPr>
    <w:r>
      <w:fldChar w:fldCharType="begin"/>
    </w:r>
    <w:r>
      <w:rPr>
        <w:rStyle w:val="ad"/>
      </w:rPr>
      <w:instrText xml:space="preserve">PAGE  </w:instrText>
    </w:r>
    <w:r>
      <w:fldChar w:fldCharType="end"/>
    </w:r>
  </w:p>
  <w:p w:rsidR="00EC1C82" w:rsidRDefault="00EC1C82">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1C82" w:rsidRDefault="00266E24">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Fonts w:ascii="宋体" w:hAnsi="宋体"/>
        <w:sz w:val="28"/>
        <w:szCs w:val="28"/>
      </w:rPr>
      <w:fldChar w:fldCharType="begin"/>
    </w:r>
    <w:r>
      <w:rPr>
        <w:rStyle w:val="ad"/>
        <w:rFonts w:ascii="宋体" w:hAnsi="宋体"/>
        <w:sz w:val="28"/>
        <w:szCs w:val="28"/>
      </w:rPr>
      <w:instrText xml:space="preserve">PAGE  </w:instrText>
    </w:r>
    <w:r>
      <w:rPr>
        <w:rFonts w:ascii="宋体" w:hAnsi="宋体"/>
        <w:sz w:val="28"/>
        <w:szCs w:val="28"/>
      </w:rPr>
      <w:fldChar w:fldCharType="separate"/>
    </w:r>
    <w:r w:rsidR="009914B1">
      <w:rPr>
        <w:rStyle w:val="ad"/>
        <w:rFonts w:ascii="宋体" w:hAnsi="宋体"/>
        <w:noProof/>
        <w:sz w:val="28"/>
        <w:szCs w:val="28"/>
      </w:rPr>
      <w:t>2</w:t>
    </w:r>
    <w:r>
      <w:rPr>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rsidR="00EC1C82" w:rsidRDefault="00EC1C82">
    <w:pPr>
      <w:pStyle w:val="a7"/>
      <w:ind w:right="360" w:firstLine="360"/>
      <w:jc w:val="center"/>
      <w:rPr>
        <w:sz w:val="28"/>
        <w:szCs w:val="28"/>
      </w:rPr>
    </w:pPr>
  </w:p>
  <w:p w:rsidR="00EC1C82" w:rsidRDefault="00EC1C82">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6E24" w:rsidRDefault="00266E24">
      <w:r>
        <w:separator/>
      </w:r>
    </w:p>
  </w:footnote>
  <w:footnote w:type="continuationSeparator" w:id="0">
    <w:p w:rsidR="00266E24" w:rsidRDefault="00266E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420"/>
  <w:drawingGridHorizontalSpacing w:val="158"/>
  <w:drawingGridVerticalSpacing w:val="613"/>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7670"/>
    <w:rsid w:val="00047F69"/>
    <w:rsid w:val="000600A3"/>
    <w:rsid w:val="00081938"/>
    <w:rsid w:val="00082A5C"/>
    <w:rsid w:val="000832FD"/>
    <w:rsid w:val="000852F9"/>
    <w:rsid w:val="00090CE7"/>
    <w:rsid w:val="00091F5C"/>
    <w:rsid w:val="00097289"/>
    <w:rsid w:val="000B070F"/>
    <w:rsid w:val="000B4C18"/>
    <w:rsid w:val="000C301C"/>
    <w:rsid w:val="000C3889"/>
    <w:rsid w:val="000C3CB8"/>
    <w:rsid w:val="000D56D5"/>
    <w:rsid w:val="000D6A43"/>
    <w:rsid w:val="001020A2"/>
    <w:rsid w:val="00104C9C"/>
    <w:rsid w:val="0012593F"/>
    <w:rsid w:val="00145974"/>
    <w:rsid w:val="00151CBA"/>
    <w:rsid w:val="00163612"/>
    <w:rsid w:val="00173803"/>
    <w:rsid w:val="00185235"/>
    <w:rsid w:val="001C347F"/>
    <w:rsid w:val="001E17DB"/>
    <w:rsid w:val="001F12B9"/>
    <w:rsid w:val="001F1FC3"/>
    <w:rsid w:val="001F60AA"/>
    <w:rsid w:val="001F7ECF"/>
    <w:rsid w:val="0020594A"/>
    <w:rsid w:val="00207F01"/>
    <w:rsid w:val="00212861"/>
    <w:rsid w:val="00212DD9"/>
    <w:rsid w:val="00213A61"/>
    <w:rsid w:val="00214473"/>
    <w:rsid w:val="00225893"/>
    <w:rsid w:val="002513F3"/>
    <w:rsid w:val="00266E24"/>
    <w:rsid w:val="0027017E"/>
    <w:rsid w:val="0027079B"/>
    <w:rsid w:val="00271C08"/>
    <w:rsid w:val="0027369D"/>
    <w:rsid w:val="00280957"/>
    <w:rsid w:val="00283EC7"/>
    <w:rsid w:val="002840F5"/>
    <w:rsid w:val="00290A95"/>
    <w:rsid w:val="002915FD"/>
    <w:rsid w:val="002A78A2"/>
    <w:rsid w:val="002B3756"/>
    <w:rsid w:val="002C0C0E"/>
    <w:rsid w:val="002C13BB"/>
    <w:rsid w:val="002C5286"/>
    <w:rsid w:val="002D01F1"/>
    <w:rsid w:val="002D444A"/>
    <w:rsid w:val="002D6E72"/>
    <w:rsid w:val="002F222A"/>
    <w:rsid w:val="003016C4"/>
    <w:rsid w:val="00314CDC"/>
    <w:rsid w:val="00323D70"/>
    <w:rsid w:val="003275AA"/>
    <w:rsid w:val="00334F3A"/>
    <w:rsid w:val="00347973"/>
    <w:rsid w:val="003551D8"/>
    <w:rsid w:val="003804CF"/>
    <w:rsid w:val="00396136"/>
    <w:rsid w:val="003A52FB"/>
    <w:rsid w:val="003D6927"/>
    <w:rsid w:val="003E6957"/>
    <w:rsid w:val="003F1D2D"/>
    <w:rsid w:val="0042675C"/>
    <w:rsid w:val="004366AD"/>
    <w:rsid w:val="00436E68"/>
    <w:rsid w:val="004422C8"/>
    <w:rsid w:val="00464587"/>
    <w:rsid w:val="00466E9D"/>
    <w:rsid w:val="0047490D"/>
    <w:rsid w:val="00481214"/>
    <w:rsid w:val="0048602A"/>
    <w:rsid w:val="004A1CB8"/>
    <w:rsid w:val="004A38CF"/>
    <w:rsid w:val="004A5E23"/>
    <w:rsid w:val="004A62BA"/>
    <w:rsid w:val="004C5EFD"/>
    <w:rsid w:val="004D0859"/>
    <w:rsid w:val="004D586D"/>
    <w:rsid w:val="004E13C9"/>
    <w:rsid w:val="004E567A"/>
    <w:rsid w:val="00511456"/>
    <w:rsid w:val="00521A96"/>
    <w:rsid w:val="00527C59"/>
    <w:rsid w:val="0053095F"/>
    <w:rsid w:val="0053590B"/>
    <w:rsid w:val="005374E2"/>
    <w:rsid w:val="005429FF"/>
    <w:rsid w:val="00564EB8"/>
    <w:rsid w:val="00566920"/>
    <w:rsid w:val="0059052A"/>
    <w:rsid w:val="005A149B"/>
    <w:rsid w:val="005B12AD"/>
    <w:rsid w:val="005B6D04"/>
    <w:rsid w:val="005C24D6"/>
    <w:rsid w:val="005C69AB"/>
    <w:rsid w:val="005C6B0C"/>
    <w:rsid w:val="005D060E"/>
    <w:rsid w:val="005D092A"/>
    <w:rsid w:val="005D6126"/>
    <w:rsid w:val="005E3B4A"/>
    <w:rsid w:val="005E5891"/>
    <w:rsid w:val="005F76D5"/>
    <w:rsid w:val="006054AA"/>
    <w:rsid w:val="0062245C"/>
    <w:rsid w:val="006351A7"/>
    <w:rsid w:val="00640DE7"/>
    <w:rsid w:val="00641192"/>
    <w:rsid w:val="00652804"/>
    <w:rsid w:val="006576FA"/>
    <w:rsid w:val="00675205"/>
    <w:rsid w:val="00677228"/>
    <w:rsid w:val="00693BD5"/>
    <w:rsid w:val="006A28F5"/>
    <w:rsid w:val="006A6881"/>
    <w:rsid w:val="006A6965"/>
    <w:rsid w:val="006B2BAD"/>
    <w:rsid w:val="006C3A36"/>
    <w:rsid w:val="006D0170"/>
    <w:rsid w:val="006D7C57"/>
    <w:rsid w:val="006E5889"/>
    <w:rsid w:val="006F15BA"/>
    <w:rsid w:val="006F29B5"/>
    <w:rsid w:val="006F469A"/>
    <w:rsid w:val="00707832"/>
    <w:rsid w:val="007158E4"/>
    <w:rsid w:val="00716C4E"/>
    <w:rsid w:val="00720BC0"/>
    <w:rsid w:val="00723B6D"/>
    <w:rsid w:val="00730C65"/>
    <w:rsid w:val="007443DC"/>
    <w:rsid w:val="00750DBF"/>
    <w:rsid w:val="00753DD4"/>
    <w:rsid w:val="00753DDF"/>
    <w:rsid w:val="007847A3"/>
    <w:rsid w:val="007855D9"/>
    <w:rsid w:val="00790E97"/>
    <w:rsid w:val="007B29D0"/>
    <w:rsid w:val="007B438D"/>
    <w:rsid w:val="007B5088"/>
    <w:rsid w:val="007C5CB3"/>
    <w:rsid w:val="007E0B30"/>
    <w:rsid w:val="00802F15"/>
    <w:rsid w:val="008078D7"/>
    <w:rsid w:val="008170AC"/>
    <w:rsid w:val="008372CA"/>
    <w:rsid w:val="0086236D"/>
    <w:rsid w:val="00882B8E"/>
    <w:rsid w:val="00884916"/>
    <w:rsid w:val="008865F4"/>
    <w:rsid w:val="0089687C"/>
    <w:rsid w:val="008B3BE3"/>
    <w:rsid w:val="008B3E8D"/>
    <w:rsid w:val="008C31B7"/>
    <w:rsid w:val="008D701C"/>
    <w:rsid w:val="008E07FB"/>
    <w:rsid w:val="008F3EEB"/>
    <w:rsid w:val="008F580D"/>
    <w:rsid w:val="00902B79"/>
    <w:rsid w:val="00902C55"/>
    <w:rsid w:val="00926C10"/>
    <w:rsid w:val="00932FC7"/>
    <w:rsid w:val="0093611D"/>
    <w:rsid w:val="009473C5"/>
    <w:rsid w:val="00950FC2"/>
    <w:rsid w:val="009544A8"/>
    <w:rsid w:val="0096566C"/>
    <w:rsid w:val="00972A29"/>
    <w:rsid w:val="00974609"/>
    <w:rsid w:val="00974E8C"/>
    <w:rsid w:val="00982E78"/>
    <w:rsid w:val="009914B1"/>
    <w:rsid w:val="009A3DB2"/>
    <w:rsid w:val="009C5976"/>
    <w:rsid w:val="009C5EB5"/>
    <w:rsid w:val="009C790D"/>
    <w:rsid w:val="009D272F"/>
    <w:rsid w:val="009D34AC"/>
    <w:rsid w:val="009E0D72"/>
    <w:rsid w:val="009E1AD4"/>
    <w:rsid w:val="009E5416"/>
    <w:rsid w:val="00A36142"/>
    <w:rsid w:val="00A40AFA"/>
    <w:rsid w:val="00A40B19"/>
    <w:rsid w:val="00A56A9B"/>
    <w:rsid w:val="00AC047D"/>
    <w:rsid w:val="00AC648A"/>
    <w:rsid w:val="00AC7BAA"/>
    <w:rsid w:val="00AD33EF"/>
    <w:rsid w:val="00AD6B4C"/>
    <w:rsid w:val="00AE0762"/>
    <w:rsid w:val="00AE5E03"/>
    <w:rsid w:val="00AF7F2C"/>
    <w:rsid w:val="00B012B5"/>
    <w:rsid w:val="00B10676"/>
    <w:rsid w:val="00B15884"/>
    <w:rsid w:val="00B30042"/>
    <w:rsid w:val="00B31FB2"/>
    <w:rsid w:val="00B42B25"/>
    <w:rsid w:val="00B45736"/>
    <w:rsid w:val="00B5742B"/>
    <w:rsid w:val="00B60A41"/>
    <w:rsid w:val="00B62BB2"/>
    <w:rsid w:val="00B650E2"/>
    <w:rsid w:val="00B71F4F"/>
    <w:rsid w:val="00B805AF"/>
    <w:rsid w:val="00B837BD"/>
    <w:rsid w:val="00B83F72"/>
    <w:rsid w:val="00B95160"/>
    <w:rsid w:val="00B95EC7"/>
    <w:rsid w:val="00BB16F4"/>
    <w:rsid w:val="00BB1C8A"/>
    <w:rsid w:val="00BB73EF"/>
    <w:rsid w:val="00BF6FA5"/>
    <w:rsid w:val="00C013B9"/>
    <w:rsid w:val="00C046AB"/>
    <w:rsid w:val="00C07DD8"/>
    <w:rsid w:val="00C12A22"/>
    <w:rsid w:val="00C1575A"/>
    <w:rsid w:val="00C2000C"/>
    <w:rsid w:val="00C25D4D"/>
    <w:rsid w:val="00C331EC"/>
    <w:rsid w:val="00C35028"/>
    <w:rsid w:val="00C41EC5"/>
    <w:rsid w:val="00C45C92"/>
    <w:rsid w:val="00C47559"/>
    <w:rsid w:val="00C50129"/>
    <w:rsid w:val="00C577CF"/>
    <w:rsid w:val="00C61143"/>
    <w:rsid w:val="00C74EA0"/>
    <w:rsid w:val="00C76BD4"/>
    <w:rsid w:val="00C773E9"/>
    <w:rsid w:val="00C850D2"/>
    <w:rsid w:val="00C8740F"/>
    <w:rsid w:val="00CC70BC"/>
    <w:rsid w:val="00CD225F"/>
    <w:rsid w:val="00CF1B16"/>
    <w:rsid w:val="00CF2E9E"/>
    <w:rsid w:val="00D01DA0"/>
    <w:rsid w:val="00D02618"/>
    <w:rsid w:val="00D0455B"/>
    <w:rsid w:val="00D051BE"/>
    <w:rsid w:val="00D205FC"/>
    <w:rsid w:val="00D37BB0"/>
    <w:rsid w:val="00D55BFA"/>
    <w:rsid w:val="00D670D5"/>
    <w:rsid w:val="00D70C73"/>
    <w:rsid w:val="00D74A06"/>
    <w:rsid w:val="00D76AC3"/>
    <w:rsid w:val="00D85A00"/>
    <w:rsid w:val="00D87223"/>
    <w:rsid w:val="00D946DF"/>
    <w:rsid w:val="00DB438D"/>
    <w:rsid w:val="00DD3F0C"/>
    <w:rsid w:val="00DF26FF"/>
    <w:rsid w:val="00DF7771"/>
    <w:rsid w:val="00E23AD5"/>
    <w:rsid w:val="00E44B98"/>
    <w:rsid w:val="00E52C18"/>
    <w:rsid w:val="00E70184"/>
    <w:rsid w:val="00E76CD1"/>
    <w:rsid w:val="00E9508B"/>
    <w:rsid w:val="00E95F22"/>
    <w:rsid w:val="00EB0FC1"/>
    <w:rsid w:val="00EC1C82"/>
    <w:rsid w:val="00ED426B"/>
    <w:rsid w:val="00ED656B"/>
    <w:rsid w:val="00EE0C36"/>
    <w:rsid w:val="00EE5C65"/>
    <w:rsid w:val="00EE5F9D"/>
    <w:rsid w:val="00F02188"/>
    <w:rsid w:val="00F030B9"/>
    <w:rsid w:val="00F05A97"/>
    <w:rsid w:val="00F1261C"/>
    <w:rsid w:val="00F27B34"/>
    <w:rsid w:val="00F8191D"/>
    <w:rsid w:val="00FB1867"/>
    <w:rsid w:val="00FB5B94"/>
    <w:rsid w:val="00FB674A"/>
    <w:rsid w:val="00FC2FF1"/>
    <w:rsid w:val="00FD7864"/>
    <w:rsid w:val="00FF05C9"/>
    <w:rsid w:val="00FF121F"/>
    <w:rsid w:val="00FF5FC5"/>
    <w:rsid w:val="01825996"/>
    <w:rsid w:val="17BB4AD2"/>
    <w:rsid w:val="20985EDF"/>
    <w:rsid w:val="2C8366FA"/>
    <w:rsid w:val="52D7775A"/>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AA40383"/>
  <w15:docId w15:val="{EF1EC7CA-4EEA-4576-B79C-1B8F2642C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uiPriority="99" w:unhideWhenUsed="1" w:qFormat="1"/>
    <w:lsdException w:name="footer" w:uiPriority="99" w:unhideWhenUsed="1" w:qFormat="1"/>
    <w:lsdException w:name="caption" w:semiHidden="1" w:unhideWhenUsed="1" w:qFormat="1"/>
    <w:lsdException w:name="annotation reference" w:uiPriority="99"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unhideWhenUsed/>
    <w:qFormat/>
    <w:rPr>
      <w:b/>
      <w:bCs/>
    </w:rPr>
  </w:style>
  <w:style w:type="character" w:styleId="ad">
    <w:name w:val="page number"/>
    <w:basedOn w:val="a0"/>
    <w:qFormat/>
  </w:style>
  <w:style w:type="character" w:styleId="ae">
    <w:name w:val="annotation reference"/>
    <w:uiPriority w:val="99"/>
    <w:unhideWhenUsed/>
    <w:qFormat/>
    <w:rPr>
      <w:sz w:val="21"/>
      <w:szCs w:val="21"/>
    </w:rPr>
  </w:style>
  <w:style w:type="character" w:customStyle="1" w:styleId="a8">
    <w:name w:val="页脚 字符"/>
    <w:link w:val="a7"/>
    <w:uiPriority w:val="99"/>
    <w:qFormat/>
    <w:rPr>
      <w:kern w:val="2"/>
      <w:sz w:val="18"/>
      <w:szCs w:val="18"/>
    </w:rPr>
  </w:style>
  <w:style w:type="character" w:customStyle="1" w:styleId="aa">
    <w:name w:val="页眉 字符"/>
    <w:link w:val="a9"/>
    <w:uiPriority w:val="99"/>
    <w:semiHidden/>
    <w:qFormat/>
    <w:rPr>
      <w:kern w:val="2"/>
      <w:sz w:val="18"/>
      <w:szCs w:val="18"/>
    </w:rPr>
  </w:style>
  <w:style w:type="character" w:customStyle="1" w:styleId="a6">
    <w:name w:val="批注框文本 字符"/>
    <w:link w:val="a5"/>
    <w:uiPriority w:val="99"/>
    <w:semiHidden/>
    <w:qFormat/>
    <w:rPr>
      <w:kern w:val="2"/>
      <w:sz w:val="18"/>
      <w:szCs w:val="18"/>
    </w:rPr>
  </w:style>
  <w:style w:type="character" w:customStyle="1" w:styleId="ac">
    <w:name w:val="批注主题 字符"/>
    <w:link w:val="ab"/>
    <w:uiPriority w:val="99"/>
    <w:semiHidden/>
    <w:qFormat/>
    <w:rPr>
      <w:b/>
      <w:bCs/>
      <w:kern w:val="2"/>
      <w:sz w:val="21"/>
      <w:szCs w:val="22"/>
    </w:rPr>
  </w:style>
  <w:style w:type="character" w:customStyle="1" w:styleId="a4">
    <w:name w:val="批注文字 字符"/>
    <w:link w:val="a3"/>
    <w:uiPriority w:val="99"/>
    <w:semiHidden/>
    <w:qFormat/>
    <w:rPr>
      <w:kern w:val="2"/>
      <w:sz w:val="21"/>
      <w:szCs w:val="22"/>
    </w:rPr>
  </w:style>
  <w:style w:type="paragraph" w:customStyle="1" w:styleId="Char1">
    <w:name w:val="Char1"/>
    <w:basedOn w:val="a"/>
    <w:qFormat/>
    <w:pPr>
      <w:tabs>
        <w:tab w:val="left" w:pos="840"/>
      </w:tabs>
      <w:ind w:left="840" w:hanging="420"/>
    </w:pPr>
    <w:rPr>
      <w:sz w:val="24"/>
      <w:szCs w:val="24"/>
    </w:rPr>
  </w:style>
  <w:style w:type="paragraph" w:customStyle="1" w:styleId="Style16">
    <w:name w:val="_Style 16"/>
    <w:uiPriority w:val="99"/>
    <w:semiHidden/>
    <w:qFormat/>
    <w:rPr>
      <w:kern w:val="2"/>
      <w:sz w:val="21"/>
      <w:szCs w:val="22"/>
    </w:rPr>
  </w:style>
  <w:style w:type="paragraph" w:customStyle="1" w:styleId="New">
    <w:name w:val="正文 New"/>
    <w:qFormat/>
    <w:pPr>
      <w:widowControl w:val="0"/>
      <w:jc w:val="both"/>
    </w:pPr>
    <w:rPr>
      <w:kern w:val="2"/>
      <w:sz w:val="21"/>
      <w:szCs w:val="24"/>
    </w:rPr>
  </w:style>
  <w:style w:type="paragraph" w:styleId="af">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TotalTime>0</TotalTime>
  <Pages>4</Pages>
  <Words>302</Words>
  <Characters>1725</Characters>
  <Application>Microsoft Office Word</Application>
  <DocSecurity>0</DocSecurity>
  <Lines>14</Lines>
  <Paragraphs>4</Paragraphs>
  <ScaleCrop>false</ScaleCrop>
  <Company>微软中国</Company>
  <LinksUpToDate>false</LinksUpToDate>
  <CharactersWithSpaces>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56</cp:revision>
  <dcterms:created xsi:type="dcterms:W3CDTF">2021-06-10T06:25:00Z</dcterms:created>
  <dcterms:modified xsi:type="dcterms:W3CDTF">2025-05-06T07:49:00Z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6C101A4A3125471A9F94860066C56CF3_13</vt:lpwstr>
  </property>
</Properties>
</file>