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8A5A4">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bookmarkStart w:id="0" w:name="_GoBack"/>
      <w:bookmarkEnd w:id="0"/>
    </w:p>
    <w:p w14:paraId="0AA29877">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穗环管影（番）〔202</w:t>
      </w: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51</w:t>
      </w:r>
      <w:r>
        <w:rPr>
          <w:rFonts w:hint="eastAsia" w:ascii="仿宋_GB2312" w:eastAsia="仿宋_GB2312"/>
          <w:color w:val="000000" w:themeColor="text1"/>
          <w:sz w:val="32"/>
          <w:szCs w:val="32"/>
        </w:rPr>
        <w:t>号</w:t>
      </w:r>
    </w:p>
    <w:p w14:paraId="1978C5CD">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14:paraId="766D922C">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14:paraId="2F19F064">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广州市生态环境局关于毅华研创（广州）首饰有限公司年产首饰和首饰胚件6350kg建设项目环境影响报告表的批复</w:t>
      </w:r>
    </w:p>
    <w:p w14:paraId="522FEEA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762FC833">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毅华研创（广州）首饰有限公司（91440101MA5D30C86C）：</w:t>
      </w:r>
    </w:p>
    <w:p w14:paraId="25E07FA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你单位报送的《毅华研创（广州）首饰有限公司年产首饰和首饰胚件6350kg建设项目环境影响报告表》（以下简称《报告表》）及附送资料收悉。经研究，现批复如下：</w:t>
      </w:r>
    </w:p>
    <w:p w14:paraId="2DC2AB23">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一、毅华研创（广州）首饰有限公司年产首饰和首饰胚件6350kg建设项目（以下简称“该项目”）位于广州市番禺区沙湾街福龙路999号26座203，申报内容为从事金、银和铂金首饰</w:t>
      </w:r>
      <w:r>
        <w:rPr>
          <w:rFonts w:hint="eastAsia" w:ascii="仿宋_GB2312" w:eastAsia="仿宋_GB2312"/>
          <w:color w:val="000000" w:themeColor="text1"/>
          <w:sz w:val="32"/>
          <w:szCs w:val="32"/>
          <w:lang w:val="en-US" w:eastAsia="zh-CN"/>
        </w:rPr>
        <w:t>的生产，年产首饰和首饰胚件6350千克</w:t>
      </w:r>
      <w:r>
        <w:rPr>
          <w:rFonts w:hint="eastAsia" w:ascii="仿宋_GB2312" w:eastAsia="仿宋_GB2312"/>
          <w:color w:val="000000" w:themeColor="text1"/>
          <w:sz w:val="32"/>
          <w:szCs w:val="32"/>
        </w:rPr>
        <w:t>。该项目建筑面积667.97平方米，</w:t>
      </w:r>
      <w:r>
        <w:rPr>
          <w:rFonts w:hint="eastAsia" w:ascii="仿宋_GB2312" w:eastAsia="仿宋_GB2312"/>
          <w:color w:val="000000" w:themeColor="text1"/>
          <w:sz w:val="32"/>
          <w:szCs w:val="32"/>
          <w:lang w:val="en-US" w:eastAsia="zh-CN"/>
        </w:rPr>
        <w:t>租用1栋四层厂房的第二层西侧部分</w:t>
      </w:r>
      <w:r>
        <w:rPr>
          <w:rFonts w:hint="eastAsia" w:ascii="仿宋_GB2312" w:eastAsia="仿宋_GB2312"/>
          <w:color w:val="000000" w:themeColor="text1"/>
          <w:sz w:val="32"/>
          <w:szCs w:val="32"/>
        </w:rPr>
        <w:t>；主要设备有压胶膜机</w:t>
      </w:r>
      <w:r>
        <w:rPr>
          <w:rFonts w:hint="eastAsia" w:ascii="仿宋_GB2312" w:eastAsia="仿宋_GB2312"/>
          <w:color w:val="000000" w:themeColor="text1"/>
          <w:sz w:val="32"/>
          <w:szCs w:val="32"/>
          <w:lang w:val="en-US" w:eastAsia="zh-CN"/>
        </w:rPr>
        <w:t>2台、唧蜡机3台、电烙铁8台、搅粉机2台、焗炉7台、熔金机2台、熔金火枪1支、连续铸造机1台、倒模机6台、清洗机1台、烘干机3台、退火炉1台、运丝带炉1台、水冷机1台、焊接枪5支、镭射焊接机2台、镶石工序风球火枪30支、吊机30台、激光打标机1台、研磨机2台、滚筒机1台、磁针机2台、打磨机3台、喷砂机1台、电金工序整流器1台、电解工序整流器1台、超声清洗机2台、蒸气清洗机1台、空压机2台及剪切和机加工设备一批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50</w:t>
      </w:r>
      <w:r>
        <w:rPr>
          <w:rFonts w:hint="eastAsia" w:ascii="仿宋_GB2312" w:eastAsia="仿宋_GB2312"/>
          <w:color w:val="000000" w:themeColor="text1"/>
          <w:sz w:val="32"/>
          <w:szCs w:val="32"/>
        </w:rPr>
        <w:t>名，内部不安排食宿。</w:t>
      </w:r>
      <w:r>
        <w:rPr>
          <w:rFonts w:hint="eastAsia" w:ascii="仿宋_GB2312" w:eastAsia="仿宋_GB2312"/>
          <w:color w:val="000000" w:themeColor="text1"/>
          <w:sz w:val="32"/>
          <w:szCs w:val="32"/>
          <w:lang w:val="en-US" w:eastAsia="zh-CN"/>
        </w:rPr>
        <w:t>该项目不设炸色、熔金回收等工序，不使用氢氟酸、氰化物、含镍和含铅原辅料。</w:t>
      </w:r>
    </w:p>
    <w:p w14:paraId="3781EE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30FFD88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14:paraId="72CAAD5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450</w:t>
      </w:r>
      <w:r>
        <w:rPr>
          <w:rFonts w:hint="eastAsia" w:ascii="仿宋_GB2312" w:eastAsia="仿宋_GB2312"/>
          <w:color w:val="000000" w:themeColor="text1"/>
          <w:sz w:val="32"/>
          <w:szCs w:val="32"/>
        </w:rPr>
        <w:t>吨/年</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1.8吨/日</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；生产废水排放量不超过</w:t>
      </w:r>
      <w:r>
        <w:rPr>
          <w:rFonts w:hint="eastAsia" w:ascii="仿宋_GB2312" w:eastAsia="仿宋_GB2312"/>
          <w:color w:val="000000" w:themeColor="text1"/>
          <w:sz w:val="32"/>
          <w:szCs w:val="32"/>
          <w:lang w:val="en-US" w:eastAsia="zh-CN"/>
        </w:rPr>
        <w:t>1336</w:t>
      </w:r>
      <w:r>
        <w:rPr>
          <w:rFonts w:hint="eastAsia" w:ascii="仿宋_GB2312" w:eastAsia="仿宋_GB2312"/>
          <w:color w:val="000000" w:themeColor="text1"/>
          <w:sz w:val="32"/>
          <w:szCs w:val="32"/>
        </w:rPr>
        <w:t>吨/年</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5.3吨/日</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w:t>
      </w:r>
    </w:p>
    <w:p w14:paraId="409C9005">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val="en-US"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highlight w:val="none"/>
          <w:lang w:val="en-US" w:eastAsia="zh-CN"/>
        </w:rPr>
        <w:t>颗粒物有组织排放执行广东省《大气污染物排放限值》（DB44/27-2001）第二时段二级标准及《铸造工业大气污染物排放标准》（GB39726-2020）表1排放浓度限值较严值，无组织排放执行《大气污染物排放限值》（DB44/27-2001）第二时段无组织排放监控浓度限值；</w:t>
      </w:r>
      <w:r>
        <w:rPr>
          <w:rFonts w:hint="eastAsia" w:ascii="仿宋_GB2312" w:eastAsia="仿宋_GB2312"/>
          <w:color w:val="000000" w:themeColor="text1"/>
          <w:sz w:val="32"/>
          <w:szCs w:val="32"/>
          <w:highlight w:val="none"/>
        </w:rPr>
        <w:t>NMHC</w:t>
      </w:r>
      <w:r>
        <w:rPr>
          <w:rFonts w:hint="eastAsia" w:ascii="仿宋_GB2312" w:eastAsia="仿宋_GB2312"/>
          <w:color w:val="000000" w:themeColor="text1"/>
          <w:sz w:val="32"/>
          <w:szCs w:val="32"/>
        </w:rPr>
        <w:t>、TVOC排放执行广东省《固定污染源挥发性有机物综合排放标准》（DB44/2367-2022）表1、表3排放限值；其他大气污染物排放执行广东省《大气污染物排放限值》（DB44/27-2001）第二时段二级标准及无组织排放监控浓度限值</w:t>
      </w:r>
      <w:r>
        <w:rPr>
          <w:rFonts w:ascii="仿宋_GB2312" w:eastAsia="仿宋_GB2312"/>
          <w:color w:val="000000" w:themeColor="text1"/>
          <w:sz w:val="32"/>
          <w:szCs w:val="32"/>
          <w:highlight w:val="none"/>
        </w:rPr>
        <w:t>。</w:t>
      </w:r>
      <w:r>
        <w:rPr>
          <w:rFonts w:hint="eastAsia" w:ascii="仿宋_GB2312" w:eastAsia="仿宋_GB2312"/>
          <w:color w:val="000000" w:themeColor="text1"/>
          <w:sz w:val="32"/>
          <w:szCs w:val="32"/>
          <w:lang w:val="en-US" w:eastAsia="zh-CN"/>
        </w:rPr>
        <w:t>氮氧化物的排放量不超过0.00055吨/年。</w:t>
      </w:r>
    </w:p>
    <w:p w14:paraId="240DFF2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14:paraId="080269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14:paraId="3624F0E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（一）排水系统采用雨污分流。生产废</w:t>
      </w:r>
      <w:r>
        <w:rPr>
          <w:rFonts w:hint="eastAsia" w:ascii="仿宋_GB2312" w:eastAsia="仿宋_GB2312"/>
          <w:color w:val="000000" w:themeColor="text1"/>
          <w:sz w:val="32"/>
          <w:szCs w:val="32"/>
          <w:highlight w:val="none"/>
        </w:rPr>
        <w:t>水经沉淀预处理后</w:t>
      </w:r>
      <w:r>
        <w:rPr>
          <w:rFonts w:hint="eastAsia" w:ascii="仿宋_GB2312" w:eastAsia="仿宋_GB2312"/>
          <w:color w:val="000000" w:themeColor="text1"/>
          <w:sz w:val="32"/>
          <w:szCs w:val="32"/>
        </w:rPr>
        <w:t>与生活污水一并排入项目所在威乐珠宝产业园的废水处理站处理后，再排入市政集污管网，送前锋净水厂集中处理。项目设置</w:t>
      </w:r>
      <w:r>
        <w:rPr>
          <w:rFonts w:hint="eastAsia" w:ascii="仿宋_GB2312" w:eastAsia="仿宋_GB2312"/>
          <w:color w:val="000000" w:themeColor="text1"/>
          <w:sz w:val="32"/>
          <w:szCs w:val="32"/>
          <w:lang w:val="en-US" w:eastAsia="zh-CN"/>
        </w:rPr>
        <w:t>生产</w:t>
      </w:r>
      <w:r>
        <w:rPr>
          <w:rFonts w:hint="eastAsia" w:ascii="仿宋_GB2312" w:eastAsia="仿宋_GB2312"/>
          <w:color w:val="000000" w:themeColor="text1"/>
          <w:sz w:val="32"/>
          <w:szCs w:val="32"/>
        </w:rPr>
        <w:t>废水</w:t>
      </w:r>
      <w:r>
        <w:rPr>
          <w:rFonts w:hint="eastAsia" w:ascii="仿宋_GB2312" w:eastAsia="仿宋_GB2312"/>
          <w:color w:val="000000" w:themeColor="text1"/>
          <w:sz w:val="32"/>
          <w:szCs w:val="32"/>
          <w:lang w:val="en-US" w:eastAsia="zh-CN"/>
        </w:rPr>
        <w:t>排放</w:t>
      </w:r>
      <w:r>
        <w:rPr>
          <w:rFonts w:hint="eastAsia" w:ascii="仿宋_GB2312" w:eastAsia="仿宋_GB2312"/>
          <w:color w:val="000000" w:themeColor="text1"/>
          <w:sz w:val="32"/>
          <w:szCs w:val="32"/>
        </w:rPr>
        <w:t>口1个</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生活污水排放口1个</w:t>
      </w:r>
      <w:r>
        <w:rPr>
          <w:rFonts w:hint="eastAsia" w:ascii="仿宋_GB2312" w:eastAsia="仿宋_GB2312"/>
          <w:color w:val="000000" w:themeColor="text1"/>
          <w:sz w:val="32"/>
          <w:szCs w:val="32"/>
        </w:rPr>
        <w:t>。</w:t>
      </w:r>
    </w:p>
    <w:p w14:paraId="44CE1A6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highlight w:val="none"/>
        </w:rPr>
        <w:t>执模、打磨抛光</w:t>
      </w:r>
      <w:r>
        <w:rPr>
          <w:rFonts w:hint="eastAsia" w:ascii="仿宋_GB2312" w:eastAsia="仿宋_GB2312"/>
          <w:color w:val="000000" w:themeColor="text1"/>
          <w:sz w:val="32"/>
          <w:szCs w:val="32"/>
          <w:highlight w:val="none"/>
          <w:lang w:eastAsia="zh-CN"/>
        </w:rPr>
        <w:t>、</w:t>
      </w:r>
      <w:r>
        <w:rPr>
          <w:rFonts w:hint="eastAsia" w:ascii="仿宋_GB2312" w:eastAsia="仿宋_GB2312"/>
          <w:color w:val="000000" w:themeColor="text1"/>
          <w:sz w:val="32"/>
          <w:szCs w:val="32"/>
          <w:highlight w:val="none"/>
          <w:lang w:val="en-US" w:eastAsia="zh-CN"/>
        </w:rPr>
        <w:t>喷砂</w:t>
      </w:r>
      <w:r>
        <w:rPr>
          <w:rFonts w:hint="eastAsia" w:ascii="仿宋_GB2312" w:eastAsia="仿宋_GB2312"/>
          <w:color w:val="000000" w:themeColor="text1"/>
          <w:sz w:val="32"/>
          <w:szCs w:val="32"/>
          <w:highlight w:val="none"/>
        </w:rPr>
        <w:t>工序配套粉尘收集设施。</w:t>
      </w:r>
      <w:r>
        <w:rPr>
          <w:rFonts w:hint="eastAsia" w:ascii="仿宋_GB2312" w:eastAsia="仿宋_GB2312"/>
          <w:color w:val="000000" w:themeColor="text1"/>
          <w:sz w:val="32"/>
          <w:szCs w:val="32"/>
          <w:highlight w:val="none"/>
          <w:lang w:val="en-US" w:eastAsia="zh-CN"/>
        </w:rPr>
        <w:t>熔蜡</w:t>
      </w:r>
      <w:r>
        <w:rPr>
          <w:rFonts w:hint="eastAsia" w:ascii="仿宋_GB2312" w:eastAsia="仿宋_GB2312"/>
          <w:color w:val="000000" w:themeColor="text1"/>
          <w:sz w:val="32"/>
          <w:szCs w:val="32"/>
        </w:rPr>
        <w:t>产生的废气经电焗炉配套</w:t>
      </w:r>
      <w:r>
        <w:rPr>
          <w:rFonts w:hint="eastAsia" w:ascii="仿宋_GB2312" w:eastAsia="仿宋_GB2312"/>
          <w:color w:val="000000" w:themeColor="text1"/>
          <w:sz w:val="32"/>
          <w:szCs w:val="32"/>
          <w:lang w:val="en-US" w:eastAsia="zh-CN"/>
        </w:rPr>
        <w:t>的</w:t>
      </w:r>
      <w:r>
        <w:rPr>
          <w:rFonts w:hint="eastAsia" w:ascii="仿宋_GB2312" w:eastAsia="仿宋_GB2312"/>
          <w:color w:val="000000" w:themeColor="text1"/>
          <w:sz w:val="32"/>
          <w:szCs w:val="32"/>
        </w:rPr>
        <w:t>直接燃烧器预处理后，</w:t>
      </w:r>
      <w:r>
        <w:rPr>
          <w:rFonts w:hint="eastAsia" w:ascii="仿宋_GB2312" w:eastAsia="仿宋_GB2312"/>
          <w:color w:val="000000" w:themeColor="text1"/>
          <w:sz w:val="32"/>
          <w:szCs w:val="32"/>
          <w:highlight w:val="none"/>
          <w:lang w:val="en-US" w:eastAsia="zh-CN"/>
        </w:rPr>
        <w:t>与熔金属、注金属、酸洗、熔金燃烧尾气、洗火漆、分色、电金</w:t>
      </w:r>
      <w:r>
        <w:rPr>
          <w:rFonts w:hint="eastAsia" w:ascii="仿宋_GB2312" w:eastAsia="仿宋_GB2312"/>
          <w:color w:val="000000" w:themeColor="text1"/>
          <w:sz w:val="32"/>
          <w:szCs w:val="32"/>
          <w:highlight w:val="none"/>
        </w:rPr>
        <w:t>工序产生的废气</w:t>
      </w:r>
      <w:r>
        <w:rPr>
          <w:rFonts w:hint="eastAsia" w:ascii="仿宋_GB2312" w:eastAsia="仿宋_GB2312"/>
          <w:color w:val="000000" w:themeColor="text1"/>
          <w:sz w:val="32"/>
          <w:szCs w:val="32"/>
          <w:highlight w:val="none"/>
          <w:lang w:val="en-US" w:eastAsia="zh-CN"/>
        </w:rPr>
        <w:t>一并</w:t>
      </w:r>
      <w:r>
        <w:rPr>
          <w:rFonts w:hint="eastAsia" w:ascii="仿宋_GB2312" w:eastAsia="仿宋_GB2312"/>
          <w:color w:val="000000" w:themeColor="text1"/>
          <w:sz w:val="32"/>
          <w:szCs w:val="32"/>
          <w:highlight w:val="none"/>
        </w:rPr>
        <w:t>经“碱液喷淋</w:t>
      </w:r>
      <w:r>
        <w:rPr>
          <w:rFonts w:hint="eastAsia" w:ascii="仿宋_GB2312" w:eastAsia="仿宋_GB2312"/>
          <w:color w:val="000000" w:themeColor="text1"/>
          <w:sz w:val="32"/>
          <w:szCs w:val="32"/>
          <w:highlight w:val="none"/>
          <w:lang w:eastAsia="zh-CN"/>
        </w:rPr>
        <w:t>（</w:t>
      </w:r>
      <w:r>
        <w:rPr>
          <w:rFonts w:hint="eastAsia" w:ascii="仿宋_GB2312" w:eastAsia="仿宋_GB2312"/>
          <w:color w:val="000000" w:themeColor="text1"/>
          <w:sz w:val="32"/>
          <w:szCs w:val="32"/>
          <w:highlight w:val="none"/>
          <w:lang w:val="en-US" w:eastAsia="zh-CN"/>
        </w:rPr>
        <w:t>含</w:t>
      </w:r>
      <w:r>
        <w:rPr>
          <w:rFonts w:hint="eastAsia" w:ascii="仿宋_GB2312" w:eastAsia="仿宋_GB2312"/>
          <w:color w:val="000000" w:themeColor="text1"/>
          <w:sz w:val="32"/>
          <w:szCs w:val="32"/>
          <w:highlight w:val="none"/>
        </w:rPr>
        <w:t>除雾装置</w:t>
      </w:r>
      <w:r>
        <w:rPr>
          <w:rFonts w:hint="eastAsia" w:ascii="仿宋_GB2312" w:eastAsia="仿宋_GB2312"/>
          <w:color w:val="000000" w:themeColor="text1"/>
          <w:sz w:val="32"/>
          <w:szCs w:val="32"/>
          <w:highlight w:val="none"/>
          <w:lang w:eastAsia="zh-CN"/>
        </w:rPr>
        <w:t>）</w:t>
      </w:r>
      <w:r>
        <w:rPr>
          <w:rFonts w:hint="eastAsia" w:ascii="仿宋_GB2312" w:eastAsia="仿宋_GB2312"/>
          <w:color w:val="000000" w:themeColor="text1"/>
          <w:sz w:val="32"/>
          <w:szCs w:val="32"/>
          <w:highlight w:val="none"/>
        </w:rPr>
        <w:t>+</w:t>
      </w:r>
      <w:r>
        <w:rPr>
          <w:rFonts w:hint="eastAsia" w:ascii="仿宋_GB2312" w:eastAsia="仿宋_GB2312"/>
          <w:color w:val="000000" w:themeColor="text1"/>
          <w:sz w:val="32"/>
          <w:szCs w:val="32"/>
          <w:highlight w:val="none"/>
          <w:lang w:val="en-US" w:eastAsia="zh-CN"/>
        </w:rPr>
        <w:t>二</w:t>
      </w:r>
      <w:r>
        <w:rPr>
          <w:rFonts w:hint="eastAsia" w:ascii="仿宋_GB2312" w:eastAsia="仿宋_GB2312"/>
          <w:color w:val="000000" w:themeColor="text1"/>
          <w:sz w:val="32"/>
          <w:szCs w:val="32"/>
          <w:highlight w:val="none"/>
        </w:rPr>
        <w:t>级活性炭吸附装置”处理达标后，通过专用管道引至所在建筑物楼顶高空排放，排放口高度不低于15米。项目设置废气排放口1个。</w:t>
      </w:r>
    </w:p>
    <w:p w14:paraId="29D80F9E">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w:t>
      </w:r>
      <w:r>
        <w:rPr>
          <w:rFonts w:hint="eastAsia" w:ascii="仿宋_GB2312" w:hAnsi="仿宋_GB2312" w:eastAsia="仿宋_GB2312" w:cs="仿宋_GB2312"/>
          <w:color w:val="000000" w:themeColor="text1"/>
          <w:sz w:val="32"/>
          <w:szCs w:val="32"/>
          <w:lang w:eastAsia="zh-CN"/>
        </w:rPr>
        <w:t>加强</w:t>
      </w:r>
      <w:r>
        <w:rPr>
          <w:rFonts w:hint="eastAsia" w:ascii="仿宋_GB2312" w:hAnsi="仿宋_GB2312" w:eastAsia="仿宋_GB2312" w:cs="仿宋_GB2312"/>
          <w:color w:val="000000" w:themeColor="text1"/>
          <w:sz w:val="32"/>
          <w:szCs w:val="32"/>
        </w:rPr>
        <w:t>对无组织排放废气进行收集、净化处理。</w:t>
      </w:r>
    </w:p>
    <w:p w14:paraId="3B270B6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14:paraId="7D3E0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（四）废天那水、废丙酮</w:t>
      </w:r>
      <w:r>
        <w:rPr>
          <w:rFonts w:hint="eastAsia" w:ascii="仿宋_GB2312" w:eastAsia="仿宋_GB2312"/>
          <w:color w:val="000000" w:themeColor="text1"/>
          <w:sz w:val="32"/>
          <w:szCs w:val="32"/>
          <w:lang w:eastAsia="zh-CN"/>
        </w:rPr>
        <w:t>、废电金水、废包装容器、废切削液、废矿物油及油桶、废抹布及手套、</w:t>
      </w:r>
      <w:r>
        <w:rPr>
          <w:rFonts w:hint="eastAsia" w:ascii="仿宋_GB2312" w:eastAsia="仿宋_GB2312"/>
          <w:color w:val="000000" w:themeColor="text1"/>
          <w:sz w:val="32"/>
          <w:szCs w:val="32"/>
          <w:lang w:val="en-US" w:eastAsia="zh-CN"/>
        </w:rPr>
        <w:t>废活性炭</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val="en-US"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val="en-US" w:eastAsia="zh-CN"/>
        </w:rPr>
        <w:t>的</w:t>
      </w:r>
      <w:r>
        <w:rPr>
          <w:rFonts w:hint="eastAsia" w:ascii="仿宋_GB2312" w:eastAsia="仿宋_GB2312"/>
          <w:color w:val="000000" w:themeColor="text1"/>
          <w:sz w:val="32"/>
          <w:szCs w:val="32"/>
        </w:rPr>
        <w:t>须设置符合《危险废物贮存污染控制标准》（GB18597-20</w:t>
      </w:r>
      <w:r>
        <w:rPr>
          <w:rFonts w:hint="eastAsia" w:ascii="仿宋_GB2312" w:eastAsia="仿宋_GB2312"/>
          <w:color w:val="000000" w:themeColor="text1"/>
          <w:sz w:val="32"/>
          <w:szCs w:val="32"/>
          <w:lang w:val="en-US" w:eastAsia="zh-CN"/>
        </w:rPr>
        <w:t>23</w:t>
      </w:r>
      <w:r>
        <w:rPr>
          <w:rFonts w:hint="eastAsia" w:ascii="仿宋_GB2312" w:eastAsia="仿宋_GB2312"/>
          <w:color w:val="000000" w:themeColor="text1"/>
          <w:sz w:val="32"/>
          <w:szCs w:val="32"/>
        </w:rPr>
        <w:t>）要求的专用贮存场所存放并委托具备危险废物处理资质的机构处理。</w:t>
      </w:r>
    </w:p>
    <w:p w14:paraId="7A1571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14:paraId="1E82E26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五、自《报告表》批准之日起超过五年，方决定该项目开工建设的，《报告表》应当在开工建设前报我局重新审核。未经我局重新审核同意的，不得擅自开工建设。</w:t>
      </w:r>
    </w:p>
    <w:p w14:paraId="7DD2AC5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六、该项目建设应严格执行配套建设的环境保护设施与主体工程同时设计、同时施工、同时投产使用的环境保护“三同时”制度，具体要求如下：</w:t>
      </w:r>
    </w:p>
    <w:p w14:paraId="24FC4721">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14:paraId="623B2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14:paraId="4535B8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七、该项目建设和运行过程中如涉及规划、土地利用、建设、水务、消防、安全等问题，应遵照相关法律法规要求到相应的行政主管部门办理有关手续。</w:t>
      </w:r>
    </w:p>
    <w:p w14:paraId="384BB1DB">
      <w:pPr>
        <w:pStyle w:val="18"/>
        <w:ind w:firstLine="636"/>
        <w:rPr>
          <w:rFonts w:hint="eastAsia" w:eastAsia="仿宋_GB2312"/>
          <w:color w:val="000000" w:themeColor="text1"/>
          <w:sz w:val="32"/>
          <w:szCs w:val="32"/>
        </w:rPr>
      </w:pPr>
      <w:r>
        <w:rPr>
          <w:rFonts w:hint="eastAsia" w:ascii="仿宋_GB2312" w:eastAsia="仿宋_GB2312"/>
          <w:color w:val="000000" w:themeColor="text1"/>
          <w:sz w:val="32"/>
          <w:szCs w:val="32"/>
        </w:rPr>
        <w:t>八、</w:t>
      </w:r>
      <w:r>
        <w:rPr>
          <w:rFonts w:hint="eastAsia" w:ascii="仿宋_GB2312" w:hAnsi="仿宋" w:eastAsia="仿宋_GB2312"/>
          <w:color w:val="000000" w:themeColor="text1"/>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29DA2C38">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rPr>
      </w:pPr>
    </w:p>
    <w:p w14:paraId="7FA2A21D">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14:paraId="4991319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14:paraId="74EBAD51">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29A26305">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14:paraId="54231825">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25</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4</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29</w:t>
      </w:r>
      <w:r>
        <w:rPr>
          <w:rFonts w:hint="eastAsia" w:ascii="仿宋_GB2312" w:eastAsia="仿宋_GB2312"/>
          <w:color w:val="000000" w:themeColor="text1"/>
          <w:sz w:val="32"/>
          <w:szCs w:val="32"/>
        </w:rPr>
        <w:t>日</w:t>
      </w:r>
    </w:p>
    <w:p w14:paraId="48EB0E9F">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1D1C6074">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7F29DD9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4F233EE2">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14:paraId="084C0797">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1DE30BAB">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w:t>
      </w:r>
      <w:r>
        <w:rPr>
          <w:rFonts w:hint="eastAsia" w:ascii="仿宋_GB2312" w:eastAsia="仿宋_GB2312" w:cs="Times New Roman"/>
          <w:color w:val="000000" w:themeColor="text1"/>
          <w:sz w:val="28"/>
          <w:szCs w:val="28"/>
        </w:rPr>
        <w:t>局执法</w:t>
      </w:r>
      <w:r>
        <w:rPr>
          <w:rFonts w:hint="eastAsia" w:ascii="仿宋_GB2312" w:eastAsia="仿宋_GB2312" w:cs="Times New Roman"/>
          <w:color w:val="000000" w:themeColor="text1"/>
          <w:sz w:val="28"/>
          <w:szCs w:val="28"/>
          <w:lang w:val="en-US" w:eastAsia="zh-CN"/>
        </w:rPr>
        <w:t>二</w:t>
      </w:r>
      <w:r>
        <w:rPr>
          <w:rFonts w:hint="eastAsia" w:ascii="仿宋_GB2312" w:eastAsia="仿宋_GB2312" w:cs="Times New Roman"/>
          <w:color w:val="000000" w:themeColor="text1"/>
          <w:sz w:val="28"/>
          <w:szCs w:val="28"/>
        </w:rPr>
        <w:t>科、</w:t>
      </w:r>
      <w:r>
        <w:rPr>
          <w:rFonts w:hint="eastAsia" w:ascii="仿宋_GB2312" w:eastAsia="仿宋_GB2312" w:cs="Times New Roman"/>
          <w:color w:val="000000" w:themeColor="text1"/>
          <w:sz w:val="28"/>
          <w:szCs w:val="28"/>
          <w:lang w:eastAsia="zh-CN"/>
        </w:rPr>
        <w:t>番禺</w:t>
      </w:r>
      <w:r>
        <w:rPr>
          <w:rFonts w:hint="eastAsia" w:ascii="仿宋_GB2312" w:eastAsia="仿宋_GB2312" w:cs="Times New Roman"/>
          <w:color w:val="000000" w:themeColor="text1"/>
          <w:sz w:val="28"/>
          <w:szCs w:val="28"/>
        </w:rPr>
        <w:t>第</w:t>
      </w:r>
      <w:r>
        <w:rPr>
          <w:rFonts w:hint="eastAsia" w:ascii="仿宋_GB2312" w:eastAsia="仿宋_GB2312" w:cs="Times New Roman"/>
          <w:color w:val="000000" w:themeColor="text1"/>
          <w:sz w:val="28"/>
          <w:szCs w:val="28"/>
          <w:lang w:val="en-US" w:eastAsia="zh-CN"/>
        </w:rPr>
        <w:t>五</w:t>
      </w:r>
      <w:r>
        <w:rPr>
          <w:rFonts w:hint="eastAsia" w:ascii="仿宋_GB2312" w:eastAsia="仿宋_GB2312" w:cs="Times New Roman"/>
          <w:color w:val="000000" w:themeColor="text1"/>
          <w:sz w:val="28"/>
          <w:szCs w:val="28"/>
        </w:rPr>
        <w:t>环保所</w:t>
      </w:r>
      <w:r>
        <w:rPr>
          <w:rFonts w:hint="eastAsia" w:ascii="仿宋_GB2312" w:eastAsia="仿宋_GB2312"/>
          <w:color w:val="000000" w:themeColor="text1"/>
          <w:sz w:val="28"/>
          <w:szCs w:val="28"/>
        </w:rPr>
        <w:t>，</w:t>
      </w:r>
      <w:r>
        <w:rPr>
          <w:rFonts w:hint="eastAsia" w:ascii="仿宋_GB2312" w:eastAsia="仿宋_GB2312"/>
          <w:color w:val="000000" w:themeColor="text1"/>
          <w:sz w:val="28"/>
          <w:szCs w:val="28"/>
          <w:lang w:val="en-US" w:eastAsia="zh-CN"/>
        </w:rPr>
        <w:t>广州市番禺环境工程有限公司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DC9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48DE3797">
    <w:pPr>
      <w:pStyle w:val="4"/>
      <w:ind w:right="360" w:firstLine="360"/>
      <w:jc w:val="center"/>
      <w:rPr>
        <w:rFonts w:ascii="Times New Roman" w:hAnsi="Times New Roman"/>
        <w:sz w:val="28"/>
        <w:szCs w:val="28"/>
      </w:rPr>
    </w:pPr>
  </w:p>
  <w:p w14:paraId="3B967C6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2ED8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AA547C0">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7DE0347"/>
    <w:rsid w:val="091574A4"/>
    <w:rsid w:val="0FAB4523"/>
    <w:rsid w:val="0FB13066"/>
    <w:rsid w:val="10BF38FB"/>
    <w:rsid w:val="11CD14B7"/>
    <w:rsid w:val="12737E91"/>
    <w:rsid w:val="12DA5DA1"/>
    <w:rsid w:val="12F17825"/>
    <w:rsid w:val="157D650A"/>
    <w:rsid w:val="1665249F"/>
    <w:rsid w:val="199774DF"/>
    <w:rsid w:val="1BC528C4"/>
    <w:rsid w:val="1D4266B3"/>
    <w:rsid w:val="1E3E6064"/>
    <w:rsid w:val="1F1D0879"/>
    <w:rsid w:val="1F4D7EC7"/>
    <w:rsid w:val="20CF4E76"/>
    <w:rsid w:val="21F75A5E"/>
    <w:rsid w:val="24DC54CD"/>
    <w:rsid w:val="26841D2D"/>
    <w:rsid w:val="28AE5DA0"/>
    <w:rsid w:val="2B704A51"/>
    <w:rsid w:val="307C5365"/>
    <w:rsid w:val="30A22B85"/>
    <w:rsid w:val="351B5590"/>
    <w:rsid w:val="38DF020C"/>
    <w:rsid w:val="38EB77CC"/>
    <w:rsid w:val="3AA44A54"/>
    <w:rsid w:val="3AE822E0"/>
    <w:rsid w:val="3CC7607D"/>
    <w:rsid w:val="41171C7F"/>
    <w:rsid w:val="42444278"/>
    <w:rsid w:val="450F1F75"/>
    <w:rsid w:val="453C3F01"/>
    <w:rsid w:val="4AE22D88"/>
    <w:rsid w:val="4B621286"/>
    <w:rsid w:val="4EB11A7C"/>
    <w:rsid w:val="4F586ABA"/>
    <w:rsid w:val="4F9C166D"/>
    <w:rsid w:val="58272CFA"/>
    <w:rsid w:val="596879A6"/>
    <w:rsid w:val="59E031B0"/>
    <w:rsid w:val="59F57B8E"/>
    <w:rsid w:val="62973EAF"/>
    <w:rsid w:val="670A7A3E"/>
    <w:rsid w:val="69EC15D6"/>
    <w:rsid w:val="69EF3DF1"/>
    <w:rsid w:val="6B2F71CC"/>
    <w:rsid w:val="6D8B22BF"/>
    <w:rsid w:val="73006EB1"/>
    <w:rsid w:val="73417714"/>
    <w:rsid w:val="74236FCC"/>
    <w:rsid w:val="754C3C5F"/>
    <w:rsid w:val="7617196A"/>
    <w:rsid w:val="762C5749"/>
    <w:rsid w:val="765C5FCF"/>
    <w:rsid w:val="77A5337F"/>
    <w:rsid w:val="785F314B"/>
    <w:rsid w:val="7B331FDF"/>
    <w:rsid w:val="7BA515D0"/>
    <w:rsid w:val="7BF35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2766</Words>
  <Characters>2996</Characters>
  <Lines>19</Lines>
  <Paragraphs>5</Paragraphs>
  <TotalTime>3</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2025-04-29T07:15:14Z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