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keepLines/>
        <w:spacing w:before="0" w:after="0" w:line="560" w:lineRule="exact"/>
        <w:rPr>
          <w:rFonts w:ascii="方正小标宋简体" w:eastAsia="方正小标宋简体"/>
          <w:color w:val="auto"/>
          <w:lang w:val="en-US"/>
        </w:rPr>
      </w:pPr>
      <w:bookmarkStart w:id="0" w:name="bookmark1"/>
      <w:bookmarkStart w:id="1" w:name="bookmark0"/>
      <w:bookmarkStart w:id="2" w:name="bookmark2"/>
      <w:bookmarkStart w:id="58" w:name="_GoBack"/>
      <w:bookmarkEnd w:id="58"/>
    </w:p>
    <w:p>
      <w:pPr>
        <w:pStyle w:val="13"/>
        <w:keepNext/>
        <w:keepLines/>
        <w:spacing w:before="0" w:after="0" w:line="560" w:lineRule="exact"/>
        <w:rPr>
          <w:rFonts w:ascii="方正小标宋简体" w:eastAsia="PMingLiU"/>
          <w:color w:val="auto"/>
          <w:lang w:val="en-US"/>
        </w:rPr>
      </w:pPr>
    </w:p>
    <w:p>
      <w:pPr>
        <w:pStyle w:val="13"/>
        <w:keepNext/>
        <w:keepLines/>
        <w:spacing w:before="0" w:after="0" w:line="560" w:lineRule="exact"/>
        <w:rPr>
          <w:rFonts w:ascii="方正小标宋简体" w:eastAsia="PMingLiU"/>
          <w:color w:val="auto"/>
          <w:lang w:val="en-US"/>
        </w:rPr>
      </w:pPr>
    </w:p>
    <w:p>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石楼镇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13</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12</w:t>
      </w:r>
      <w:r>
        <w:rPr>
          <w:rFonts w:hint="eastAsia" w:ascii="方正小标宋简体" w:eastAsia="方正小标宋简体"/>
          <w:b/>
          <w:bCs/>
          <w:color w:val="auto"/>
          <w:sz w:val="44"/>
          <w:szCs w:val="44"/>
          <w:lang w:eastAsia="zh-CN"/>
        </w:rPr>
        <w:t>日）</w:t>
      </w:r>
    </w:p>
    <w:p>
      <w:pPr>
        <w:pStyle w:val="15"/>
        <w:spacing w:after="0" w:line="560" w:lineRule="exact"/>
        <w:ind w:firstLine="2529" w:firstLineChars="900"/>
        <w:jc w:val="both"/>
        <w:rPr>
          <w:rFonts w:ascii="仿宋_GB2312" w:eastAsia="PMingLiU"/>
          <w:b/>
          <w:color w:val="auto"/>
        </w:rPr>
      </w:pPr>
      <w:bookmarkStart w:id="3" w:name="bookmark5"/>
      <w:bookmarkStart w:id="4" w:name="bookmark3"/>
      <w:bookmarkStart w:id="5" w:name="bookmark4"/>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529" w:firstLineChars="900"/>
        <w:jc w:val="both"/>
        <w:rPr>
          <w:rFonts w:ascii="仿宋_GB2312" w:eastAsia="PMingLiU"/>
          <w:b/>
          <w:color w:val="auto"/>
        </w:rPr>
      </w:pP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pPr>
        <w:pStyle w:val="15"/>
        <w:spacing w:after="0" w:line="560" w:lineRule="exact"/>
        <w:ind w:firstLine="2085" w:firstLineChars="742"/>
        <w:jc w:val="both"/>
        <w:rPr>
          <w:rFonts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石楼镇人民政府</w:t>
      </w:r>
    </w:p>
    <w:p>
      <w:pPr>
        <w:pStyle w:val="15"/>
        <w:spacing w:after="0" w:line="560" w:lineRule="exact"/>
        <w:ind w:firstLine="2085" w:firstLineChars="742"/>
        <w:jc w:val="both"/>
        <w:rPr>
          <w:rFonts w:ascii="仿宋_GB2312" w:eastAsia="仿宋_GB2312"/>
          <w:b/>
          <w:color w:val="auto"/>
          <w:lang w:eastAsia="zh-CN"/>
        </w:rPr>
      </w:pPr>
      <w:r>
        <w:rPr>
          <w:rFonts w:hint="eastAsia" w:ascii="仿宋_GB2312" w:eastAsia="仿宋_GB2312"/>
          <w:b/>
          <w:color w:val="auto"/>
        </w:rPr>
        <w:t>项目承办方：广州市</w:t>
      </w:r>
      <w:r>
        <w:rPr>
          <w:rFonts w:hint="eastAsia" w:ascii="仿宋_GB2312" w:eastAsia="仿宋_GB2312"/>
          <w:b/>
          <w:color w:val="auto"/>
          <w:lang w:eastAsia="zh-CN"/>
        </w:rPr>
        <w:t>阳光天使社会工作服务中心</w:t>
      </w: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pPr>
        <w:pStyle w:val="15"/>
        <w:spacing w:after="0" w:line="560" w:lineRule="exact"/>
        <w:ind w:firstLine="2085"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2025年2</w:t>
      </w:r>
      <w:r>
        <w:rPr>
          <w:rFonts w:hint="eastAsia" w:ascii="仿宋_GB2312" w:eastAsia="仿宋_GB2312"/>
          <w:b/>
          <w:color w:val="auto"/>
          <w:lang w:val="en-US"/>
        </w:rPr>
        <w:t>月</w:t>
      </w:r>
      <w:r>
        <w:rPr>
          <w:rFonts w:hint="eastAsia" w:ascii="仿宋_GB2312" w:eastAsia="仿宋_GB2312"/>
          <w:b/>
          <w:color w:val="auto"/>
          <w:lang w:val="en-US" w:eastAsia="zh-CN"/>
        </w:rPr>
        <w:t>27</w:t>
      </w:r>
      <w:r>
        <w:rPr>
          <w:rFonts w:hint="eastAsia" w:ascii="仿宋_GB2312" w:eastAsia="仿宋_GB2312"/>
          <w:b/>
          <w:color w:val="auto"/>
          <w:lang w:val="en-US"/>
        </w:rPr>
        <w:t>日</w:t>
      </w: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color w:val="auto"/>
        </w:rPr>
      </w:pPr>
    </w:p>
    <w:p>
      <w:pPr>
        <w:pStyle w:val="15"/>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pPr>
        <w:pStyle w:val="15"/>
        <w:spacing w:after="0" w:line="240" w:lineRule="auto"/>
        <w:ind w:firstLine="0"/>
        <w:rPr>
          <w:color w:val="auto"/>
        </w:rPr>
      </w:pPr>
    </w:p>
    <w:bookmarkEnd w:id="3"/>
    <w:bookmarkEnd w:id="4"/>
    <w:bookmarkEnd w:id="5"/>
    <w:p>
      <w:pPr>
        <w:pStyle w:val="13"/>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石楼镇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p>
    <w:p>
      <w:pPr>
        <w:pStyle w:val="13"/>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（202</w:t>
      </w:r>
      <w:r>
        <w:rPr>
          <w:rFonts w:hint="eastAsia" w:ascii="方正小标宋简体" w:eastAsia="方正小标宋简体"/>
          <w:b/>
          <w:bCs/>
          <w:color w:val="auto"/>
          <w:sz w:val="44"/>
          <w:szCs w:val="44"/>
          <w:lang w:val="en-US" w:eastAsia="zh-CN"/>
        </w:rPr>
        <w:t>4</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13</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12</w:t>
      </w:r>
      <w:r>
        <w:rPr>
          <w:rFonts w:hint="eastAsia" w:ascii="方正小标宋简体" w:eastAsia="方正小标宋简体"/>
          <w:b/>
          <w:bCs/>
          <w:color w:val="auto"/>
          <w:sz w:val="44"/>
          <w:szCs w:val="44"/>
          <w:lang w:eastAsia="zh-CN"/>
        </w:rPr>
        <w:t>日）</w:t>
      </w:r>
    </w:p>
    <w:p>
      <w:pPr>
        <w:pStyle w:val="15"/>
        <w:spacing w:after="0" w:line="560" w:lineRule="exact"/>
        <w:ind w:firstLine="0"/>
        <w:rPr>
          <w:rFonts w:ascii="方正小标宋简体" w:eastAsia="方正小标宋简体"/>
          <w:b/>
          <w:bCs/>
          <w:color w:val="auto"/>
          <w:sz w:val="44"/>
          <w:szCs w:val="44"/>
          <w:lang w:val="en-US" w:eastAsia="zh-CN"/>
        </w:rPr>
      </w:pPr>
    </w:p>
    <w:p>
      <w:pPr>
        <w:pStyle w:val="15"/>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石楼镇社工服务站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w:t>
      </w:r>
      <w:r>
        <w:rPr>
          <w:rFonts w:hint="eastAsia" w:ascii="仿宋_GB2312" w:eastAsia="仿宋_GB2312"/>
          <w:color w:val="auto"/>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pPr>
        <w:pStyle w:val="13"/>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pPr>
        <w:pStyle w:val="15"/>
        <w:pageBreakBefore w:val="0"/>
        <w:widowControl w:val="0"/>
        <w:kinsoku/>
        <w:wordWrap/>
        <w:overflowPunct/>
        <w:topLinePunct w:val="0"/>
        <w:autoSpaceDE/>
        <w:autoSpaceDN/>
        <w:bidi w:val="0"/>
        <w:adjustRightInd/>
        <w:snapToGrid/>
        <w:spacing w:after="0" w:line="54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2025年2月27日，番禺区社会组织联合会5位评委及2名工作人员对石楼镇社工站展开了中期评估工作。评估为期1天，主要通过听取社工站介绍、实地考察、查阅资料、面谈（访谈）、填写问卷、入户困难群众询问等形式，对石楼镇社工站的项目管理、服务开展情况以及项目成效等方面进行评估。评估团队主要完成了以下几方面的工作：</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6" w:name="bookmark6"/>
      <w:bookmarkEnd w:id="6"/>
      <w:r>
        <w:rPr>
          <w:rFonts w:hint="eastAsia" w:ascii="仿宋_GB2312" w:hAnsi="仿宋_GB2312" w:eastAsia="仿宋_GB2312" w:cs="仿宋_GB2312"/>
          <w:b/>
          <w:sz w:val="32"/>
          <w:szCs w:val="32"/>
          <w:lang w:val="en-US"/>
        </w:rPr>
        <w:t>1.</w:t>
      </w:r>
      <w:r>
        <w:rPr>
          <w:rFonts w:hint="eastAsia" w:ascii="仿宋_GB2312" w:hAnsi="仿宋_GB2312" w:eastAsia="仿宋_GB2312" w:cs="仿宋_GB2312"/>
          <w:b/>
          <w:sz w:val="32"/>
          <w:szCs w:val="32"/>
        </w:rPr>
        <w:t>听取介绍。</w:t>
      </w:r>
      <w:r>
        <w:rPr>
          <w:rFonts w:hint="eastAsia" w:ascii="仿宋_GB2312" w:hAnsi="仿宋_GB2312" w:eastAsia="仿宋_GB2312" w:cs="仿宋_GB2312"/>
          <w:sz w:val="32"/>
          <w:szCs w:val="32"/>
        </w:rPr>
        <w:t>由社工站负责人介绍社工站的运营及服务情况、各项指标完成情况。</w:t>
      </w:r>
    </w:p>
    <w:p>
      <w:pPr>
        <w:pStyle w:val="15"/>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7" w:name="bookmark7"/>
      <w:bookmarkEnd w:id="7"/>
      <w:r>
        <w:rPr>
          <w:rFonts w:hint="eastAsia" w:ascii="仿宋_GB2312" w:hAnsi="仿宋_GB2312" w:eastAsia="仿宋_GB2312" w:cs="仿宋_GB2312"/>
          <w:b/>
          <w:sz w:val="32"/>
          <w:szCs w:val="32"/>
          <w:lang w:val="en-US"/>
        </w:rPr>
        <w:t>2.</w:t>
      </w:r>
      <w:r>
        <w:rPr>
          <w:rFonts w:hint="eastAsia" w:ascii="仿宋_GB2312" w:hAnsi="仿宋_GB2312" w:eastAsia="仿宋_GB2312" w:cs="仿宋_GB2312"/>
          <w:b/>
          <w:sz w:val="32"/>
          <w:szCs w:val="32"/>
        </w:rPr>
        <w:t>实地观察。</w:t>
      </w:r>
      <w:r>
        <w:rPr>
          <w:rFonts w:hint="eastAsia" w:ascii="仿宋_GB2312" w:hAnsi="仿宋_GB2312" w:eastAsia="仿宋_GB2312" w:cs="仿宋_GB2312"/>
          <w:sz w:val="32"/>
          <w:szCs w:val="32"/>
        </w:rPr>
        <w:t>主要针对社工站硬件建设情况方面进行观察，以评估其设施开展专业服务的适宜性。</w:t>
      </w:r>
    </w:p>
    <w:p>
      <w:pPr>
        <w:pStyle w:val="15"/>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8" w:name="bookmark8"/>
      <w:bookmarkEnd w:id="8"/>
      <w:r>
        <w:rPr>
          <w:rFonts w:hint="eastAsia" w:ascii="仿宋_GB2312" w:hAnsi="仿宋_GB2312" w:eastAsia="仿宋_GB2312" w:cs="仿宋_GB2312"/>
          <w:b/>
          <w:sz w:val="32"/>
          <w:szCs w:val="32"/>
          <w:lang w:val="en-US"/>
        </w:rPr>
        <w:t>3.</w:t>
      </w:r>
      <w:r>
        <w:rPr>
          <w:rFonts w:hint="eastAsia" w:ascii="仿宋_GB2312" w:hAnsi="仿宋_GB2312" w:eastAsia="仿宋_GB2312" w:cs="仿宋_GB2312"/>
          <w:b/>
          <w:sz w:val="32"/>
          <w:szCs w:val="32"/>
        </w:rPr>
        <w:t>查阅资料。</w:t>
      </w:r>
      <w:r>
        <w:rPr>
          <w:rFonts w:hint="eastAsia" w:ascii="仿宋_GB2312" w:hAnsi="仿宋_GB2312" w:eastAsia="仿宋_GB2312" w:cs="仿宋_GB2312"/>
          <w:sz w:val="32"/>
          <w:szCs w:val="32"/>
        </w:rPr>
        <w:t>查阅社工站</w:t>
      </w:r>
      <w:r>
        <w:rPr>
          <w:rFonts w:hint="eastAsia" w:ascii="仿宋_GB2312" w:hAnsi="仿宋_GB2312" w:eastAsia="仿宋_GB2312" w:cs="仿宋_GB2312"/>
          <w:sz w:val="32"/>
          <w:szCs w:val="32"/>
          <w:lang w:eastAsia="zh-CN"/>
        </w:rPr>
        <w:t>运营</w:t>
      </w:r>
      <w:r>
        <w:rPr>
          <w:rFonts w:hint="eastAsia" w:ascii="仿宋_GB2312" w:hAnsi="仿宋_GB2312" w:eastAsia="仿宋_GB2312" w:cs="仿宋_GB2312"/>
          <w:sz w:val="32"/>
          <w:szCs w:val="32"/>
        </w:rPr>
        <w:t>、人事管理制度及专业服务记录等方面的资料。</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9" w:name="bookmark9"/>
      <w:bookmarkEnd w:id="9"/>
      <w:r>
        <w:rPr>
          <w:rFonts w:hint="eastAsia" w:ascii="仿宋_GB2312" w:hAnsi="仿宋_GB2312" w:eastAsia="仿宋_GB2312" w:cs="仿宋_GB2312"/>
          <w:b/>
          <w:sz w:val="32"/>
          <w:szCs w:val="32"/>
          <w:lang w:val="en-US"/>
        </w:rPr>
        <w:t>4.</w:t>
      </w:r>
      <w:r>
        <w:rPr>
          <w:rFonts w:hint="eastAsia" w:ascii="仿宋_GB2312" w:hAnsi="仿宋_GB2312" w:eastAsia="仿宋_GB2312" w:cs="仿宋_GB2312"/>
          <w:b/>
          <w:sz w:val="32"/>
          <w:szCs w:val="32"/>
          <w:lang w:eastAsia="zh-CN"/>
        </w:rPr>
        <w:t>分组</w:t>
      </w:r>
      <w:r>
        <w:rPr>
          <w:rFonts w:hint="eastAsia" w:ascii="仿宋_GB2312" w:hAnsi="仿宋_GB2312" w:eastAsia="仿宋_GB2312" w:cs="仿宋_GB2312"/>
          <w:b/>
          <w:sz w:val="32"/>
          <w:szCs w:val="32"/>
        </w:rPr>
        <w:t>评估访谈。</w:t>
      </w:r>
      <w:r>
        <w:rPr>
          <w:rFonts w:hint="eastAsia" w:ascii="仿宋_GB2312" w:hAnsi="仿宋_GB2312" w:eastAsia="仿宋_GB2312" w:cs="仿宋_GB2312"/>
          <w:sz w:val="32"/>
          <w:szCs w:val="32"/>
        </w:rPr>
        <w:t>评委与社工进行访谈，了解社工服务推进情况，了解社工对服务的理解，以及开展服务的总结反思。</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0" w:name="bookmark10"/>
      <w:bookmarkEnd w:id="10"/>
      <w:r>
        <w:rPr>
          <w:rFonts w:hint="eastAsia" w:ascii="仿宋_GB2312" w:hAnsi="仿宋_GB2312" w:eastAsia="仿宋_GB2312" w:cs="仿宋_GB2312"/>
          <w:b/>
          <w:sz w:val="32"/>
          <w:szCs w:val="32"/>
          <w:lang w:val="en-US"/>
        </w:rPr>
        <w:t>5.</w:t>
      </w:r>
      <w:bookmarkStart w:id="11" w:name="bookmark12"/>
      <w:bookmarkEnd w:id="11"/>
      <w:r>
        <w:rPr>
          <w:rFonts w:hint="eastAsia" w:ascii="仿宋_GB2312" w:hAnsi="仿宋_GB2312" w:eastAsia="仿宋_GB2312" w:cs="仿宋_GB2312"/>
          <w:b/>
          <w:sz w:val="32"/>
          <w:szCs w:val="32"/>
        </w:rPr>
        <w:t>总结反馈。</w:t>
      </w:r>
      <w:r>
        <w:rPr>
          <w:rFonts w:hint="eastAsia" w:ascii="仿宋_GB2312" w:hAnsi="仿宋_GB2312" w:eastAsia="仿宋_GB2312" w:cs="仿宋_GB2312"/>
          <w:sz w:val="32"/>
          <w:szCs w:val="32"/>
        </w:rPr>
        <w:t>由评委团队对评估进行总结，与社工站社工进行反馈，听取购买方对社工站工作开展的意见和建议，了解社工站同事对本次活动的反馈。</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2" w:name="bookmark13"/>
      <w:r>
        <w:rPr>
          <w:rFonts w:hint="eastAsia" w:ascii="仿宋_GB2312" w:hAnsi="仿宋_GB2312" w:eastAsia="仿宋_GB2312" w:cs="仿宋_GB2312"/>
          <w:b/>
          <w:sz w:val="32"/>
          <w:szCs w:val="32"/>
        </w:rPr>
        <w:t>（</w:t>
      </w:r>
      <w:bookmarkEnd w:id="12"/>
      <w:r>
        <w:rPr>
          <w:rFonts w:hint="eastAsia" w:ascii="仿宋_GB2312" w:hAnsi="仿宋_GB2312" w:eastAsia="仿宋_GB2312" w:cs="仿宋_GB2312"/>
          <w:b/>
          <w:sz w:val="32"/>
          <w:szCs w:val="32"/>
        </w:rPr>
        <w:t>一）评估依据</w:t>
      </w:r>
    </w:p>
    <w:p>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3" w:name="bookmark14"/>
      <w:bookmarkEnd w:id="13"/>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政策依据：《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bookmarkStart w:id="14" w:name="bookmark15"/>
      <w:bookmarkEnd w:id="14"/>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评估标准依据：《广州市社工站购买服务项目评估指标体系》《广州市社工站购买服务项目协议》。</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15" w:name="bookmark16"/>
      <w:r>
        <w:rPr>
          <w:rFonts w:hint="eastAsia" w:ascii="仿宋_GB2312" w:hAnsi="仿宋_GB2312" w:eastAsia="仿宋_GB2312" w:cs="仿宋_GB2312"/>
          <w:b/>
          <w:sz w:val="32"/>
          <w:szCs w:val="32"/>
        </w:rPr>
        <w:t>（</w:t>
      </w:r>
      <w:bookmarkEnd w:id="15"/>
      <w:r>
        <w:rPr>
          <w:rFonts w:hint="eastAsia" w:ascii="仿宋_GB2312" w:hAnsi="仿宋_GB2312" w:eastAsia="仿宋_GB2312" w:cs="仿宋_GB2312"/>
          <w:b/>
          <w:sz w:val="32"/>
          <w:szCs w:val="32"/>
        </w:rPr>
        <w:t>二）评估原则</w:t>
      </w:r>
    </w:p>
    <w:p>
      <w:pPr>
        <w:pStyle w:val="15"/>
        <w:pageBreakBefore w:val="0"/>
        <w:widowControl w:val="0"/>
        <w:numPr>
          <w:ilvl w:val="-1"/>
          <w:numId w:val="0"/>
        </w:numPr>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6" w:name="bookmark17"/>
      <w:bookmarkEnd w:id="16"/>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真实诚信原则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评估要求项目运营方必须以实事求是的态度对待评估，本着诚实守信的原则，提供和展示能够真实、客观反映其项目运营状况的依据和有效资料，以供评估小组考察。</w:t>
      </w:r>
    </w:p>
    <w:p>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7" w:name="bookmark18"/>
      <w:bookmarkEnd w:id="17"/>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客观公正原则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评估要求所有评委恪守</w:t>
      </w:r>
      <w:r>
        <w:rPr>
          <w:rFonts w:hint="eastAsia" w:ascii="仿宋_GB2312" w:hAnsi="仿宋_GB2312" w:eastAsia="仿宋_GB2312" w:cs="仿宋_GB2312"/>
          <w:sz w:val="32"/>
          <w:szCs w:val="32"/>
          <w:lang w:val="zh-CN" w:eastAsia="zh-CN" w:bidi="zh-CN"/>
        </w:rPr>
        <w:t>“客</w:t>
      </w:r>
      <w:r>
        <w:rPr>
          <w:rFonts w:hint="eastAsia" w:ascii="仿宋_GB2312" w:hAnsi="仿宋_GB2312" w:eastAsia="仿宋_GB2312" w:cs="仿宋_GB2312"/>
          <w:sz w:val="32"/>
          <w:szCs w:val="32"/>
        </w:rPr>
        <w:t>观公正的第三方”评估者角色，依据事实和真实情况给出客观、中肯评价意见或结论。</w:t>
      </w:r>
    </w:p>
    <w:p>
      <w:pPr>
        <w:pStyle w:val="15"/>
        <w:pageBreakBefore w:val="0"/>
        <w:widowControl w:val="0"/>
        <w:numPr>
          <w:ilvl w:val="-1"/>
          <w:numId w:val="0"/>
        </w:numPr>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8" w:name="bookmark19"/>
      <w:bookmarkEnd w:id="18"/>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证据为本原则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5"/>
        <w:pageBreakBefore w:val="0"/>
        <w:widowControl w:val="0"/>
        <w:numPr>
          <w:ilvl w:val="-1"/>
          <w:numId w:val="0"/>
        </w:numPr>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19" w:name="bookmark20"/>
      <w:bookmarkEnd w:id="19"/>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以评促进原则</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0" w:name="bookmark21"/>
      <w:bookmarkEnd w:id="20"/>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回避监督原则：</w:t>
      </w:r>
      <w:r>
        <w:rPr>
          <w:rFonts w:hint="eastAsia" w:ascii="仿宋_GB2312" w:hAnsi="仿宋_GB2312" w:eastAsia="仿宋_GB2312" w:cs="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5"/>
        <w:pageBreakBefore w:val="0"/>
        <w:widowControl w:val="0"/>
        <w:numPr>
          <w:ilvl w:val="-1"/>
          <w:numId w:val="0"/>
        </w:numPr>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1" w:name="bookmark22"/>
      <w:bookmarkEnd w:id="21"/>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保密尊重原则：</w:t>
      </w:r>
      <w:r>
        <w:rPr>
          <w:rFonts w:hint="eastAsia" w:ascii="仿宋_GB2312" w:hAnsi="仿宋_GB2312" w:eastAsia="仿宋_GB2312" w:cs="仿宋_GB2312"/>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2" w:name="bookmark23"/>
      <w:r>
        <w:rPr>
          <w:rFonts w:hint="eastAsia" w:ascii="仿宋_GB2312" w:hAnsi="仿宋_GB2312" w:eastAsia="仿宋_GB2312" w:cs="仿宋_GB2312"/>
          <w:b/>
          <w:sz w:val="32"/>
          <w:szCs w:val="32"/>
        </w:rPr>
        <w:t>（</w:t>
      </w:r>
      <w:bookmarkEnd w:id="22"/>
      <w:r>
        <w:rPr>
          <w:rFonts w:hint="eastAsia" w:ascii="仿宋_GB2312" w:hAnsi="仿宋_GB2312" w:eastAsia="仿宋_GB2312" w:cs="仿宋_GB2312"/>
          <w:b/>
          <w:sz w:val="32"/>
          <w:szCs w:val="32"/>
        </w:rPr>
        <w:t>三）评估阶段</w:t>
      </w:r>
    </w:p>
    <w:p>
      <w:pPr>
        <w:pStyle w:val="15"/>
        <w:pageBreakBefore w:val="0"/>
        <w:widowControl w:val="0"/>
        <w:numPr>
          <w:ilvl w:val="-1"/>
          <w:numId w:val="0"/>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3" w:name="bookmark24"/>
      <w:bookmarkEnd w:id="23"/>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lang w:eastAsia="zh-CN"/>
        </w:rPr>
        <w:t>制定评估计划</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番禺区民政局会同</w:t>
      </w:r>
      <w:r>
        <w:rPr>
          <w:rFonts w:hint="eastAsia" w:ascii="仿宋_GB2312" w:hAnsi="仿宋_GB2312" w:eastAsia="仿宋_GB2312" w:cs="仿宋_GB2312"/>
          <w:sz w:val="32"/>
          <w:szCs w:val="32"/>
          <w:lang w:val="en-US"/>
        </w:rPr>
        <w:t>番禺区社会组织联合会</w:t>
      </w:r>
      <w:r>
        <w:rPr>
          <w:rFonts w:hint="eastAsia" w:ascii="仿宋_GB2312" w:hAnsi="仿宋_GB2312" w:eastAsia="仿宋_GB2312" w:cs="仿宋_GB2312"/>
          <w:sz w:val="32"/>
          <w:szCs w:val="32"/>
          <w:lang w:eastAsia="zh-CN"/>
        </w:rPr>
        <w:t>根据最新管理办法要求及石楼镇社工站项目合同期限确定评估时间，制定好评估计划和评估通知。</w:t>
      </w:r>
    </w:p>
    <w:p>
      <w:pPr>
        <w:pStyle w:val="15"/>
        <w:pageBreakBefore w:val="0"/>
        <w:widowControl w:val="0"/>
        <w:numPr>
          <w:ilvl w:val="-1"/>
          <w:numId w:val="0"/>
        </w:numPr>
        <w:tabs>
          <w:tab w:val="left" w:pos="992"/>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自我评审阶段</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社工站结合《广州市社工站购买服务项目评估指标体系》和签订的服务协议，逐项对照，准备材料，结合实际进行自我评估，并完成自评报告的报送工作。</w:t>
      </w:r>
    </w:p>
    <w:p>
      <w:pPr>
        <w:pStyle w:val="15"/>
        <w:pageBreakBefore w:val="0"/>
        <w:widowControl w:val="0"/>
        <w:numPr>
          <w:ilvl w:val="-1"/>
          <w:numId w:val="0"/>
        </w:numPr>
        <w:tabs>
          <w:tab w:val="left" w:pos="1001"/>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4" w:name="bookmark25"/>
      <w:bookmarkEnd w:id="24"/>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实地评估阶段</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评估小组根据评估计划组织实施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社工站提供的材料进行审阅，实地考察，进行现场评估并打分。评估小组根据公平、公正的原则，严格按照评估要求，对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社工站进行评估工作。</w:t>
      </w:r>
    </w:p>
    <w:p>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sz w:val="32"/>
          <w:szCs w:val="32"/>
        </w:rPr>
      </w:pPr>
      <w:bookmarkStart w:id="25" w:name="bookmark26"/>
      <w:bookmarkEnd w:id="25"/>
      <w:r>
        <w:rPr>
          <w:rFonts w:hint="eastAsia" w:ascii="仿宋_GB2312" w:hAnsi="仿宋_GB2312" w:eastAsia="仿宋_GB2312" w:cs="仿宋_GB2312"/>
          <w:b/>
          <w:sz w:val="32"/>
          <w:szCs w:val="32"/>
          <w:lang w:val="en-US" w:eastAsia="zh-CN"/>
        </w:rPr>
        <w:t>4.</w:t>
      </w:r>
      <w:r>
        <w:rPr>
          <w:rFonts w:hint="eastAsia" w:ascii="仿宋_GB2312" w:hAnsi="仿宋_GB2312" w:eastAsia="仿宋_GB2312" w:cs="仿宋_GB2312"/>
          <w:b/>
          <w:sz w:val="32"/>
          <w:szCs w:val="32"/>
        </w:rPr>
        <w:t>反馈初评意见</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综合评委专家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监督方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市督导中心意见和建议，在评估工作结束后5个工作日内，向</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val="en-US" w:eastAsia="zh-CN"/>
        </w:rPr>
        <w:t>石楼镇政府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社工站反馈初评意见，对评估结果、存在问题及改进建议等进行沟通确认</w:t>
      </w:r>
      <w:r>
        <w:rPr>
          <w:rFonts w:hint="eastAsia" w:ascii="仿宋_GB2312" w:hAnsi="仿宋_GB2312" w:eastAsia="仿宋_GB2312" w:cs="仿宋_GB2312"/>
          <w:sz w:val="32"/>
          <w:szCs w:val="32"/>
          <w:lang w:eastAsia="zh-CN"/>
        </w:rPr>
        <w:t>。</w:t>
      </w:r>
    </w:p>
    <w:p>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6" w:name="bookmark27"/>
      <w:bookmarkEnd w:id="26"/>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出具</w:t>
      </w:r>
      <w:r>
        <w:rPr>
          <w:rFonts w:hint="eastAsia" w:ascii="仿宋_GB2312" w:hAnsi="仿宋_GB2312" w:eastAsia="仿宋_GB2312" w:cs="仿宋_GB2312"/>
          <w:b/>
          <w:sz w:val="32"/>
          <w:szCs w:val="32"/>
          <w:lang w:eastAsia="zh-CN"/>
        </w:rPr>
        <w:t>中</w:t>
      </w:r>
      <w:r>
        <w:rPr>
          <w:rFonts w:hint="eastAsia" w:ascii="仿宋_GB2312" w:hAnsi="仿宋_GB2312" w:eastAsia="仿宋_GB2312" w:cs="仿宋_GB2312"/>
          <w:b/>
          <w:sz w:val="32"/>
          <w:szCs w:val="32"/>
        </w:rPr>
        <w:t>期评估报告</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在评估工作结束后10个工作日内，向番禺区民政局、</w:t>
      </w:r>
      <w:r>
        <w:rPr>
          <w:rFonts w:hint="eastAsia" w:ascii="仿宋_GB2312" w:hAnsi="仿宋_GB2312" w:eastAsia="仿宋_GB2312" w:cs="仿宋_GB2312"/>
          <w:sz w:val="32"/>
          <w:szCs w:val="32"/>
          <w:lang w:val="en-US" w:eastAsia="zh-CN"/>
        </w:rPr>
        <w:t>石楼镇政府</w:t>
      </w:r>
      <w:r>
        <w:rPr>
          <w:rFonts w:hint="eastAsia" w:ascii="仿宋_GB2312" w:hAnsi="仿宋_GB2312" w:eastAsia="仿宋_GB2312" w:cs="仿宋_GB2312"/>
          <w:sz w:val="32"/>
          <w:szCs w:val="32"/>
        </w:rPr>
        <w:t>及</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社工站各出具一份评估报告，提出项目存在的问题及改进建议。</w:t>
      </w:r>
    </w:p>
    <w:p>
      <w:pPr>
        <w:pStyle w:val="15"/>
        <w:pageBreakBefore w:val="0"/>
        <w:widowControl w:val="0"/>
        <w:numPr>
          <w:ilvl w:val="-1"/>
          <w:numId w:val="0"/>
        </w:numPr>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lang w:eastAsia="zh-CN"/>
        </w:rPr>
        <w:t>公示评估报告及受理评估投诉</w:t>
      </w:r>
    </w:p>
    <w:p>
      <w:pPr>
        <w:pStyle w:val="15"/>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区民政</w:t>
      </w:r>
      <w:r>
        <w:rPr>
          <w:rFonts w:hint="eastAsia" w:ascii="仿宋_GB2312" w:hAnsi="仿宋_GB2312" w:eastAsia="仿宋_GB2312" w:cs="仿宋_GB2312"/>
          <w:sz w:val="32"/>
          <w:szCs w:val="32"/>
        </w:rPr>
        <w:t>局在收到评估报告后汇总社会救助等有关业务科室意见，于5个工作日内确认评估报告，确认后对</w:t>
      </w:r>
      <w:r>
        <w:rPr>
          <w:rFonts w:hint="eastAsia" w:ascii="仿宋_GB2312" w:hAnsi="仿宋_GB2312" w:eastAsia="仿宋_GB2312" w:cs="仿宋_GB2312"/>
          <w:sz w:val="32"/>
          <w:szCs w:val="32"/>
          <w:lang w:val="en-US" w:eastAsia="zh-CN"/>
        </w:rPr>
        <w:t>石楼镇</w:t>
      </w:r>
      <w:r>
        <w:rPr>
          <w:rFonts w:hint="eastAsia" w:ascii="仿宋_GB2312" w:hAnsi="仿宋_GB2312" w:eastAsia="仿宋_GB2312" w:cs="仿宋_GB2312"/>
          <w:sz w:val="32"/>
          <w:szCs w:val="32"/>
        </w:rPr>
        <w:t>社工站项目的评估报告进行公示，公示期不少于7个工作日。</w:t>
      </w:r>
      <w:r>
        <w:rPr>
          <w:rFonts w:hint="eastAsia" w:ascii="仿宋_GB2312" w:hAnsi="仿宋_GB2312" w:eastAsia="仿宋_GB2312" w:cs="仿宋_GB2312"/>
          <w:sz w:val="32"/>
          <w:szCs w:val="32"/>
          <w:lang w:eastAsia="zh-CN"/>
        </w:rPr>
        <w:t>公示期间，如收到对评估报告的质疑或投诉，区民政局及时对评估结果进行复核，并确定最终评估结果，同时将有关处理情况报市民政部门。</w:t>
      </w:r>
    </w:p>
    <w:p>
      <w:pPr>
        <w:pStyle w:val="15"/>
        <w:pageBreakBefore w:val="0"/>
        <w:widowControl w:val="0"/>
        <w:tabs>
          <w:tab w:val="left" w:pos="1006"/>
        </w:tabs>
        <w:kinsoku/>
        <w:wordWrap/>
        <w:overflowPunct/>
        <w:topLinePunct w:val="0"/>
        <w:autoSpaceDE/>
        <w:autoSpaceDN/>
        <w:bidi w:val="0"/>
        <w:adjustRightInd/>
        <w:snapToGrid/>
        <w:spacing w:after="0" w:line="540" w:lineRule="exact"/>
        <w:ind w:left="640" w:firstLine="0"/>
        <w:jc w:val="both"/>
        <w:textAlignment w:val="auto"/>
        <w:rPr>
          <w:rFonts w:ascii="仿宋_GB2312" w:hAnsi="仿宋_GB2312" w:eastAsia="仿宋_GB2312" w:cs="仿宋_GB2312"/>
          <w:b/>
          <w:sz w:val="32"/>
          <w:szCs w:val="32"/>
        </w:rPr>
      </w:pPr>
      <w:bookmarkStart w:id="27" w:name="bookmark28"/>
      <w:r>
        <w:rPr>
          <w:rFonts w:hint="eastAsia" w:ascii="仿宋_GB2312" w:hAnsi="仿宋_GB2312" w:eastAsia="仿宋_GB2312" w:cs="仿宋_GB2312"/>
          <w:b/>
          <w:sz w:val="32"/>
          <w:szCs w:val="32"/>
        </w:rPr>
        <w:t>（</w:t>
      </w:r>
      <w:bookmarkEnd w:id="27"/>
      <w:r>
        <w:rPr>
          <w:rFonts w:hint="eastAsia" w:ascii="仿宋_GB2312" w:hAnsi="仿宋_GB2312" w:eastAsia="仿宋_GB2312" w:cs="仿宋_GB2312"/>
          <w:b/>
          <w:sz w:val="32"/>
          <w:szCs w:val="32"/>
        </w:rPr>
        <w:t>四）评估内容</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bookmarkStart w:id="28" w:name="bookmark30"/>
      <w:r>
        <w:rPr>
          <w:rFonts w:ascii="仿宋_GB2312" w:hAnsi="仿宋_GB2312" w:eastAsia="PMingLiU" w:cs="仿宋_GB2312"/>
          <w:b/>
          <w:sz w:val="32"/>
          <w:szCs w:val="32"/>
        </w:rPr>
        <w:t>1.</w:t>
      </w:r>
      <w:r>
        <w:rPr>
          <w:rFonts w:hint="eastAsia" w:ascii="仿宋_GB2312" w:hAnsi="仿宋_GB2312" w:eastAsia="仿宋_GB2312" w:cs="仿宋_GB2312"/>
          <w:b/>
          <w:sz w:val="32"/>
          <w:szCs w:val="32"/>
          <w:lang w:eastAsia="zh-CN"/>
        </w:rPr>
        <w:t>项目</w:t>
      </w:r>
      <w:r>
        <w:rPr>
          <w:rFonts w:ascii="仿宋_GB2312" w:hAnsi="仿宋_GB2312" w:eastAsia="仿宋_GB2312" w:cs="仿宋_GB2312"/>
          <w:b/>
          <w:sz w:val="32"/>
          <w:szCs w:val="32"/>
        </w:rPr>
        <w:t>管理情况评估</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主要从社工站人员管理、</w:t>
      </w:r>
      <w:r>
        <w:rPr>
          <w:rFonts w:hint="eastAsia" w:ascii="仿宋_GB2312" w:hAnsi="仿宋_GB2312" w:eastAsia="仿宋_GB2312" w:cs="仿宋_GB2312"/>
          <w:sz w:val="32"/>
          <w:szCs w:val="32"/>
          <w:lang w:eastAsia="zh-CN"/>
        </w:rPr>
        <w:t>专业</w:t>
      </w:r>
      <w:r>
        <w:rPr>
          <w:rFonts w:ascii="仿宋_GB2312" w:hAnsi="仿宋_GB2312" w:eastAsia="仿宋_GB2312" w:cs="仿宋_GB2312"/>
          <w:sz w:val="32"/>
          <w:szCs w:val="32"/>
          <w:lang w:eastAsia="zh-CN"/>
        </w:rPr>
        <w:t>规范性管理</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项目宣传等方面进行评估。</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2.项目服务评估</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ascii="仿宋_GB2312" w:hAnsi="仿宋_GB2312" w:eastAsia="仿宋_GB2312" w:cs="仿宋_GB2312"/>
          <w:sz w:val="32"/>
          <w:szCs w:val="32"/>
          <w:lang w:eastAsia="zh-CN"/>
        </w:rPr>
        <w:t>根据《广州市社工站</w:t>
      </w:r>
      <w:r>
        <w:rPr>
          <w:rFonts w:hint="eastAsia" w:ascii="仿宋_GB2312" w:hAnsi="仿宋_GB2312" w:eastAsia="仿宋_GB2312" w:cs="仿宋_GB2312"/>
          <w:sz w:val="32"/>
          <w:szCs w:val="32"/>
          <w:lang w:eastAsia="zh-CN"/>
        </w:rPr>
        <w:t>购买</w:t>
      </w:r>
      <w:r>
        <w:rPr>
          <w:rFonts w:ascii="仿宋_GB2312" w:hAnsi="仿宋_GB2312" w:eastAsia="仿宋_GB2312" w:cs="仿宋_GB2312"/>
          <w:sz w:val="32"/>
          <w:szCs w:val="32"/>
          <w:lang w:eastAsia="zh-CN"/>
        </w:rPr>
        <w:t>服务项目评估指标体系》，结合社工站与</w:t>
      </w:r>
      <w:r>
        <w:rPr>
          <w:rFonts w:hint="eastAsia" w:ascii="仿宋_GB2312" w:hAnsi="仿宋_GB2312" w:eastAsia="仿宋_GB2312" w:cs="仿宋_GB2312"/>
          <w:sz w:val="32"/>
          <w:szCs w:val="32"/>
          <w:lang w:val="en-US" w:eastAsia="zh-CN"/>
        </w:rPr>
        <w:t>镇政府</w:t>
      </w:r>
      <w:r>
        <w:rPr>
          <w:rFonts w:ascii="仿宋_GB2312" w:hAnsi="仿宋_GB2312" w:eastAsia="仿宋_GB2312" w:cs="仿宋_GB2312"/>
          <w:sz w:val="32"/>
          <w:szCs w:val="32"/>
          <w:lang w:eastAsia="zh-CN"/>
        </w:rPr>
        <w:t>签订的三方协议规定开展的服务内容开展评估工作，主要从</w:t>
      </w:r>
      <w:r>
        <w:rPr>
          <w:rFonts w:hint="eastAsia" w:ascii="仿宋_GB2312" w:hAnsi="仿宋_GB2312" w:eastAsia="仿宋_GB2312" w:cs="仿宋_GB2312"/>
          <w:sz w:val="32"/>
          <w:szCs w:val="32"/>
          <w:lang w:eastAsia="zh-CN"/>
        </w:rPr>
        <w:t>需求</w:t>
      </w:r>
      <w:r>
        <w:rPr>
          <w:rFonts w:ascii="仿宋_GB2312" w:hAnsi="仿宋_GB2312" w:eastAsia="仿宋_GB2312" w:cs="仿宋_GB2312"/>
          <w:sz w:val="32"/>
          <w:szCs w:val="32"/>
          <w:lang w:eastAsia="zh-CN"/>
        </w:rPr>
        <w:t>评估</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服务设计</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服务执行</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服务成效等方面进行评估。</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bookmarkStart w:id="29" w:name="bookmark29"/>
      <w:bookmarkEnd w:id="29"/>
      <w:r>
        <w:rPr>
          <w:rFonts w:ascii="仿宋_GB2312" w:hAnsi="仿宋_GB2312" w:eastAsia="仿宋_GB2312" w:cs="仿宋_GB2312"/>
          <w:b/>
          <w:sz w:val="32"/>
          <w:szCs w:val="32"/>
        </w:rPr>
        <w:t>3</w:t>
      </w:r>
      <w:r>
        <w:rPr>
          <w:rFonts w:hint="eastAsia" w:ascii="仿宋_GB2312" w:hAnsi="仿宋_GB2312" w:eastAsia="仿宋_GB2312" w:cs="仿宋_GB2312"/>
          <w:b/>
          <w:sz w:val="32"/>
          <w:szCs w:val="32"/>
          <w:lang w:eastAsia="zh-CN"/>
        </w:rPr>
        <w:t>.</w:t>
      </w:r>
      <w:r>
        <w:rPr>
          <w:rFonts w:hint="eastAsia" w:ascii="仿宋_GB2312" w:hAnsi="仿宋_GB2312" w:eastAsia="仿宋_GB2312" w:cs="仿宋_GB2312"/>
          <w:b/>
          <w:sz w:val="32"/>
          <w:szCs w:val="32"/>
        </w:rPr>
        <w:t>服务</w:t>
      </w:r>
      <w:r>
        <w:rPr>
          <w:rFonts w:ascii="仿宋_GB2312" w:hAnsi="仿宋_GB2312" w:eastAsia="仿宋_GB2312" w:cs="仿宋_GB2312"/>
          <w:b/>
          <w:sz w:val="32"/>
          <w:szCs w:val="32"/>
        </w:rPr>
        <w:t>对象评价</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服务</w:t>
      </w:r>
      <w:r>
        <w:rPr>
          <w:rFonts w:ascii="仿宋_GB2312" w:hAnsi="仿宋_GB2312" w:eastAsia="仿宋_GB2312" w:cs="仿宋_GB2312"/>
          <w:sz w:val="32"/>
          <w:szCs w:val="32"/>
          <w:lang w:eastAsia="zh-CN"/>
        </w:rPr>
        <w:t>对象满意度主要由评估机构统筹实施</w:t>
      </w:r>
      <w:r>
        <w:rPr>
          <w:rFonts w:hint="eastAsia" w:ascii="仿宋_GB2312" w:hAnsi="仿宋_GB2312" w:eastAsia="仿宋_GB2312" w:cs="仿宋_GB2312"/>
          <w:sz w:val="32"/>
          <w:szCs w:val="32"/>
          <w:lang w:eastAsia="zh-CN"/>
        </w:rPr>
        <w:t>，通过电访、走访、调查问卷等方式进行，</w:t>
      </w:r>
      <w:r>
        <w:rPr>
          <w:rFonts w:ascii="仿宋_GB2312" w:hAnsi="仿宋_GB2312" w:eastAsia="仿宋_GB2312" w:cs="仿宋_GB2312"/>
          <w:sz w:val="32"/>
          <w:szCs w:val="32"/>
          <w:lang w:eastAsia="zh-CN"/>
        </w:rPr>
        <w:t>随机抽取不少于</w:t>
      </w:r>
      <w:r>
        <w:rPr>
          <w:rFonts w:hint="eastAsia" w:ascii="仿宋_GB2312" w:hAnsi="仿宋_GB2312" w:eastAsia="仿宋_GB2312" w:cs="仿宋_GB2312"/>
          <w:sz w:val="32"/>
          <w:szCs w:val="32"/>
          <w:lang w:eastAsia="zh-CN"/>
        </w:rPr>
        <w:t>1</w:t>
      </w:r>
      <w:r>
        <w:rPr>
          <w:rFonts w:ascii="仿宋_GB2312" w:hAnsi="仿宋_GB2312" w:eastAsia="仿宋_GB2312" w:cs="仿宋_GB2312"/>
          <w:sz w:val="32"/>
          <w:szCs w:val="32"/>
          <w:lang w:eastAsia="zh-CN"/>
        </w:rPr>
        <w:t>00名服务对象开展满意度调查</w:t>
      </w:r>
      <w:r>
        <w:rPr>
          <w:rFonts w:hint="eastAsia" w:ascii="仿宋_GB2312" w:hAnsi="仿宋_GB2312" w:eastAsia="仿宋_GB2312" w:cs="仿宋_GB2312"/>
          <w:sz w:val="32"/>
          <w:szCs w:val="32"/>
          <w:lang w:eastAsia="zh-CN"/>
        </w:rPr>
        <w:t>（困难群众和特殊群体总人数低于1</w:t>
      </w:r>
      <w:r>
        <w:rPr>
          <w:rFonts w:ascii="仿宋_GB2312" w:hAnsi="仿宋_GB2312" w:eastAsia="仿宋_GB2312" w:cs="仿宋_GB2312"/>
          <w:sz w:val="32"/>
          <w:szCs w:val="32"/>
          <w:lang w:eastAsia="zh-CN"/>
        </w:rPr>
        <w:t>00的</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按照实际人数</w:t>
      </w:r>
      <w:r>
        <w:rPr>
          <w:rFonts w:hint="eastAsia" w:ascii="仿宋_GB2312" w:hAnsi="仿宋_GB2312" w:eastAsia="仿宋_GB2312" w:cs="仿宋_GB2312"/>
          <w:sz w:val="32"/>
          <w:szCs w:val="32"/>
          <w:lang w:eastAsia="zh-CN"/>
        </w:rPr>
        <w:t>开展</w:t>
      </w:r>
      <w:r>
        <w:rPr>
          <w:rFonts w:ascii="仿宋_GB2312" w:hAnsi="仿宋_GB2312" w:eastAsia="仿宋_GB2312" w:cs="仿宋_GB2312"/>
          <w:sz w:val="32"/>
          <w:szCs w:val="32"/>
          <w:lang w:eastAsia="zh-CN"/>
        </w:rPr>
        <w:t>全覆盖满意度调查</w:t>
      </w:r>
      <w:r>
        <w:rPr>
          <w:rFonts w:hint="eastAsia" w:ascii="仿宋_GB2312" w:hAnsi="仿宋_GB2312" w:eastAsia="仿宋_GB2312" w:cs="仿宋_GB2312"/>
          <w:sz w:val="32"/>
          <w:szCs w:val="32"/>
          <w:lang w:eastAsia="zh-CN"/>
        </w:rPr>
        <w:t>）</w:t>
      </w:r>
      <w:r>
        <w:rPr>
          <w:rFonts w:ascii="仿宋_GB2312" w:hAnsi="仿宋_GB2312" w:eastAsia="仿宋_GB2312" w:cs="仿宋_GB2312"/>
          <w:sz w:val="32"/>
          <w:szCs w:val="32"/>
          <w:lang w:eastAsia="zh-CN"/>
        </w:rPr>
        <w:t>。</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.收集整理相关方反馈</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rPr>
        <w:t>收集整理相关方意见反馈</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购买方</w:t>
      </w:r>
      <w:r>
        <w:rPr>
          <w:rFonts w:hint="eastAsia" w:ascii="仿宋_GB2312" w:hAnsi="仿宋_GB2312" w:eastAsia="仿宋_GB2312" w:cs="仿宋_GB2312"/>
          <w:sz w:val="32"/>
          <w:szCs w:val="32"/>
          <w:lang w:eastAsia="zh-CN"/>
        </w:rPr>
        <w:t>对社工站项目作用发挥情况的综合评价</w:t>
      </w:r>
      <w:r>
        <w:rPr>
          <w:rFonts w:hint="eastAsia" w:ascii="仿宋_GB2312" w:hAnsi="仿宋_GB2312" w:eastAsia="仿宋_GB2312" w:cs="仿宋_GB2312"/>
          <w:sz w:val="32"/>
          <w:szCs w:val="32"/>
        </w:rPr>
        <w:t>，监督方番禺区民政局</w:t>
      </w:r>
      <w:r>
        <w:rPr>
          <w:rFonts w:hint="eastAsia" w:ascii="仿宋_GB2312" w:hAnsi="仿宋_GB2312" w:eastAsia="仿宋_GB2312" w:cs="仿宋_GB2312"/>
          <w:sz w:val="32"/>
          <w:szCs w:val="32"/>
          <w:lang w:eastAsia="zh-CN"/>
        </w:rPr>
        <w:t>对社工站项目的自查自纠检查情况、督查整改落实情况的综合评价，以及</w:t>
      </w:r>
      <w:r>
        <w:rPr>
          <w:rFonts w:hint="eastAsia" w:ascii="仿宋_GB2312" w:hAnsi="仿宋_GB2312" w:eastAsia="仿宋_GB2312" w:cs="仿宋_GB2312"/>
          <w:sz w:val="32"/>
          <w:szCs w:val="32"/>
        </w:rPr>
        <w:t>督导中心</w:t>
      </w:r>
      <w:r>
        <w:rPr>
          <w:rFonts w:hint="eastAsia" w:ascii="仿宋_GB2312" w:hAnsi="仿宋_GB2312" w:eastAsia="仿宋_GB2312" w:cs="仿宋_GB2312"/>
          <w:sz w:val="32"/>
          <w:szCs w:val="32"/>
          <w:lang w:eastAsia="zh-CN"/>
        </w:rPr>
        <w:t>对服务质量保障方面情况的综合评价。</w:t>
      </w:r>
    </w:p>
    <w:p>
      <w:pPr>
        <w:pStyle w:val="15"/>
        <w:pageBreakBefore w:val="0"/>
        <w:widowControl w:val="0"/>
        <w:tabs>
          <w:tab w:val="left" w:pos="1480"/>
        </w:tabs>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28"/>
      <w:r>
        <w:rPr>
          <w:rFonts w:hint="eastAsia" w:ascii="仿宋_GB2312" w:hAnsi="仿宋_GB2312" w:eastAsia="仿宋_GB2312" w:cs="仿宋_GB2312"/>
          <w:b/>
          <w:sz w:val="32"/>
          <w:szCs w:val="32"/>
        </w:rPr>
        <w:t>五）评估结果说明</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hAnsi="仿宋_GB2312" w:eastAsia="PMingLiU" w:cs="仿宋_GB2312"/>
          <w:sz w:val="32"/>
          <w:szCs w:val="32"/>
        </w:rPr>
      </w:pPr>
      <w:r>
        <w:rPr>
          <w:rFonts w:hint="eastAsia" w:ascii="仿宋_GB2312" w:hAnsi="仿宋_GB2312" w:eastAsia="仿宋_GB2312" w:cs="仿宋_GB2312"/>
          <w:sz w:val="32"/>
          <w:szCs w:val="32"/>
          <w:lang w:val="en-US"/>
        </w:rPr>
        <w:t>社工站项目评估分值由四方评估分数的总和确定。其中，第三方评估机构评估分值占比</w:t>
      </w:r>
      <w:r>
        <w:rPr>
          <w:rFonts w:ascii="仿宋_GB2312" w:hAnsi="仿宋_GB2312" w:eastAsia="仿宋_GB2312" w:cs="仿宋_GB2312"/>
          <w:sz w:val="32"/>
          <w:szCs w:val="32"/>
          <w:lang w:val="en-US"/>
        </w:rPr>
        <w:t>55</w:t>
      </w:r>
      <w:r>
        <w:rPr>
          <w:rFonts w:hint="eastAsia" w:ascii="仿宋_GB2312" w:hAnsi="仿宋_GB2312" w:eastAsia="仿宋_GB2312" w:cs="仿宋_GB2312"/>
          <w:sz w:val="32"/>
          <w:szCs w:val="32"/>
          <w:lang w:val="en-US"/>
        </w:rPr>
        <w:t>％、督导中心评估分值占比</w:t>
      </w:r>
      <w:r>
        <w:rPr>
          <w:rFonts w:ascii="仿宋_GB2312" w:hAnsi="仿宋_GB2312" w:eastAsia="仿宋_GB2312" w:cs="仿宋_GB2312"/>
          <w:sz w:val="32"/>
          <w:szCs w:val="32"/>
          <w:lang w:val="en-US"/>
        </w:rPr>
        <w:t>15</w:t>
      </w:r>
      <w:r>
        <w:rPr>
          <w:rFonts w:hint="eastAsia" w:ascii="仿宋_GB2312" w:hAnsi="仿宋_GB2312" w:eastAsia="仿宋_GB2312" w:cs="仿宋_GB2312"/>
          <w:sz w:val="32"/>
          <w:szCs w:val="32"/>
          <w:lang w:val="en-US"/>
        </w:rPr>
        <w:t>％、镇人民政府（街道办事处）评估分值占比</w:t>
      </w:r>
      <w:r>
        <w:rPr>
          <w:rFonts w:ascii="仿宋_GB2312" w:hAnsi="仿宋_GB2312" w:eastAsia="仿宋_GB2312" w:cs="仿宋_GB2312"/>
          <w:sz w:val="32"/>
          <w:szCs w:val="32"/>
          <w:lang w:val="en-US"/>
        </w:rPr>
        <w:t>20</w:t>
      </w:r>
      <w:r>
        <w:rPr>
          <w:rFonts w:hint="eastAsia" w:ascii="仿宋_GB2312" w:hAnsi="仿宋_GB2312" w:eastAsia="仿宋_GB2312" w:cs="仿宋_GB2312"/>
          <w:sz w:val="32"/>
          <w:szCs w:val="32"/>
          <w:lang w:val="en-US"/>
        </w:rPr>
        <w:t>％、区民政部门评估分值占比</w:t>
      </w:r>
      <w:r>
        <w:rPr>
          <w:rFonts w:ascii="仿宋_GB2312" w:hAnsi="仿宋_GB2312" w:eastAsia="仿宋_GB2312" w:cs="仿宋_GB2312"/>
          <w:sz w:val="32"/>
          <w:szCs w:val="32"/>
          <w:lang w:val="en-US"/>
        </w:rPr>
        <w:t>10</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评估等级分为优秀、良好、合格、不合格四个等级，90分以上为优秀，80分至90分（不含90分）为良好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60分至80分（不含80分）为合格，60分以下（不含60分）为不合格。评估中若发现有下列情形之一的，评估结果</w:t>
      </w:r>
      <w:r>
        <w:rPr>
          <w:rFonts w:hint="eastAsia" w:ascii="仿宋_GB2312" w:hAnsi="仿宋_GB2312" w:eastAsia="仿宋_GB2312" w:cs="仿宋_GB2312"/>
          <w:sz w:val="32"/>
          <w:szCs w:val="32"/>
          <w:lang w:eastAsia="zh-CN"/>
        </w:rPr>
        <w:t>也确</w:t>
      </w:r>
      <w:r>
        <w:rPr>
          <w:rFonts w:hint="eastAsia" w:ascii="仿宋_GB2312" w:hAnsi="仿宋_GB2312" w:eastAsia="仿宋_GB2312" w:cs="仿宋_GB2312"/>
          <w:sz w:val="32"/>
          <w:szCs w:val="32"/>
        </w:rPr>
        <w:t>定为不合格：</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5"/>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3"/>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pPr>
        <w:pStyle w:val="15"/>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highlight w:val="yellow"/>
          <w:lang w:eastAsia="zh-CN"/>
        </w:rPr>
      </w:pPr>
      <w:r>
        <w:rPr>
          <w:rFonts w:hint="eastAsia" w:ascii="仿宋_GB2312" w:eastAsia="仿宋_GB2312"/>
          <w:color w:val="auto"/>
          <w:sz w:val="32"/>
          <w:szCs w:val="32"/>
          <w:lang w:eastAsia="zh-CN"/>
        </w:rPr>
        <w:t>石楼镇</w:t>
      </w:r>
      <w:r>
        <w:rPr>
          <w:rFonts w:hint="eastAsia" w:ascii="仿宋_GB2312" w:eastAsia="仿宋_GB2312"/>
          <w:color w:val="auto"/>
          <w:sz w:val="32"/>
          <w:szCs w:val="32"/>
        </w:rPr>
        <w:t>社工站位于</w:t>
      </w:r>
      <w:r>
        <w:rPr>
          <w:rFonts w:hint="eastAsia" w:ascii="仿宋_GB2312" w:eastAsia="仿宋_GB2312"/>
          <w:color w:val="auto"/>
          <w:sz w:val="32"/>
          <w:szCs w:val="32"/>
          <w:lang w:val="en-US" w:eastAsia="zh-CN"/>
        </w:rPr>
        <w:t>石楼镇人民路67号。</w:t>
      </w:r>
      <w:r>
        <w:rPr>
          <w:rFonts w:hint="eastAsia" w:ascii="仿宋_GB2312" w:eastAsia="仿宋_GB2312"/>
          <w:color w:val="auto"/>
          <w:sz w:val="32"/>
          <w:szCs w:val="32"/>
          <w:lang w:eastAsia="zh-CN"/>
        </w:rPr>
        <w:t>石楼镇社工服务站挂牌成立于2012年6月，从2016年9月起至今</w:t>
      </w:r>
      <w:r>
        <w:rPr>
          <w:rFonts w:hint="eastAsia" w:ascii="仿宋_GB2312" w:eastAsia="仿宋_GB2312"/>
          <w:color w:val="auto"/>
          <w:sz w:val="32"/>
          <w:szCs w:val="32"/>
        </w:rPr>
        <w:t>，一直由</w:t>
      </w:r>
      <w:r>
        <w:rPr>
          <w:rFonts w:hint="eastAsia" w:ascii="仿宋_GB2312" w:eastAsia="仿宋_GB2312"/>
          <w:color w:val="auto"/>
          <w:sz w:val="32"/>
          <w:szCs w:val="32"/>
          <w:lang w:eastAsia="zh-CN"/>
        </w:rPr>
        <w:t>广州市阳光天使社会工作服务中心</w:t>
      </w:r>
      <w:r>
        <w:rPr>
          <w:rFonts w:hint="eastAsia" w:ascii="仿宋_GB2312" w:eastAsia="仿宋_GB2312"/>
          <w:color w:val="auto"/>
          <w:sz w:val="32"/>
          <w:szCs w:val="32"/>
        </w:rPr>
        <w:t>承接运营。</w:t>
      </w:r>
      <w:r>
        <w:rPr>
          <w:rFonts w:hint="eastAsia" w:ascii="仿宋_GB2312" w:eastAsia="仿宋_GB2312"/>
          <w:color w:val="auto"/>
          <w:sz w:val="32"/>
          <w:szCs w:val="32"/>
          <w:lang w:eastAsia="zh-CN"/>
        </w:rPr>
        <w:t>石楼镇</w:t>
      </w:r>
      <w:r>
        <w:rPr>
          <w:rFonts w:hint="eastAsia" w:ascii="仿宋_GB2312" w:eastAsia="仿宋_GB2312"/>
          <w:color w:val="auto"/>
          <w:sz w:val="32"/>
          <w:szCs w:val="32"/>
        </w:rPr>
        <w:t>社工站主要服务包括：党建引领服务、基本民生保障、基本社会服务、基本社区治理四大板块。</w:t>
      </w:r>
    </w:p>
    <w:p>
      <w:pPr>
        <w:pStyle w:val="15"/>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本社工站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12</w:t>
      </w:r>
      <w:r>
        <w:rPr>
          <w:rFonts w:hint="eastAsia" w:ascii="仿宋_GB2312" w:eastAsia="仿宋_GB2312"/>
          <w:color w:val="auto"/>
          <w:sz w:val="32"/>
          <w:szCs w:val="32"/>
        </w:rPr>
        <w:t>日。本次考核期为2024年8月</w:t>
      </w:r>
      <w:r>
        <w:rPr>
          <w:rFonts w:hint="eastAsia" w:ascii="仿宋_GB2312" w:eastAsia="仿宋_GB2312"/>
          <w:color w:val="auto"/>
          <w:sz w:val="32"/>
          <w:szCs w:val="32"/>
          <w:lang w:val="en-US" w:eastAsia="zh-CN"/>
        </w:rPr>
        <w:t>13</w:t>
      </w:r>
      <w:r>
        <w:rPr>
          <w:rFonts w:hint="eastAsia" w:ascii="仿宋_GB2312" w:eastAsia="仿宋_GB2312"/>
          <w:color w:val="auto"/>
          <w:sz w:val="32"/>
          <w:szCs w:val="32"/>
        </w:rPr>
        <w:t>日——2025年1月31日，考核5.5个月。</w:t>
      </w:r>
    </w:p>
    <w:p>
      <w:pPr>
        <w:pStyle w:val="15"/>
        <w:pageBreakBefore w:val="0"/>
        <w:widowControl w:val="0"/>
        <w:kinsoku/>
        <w:wordWrap/>
        <w:overflowPunct/>
        <w:topLinePunct w:val="0"/>
        <w:autoSpaceDE/>
        <w:autoSpaceDN/>
        <w:bidi w:val="0"/>
        <w:adjustRightInd/>
        <w:snapToGrid/>
        <w:spacing w:after="0" w:line="54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每月一问候”7468人次，专业个案接案15个，完成小组4个，完成社区活动102次，分别完成协议指标量的53.99%、53.57%、80.00%、54.26%；培育志愿者55名，志愿者骨干13名，培育志愿者队伍3支、社区社会组织2个，分别完成指标的110.00%、65.00%、150.00%、100.00%。（以上数据由社工站提供，各项目指标完成情况见附件1。）</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从以上数据可知，石楼镇社工站服务指标完成情况良好，在服务进度方面整体把握到位。</w:t>
      </w:r>
    </w:p>
    <w:p>
      <w:pPr>
        <w:pStyle w:val="15"/>
        <w:pageBreakBefore w:val="0"/>
        <w:widowControl w:val="0"/>
        <w:kinsoku/>
        <w:wordWrap/>
        <w:overflowPunct/>
        <w:topLinePunct w:val="0"/>
        <w:autoSpaceDE/>
        <w:autoSpaceDN/>
        <w:bidi w:val="0"/>
        <w:adjustRightInd/>
        <w:snapToGrid/>
        <w:spacing w:after="80" w:line="54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pPr>
        <w:pStyle w:val="15"/>
        <w:pageBreakBefore w:val="0"/>
        <w:widowControl w:val="0"/>
        <w:kinsoku/>
        <w:wordWrap/>
        <w:overflowPunct/>
        <w:topLinePunct w:val="0"/>
        <w:autoSpaceDE/>
        <w:autoSpaceDN/>
        <w:bidi w:val="0"/>
        <w:adjustRightInd/>
        <w:snapToGrid/>
        <w:spacing w:after="0" w:line="54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bookmarkStart w:id="30" w:name="bookmark31"/>
      <w:bookmarkEnd w:id="30"/>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人员配置和管理方面，经逐一查看社工档案和核实人员情况，社工站的人员配备符合相关要求。社工站负责人持有中级社工证，在行业内服务超过10年；社工稳岗率达95%；社工专业服务年限两年及以上有14人，占社工总数70%；社工继续教育总时数应为714小时，实为882.5小时。</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（2）服务质量内控机制较为健全，有做到定期对社工的专业伦理价值观规范遵守和实践的表现，有考核、能落实；服务持续改进方面，能做到逐步提升与改进，认真对待。</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（3）能利用多种渠道如社区报栏、微信公众号、微信群、视频号、宣传图、宣传画册等进行推广宣传项目服务。</w:t>
      </w:r>
    </w:p>
    <w:p>
      <w:pPr>
        <w:pStyle w:val="15"/>
        <w:pageBreakBefore w:val="0"/>
        <w:widowControl w:val="0"/>
        <w:tabs>
          <w:tab w:val="left" w:pos="1355"/>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31" w:name="bookmark37"/>
      <w:bookmarkEnd w:id="31"/>
      <w:bookmarkStart w:id="32" w:name="bookmark36"/>
      <w:bookmarkEnd w:id="32"/>
      <w:bookmarkStart w:id="33" w:name="bookmark39"/>
      <w:bookmarkEnd w:id="33"/>
      <w:bookmarkStart w:id="34" w:name="bookmark38"/>
      <w:bookmarkEnd w:id="34"/>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）个别会议纪要中的注明要求与会人员参会阅览，疏漏签名；个别文书的格式排版不太严谨，建议增加小标题，突出重点内容；</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）督导记录建议增加督导目标，增强督导的目标性与价值感。</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highlight w:val="none"/>
        </w:rPr>
      </w:pPr>
      <w:r>
        <w:rPr>
          <w:rFonts w:hint="eastAsia" w:ascii="仿宋_GB2312" w:eastAsia="仿宋_GB2312"/>
          <w:b/>
          <w:bCs/>
          <w:color w:val="auto"/>
          <w:sz w:val="32"/>
          <w:szCs w:val="32"/>
          <w:highlight w:val="none"/>
          <w:lang w:eastAsia="zh-CN"/>
        </w:rPr>
        <w:t>（四）</w:t>
      </w:r>
      <w:r>
        <w:rPr>
          <w:rFonts w:hint="eastAsia" w:ascii="仿宋_GB2312" w:eastAsia="仿宋_GB2312"/>
          <w:b/>
          <w:bCs/>
          <w:color w:val="auto"/>
          <w:sz w:val="32"/>
          <w:szCs w:val="32"/>
          <w:highlight w:val="none"/>
        </w:rPr>
        <w:t>服务成效和服务监测情况</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35" w:name="bookmark40"/>
      <w:bookmarkEnd w:id="35"/>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（1）在党建引领方面，能够坚持项目团队党建和区域化联动党建双轮驱动策略，提升党员党性修养，调动和整合党建资源参与项目服务及社区治理联结，配合镇村落实相关工作。</w:t>
      </w:r>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在服务设计方面，能够面向服务对象、购买方、合作方，综合运用多种方法，根据规范性要求，展开多维度的需求分析和优势资源分析，并设计了党建引领、兜底民生、五社联动三大服务板块，相应的服务计划与策略清晰、具体，与党和政府的中心工作、镇、村（居）实际情况契合性强。</w:t>
      </w:r>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在服务成果方面，注重围绕服务对象覆盖、推动社区多元主体参与，及时回应服务对象困难，推进社区治理成效等方面，通过党建引领党建资源参与、优化服务体系提升服务精准化、一村（居）一策推动五社联动，都取得了多样的积极的成果，各方面认同度高，媒体宣传成效好。</w:t>
      </w:r>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在五社联动方面，培育了2个志愿性社区社会组织，链接社会资源总价值超过50.8777.97万元，积极落实社区志愿服务培育、管理和服务工作，志愿服务形式多样，成效良好。五社联动中注重需求和问题导向，注重合作机制建设，实现了社区资源和社区需求的有效匹配，助力了社区治理水平提升。在服务评价方面，满意度95%以上。</w:t>
      </w:r>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36" w:name="bookmark45"/>
      <w:bookmarkEnd w:id="36"/>
      <w:bookmarkStart w:id="37" w:name="bookmark44"/>
      <w:bookmarkEnd w:id="37"/>
      <w:bookmarkStart w:id="38" w:name="bookmark43"/>
      <w:bookmarkEnd w:id="38"/>
    </w:p>
    <w:p>
      <w:pPr>
        <w:pStyle w:val="15"/>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特色和亮点方面，目前更多呈现的是村居的特色亮点，社工站项目整体层面的特色亮点突出不足。建议围绕党建引领的多维路径、兜底民生中特定群体的服务体系架构、五社联动的推动策略（如社区社会组织培育策略、村居治理的项目化策略等），进一步总结和提炼亮点。</w:t>
      </w:r>
    </w:p>
    <w:p>
      <w:pPr>
        <w:pStyle w:val="15"/>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由于兜底群体规模大、分布广、需求多，建议进一步拓展服务资源，搭建多元合作平台，加强与各方主体的关系建立，助力兜底民生服务。加强对疑难问题解决的案例总结，提高相应工作的可推广性和影响力。在服务呈现中，进一步加强项目化思维，提升总体服务与板块服务的项目化水平。</w:t>
      </w:r>
    </w:p>
    <w:p>
      <w:pPr>
        <w:pStyle w:val="15"/>
        <w:pageBreakBefore w:val="0"/>
        <w:widowControl w:val="0"/>
        <w:numPr>
          <w:ilvl w:val="0"/>
          <w:numId w:val="0"/>
        </w:numPr>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pPr>
        <w:pStyle w:val="15"/>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中心片区：亚运城社区、石楼社区、裕丰村、石一村、石二村、赤山东村、赤岗村</w:t>
      </w:r>
    </w:p>
    <w:p>
      <w:pPr>
        <w:pStyle w:val="15"/>
        <w:pageBreakBefore w:val="0"/>
        <w:widowControl w:val="0"/>
        <w:kinsoku/>
        <w:wordWrap/>
        <w:overflowPunct/>
        <w:topLinePunct w:val="0"/>
        <w:autoSpaceDE/>
        <w:autoSpaceDN/>
        <w:bidi w:val="0"/>
        <w:adjustRightInd/>
        <w:snapToGrid/>
        <w:spacing w:after="80" w:line="54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pPr>
        <w:pStyle w:val="15"/>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bookmarkStart w:id="39" w:name="bookmark47"/>
      <w:bookmarkEnd w:id="39"/>
      <w:bookmarkStart w:id="40" w:name="bookmark48"/>
      <w:bookmarkEnd w:id="40"/>
      <w:bookmarkStart w:id="41" w:name="bookmark46"/>
      <w:bookmarkEnd w:id="4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）资料整理情况比较理想。中心片区总体材料及各子片区（社工点）的材料序列一致、框架清晰、内容齐整、分类科学。</w:t>
      </w:r>
    </w:p>
    <w:p>
      <w:pPr>
        <w:pStyle w:val="15"/>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需求调研工作完成质量良好。每个子片区（社工点）都能够从一手资料和第三方观察的不同角度去分析各类主体的需求，能较科学地归纳3个维度（包括文献资料查阅、个别访谈、社区观察）的需求，描述问题、分析问题、筛选问题和总结问题的视角具有完整性，使得中心片区总体调研报告有据可依、逻辑一致、内容翔实。</w:t>
      </w:r>
    </w:p>
    <w:p>
      <w:pPr>
        <w:pStyle w:val="15"/>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）重点兜底服务对象的跟进情况良好。关注重点服务人群的生存状态，尽最大可能做到能探访的不电访，部分一月一次的探访做到了一月两次，并认真做好每次探访的过程记录、整理好每次服务的现场照片。</w:t>
      </w:r>
    </w:p>
    <w:p>
      <w:pPr>
        <w:pStyle w:val="15"/>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片区社工业务熟悉情况和工作态度良好。中心片社工熟悉片区基本状况，全面摸查到服务对象的状况及需求，对民生政策熟悉程度高，能对服务对象提供个性化的服务，真实地回应服务需求，做到真正地兜好底。</w:t>
      </w:r>
    </w:p>
    <w:p>
      <w:pPr>
        <w:pStyle w:val="15"/>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pPr>
        <w:pStyle w:val="15"/>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bookmarkStart w:id="42" w:name="bookmark57"/>
      <w:bookmarkEnd w:id="42"/>
      <w:r>
        <w:rPr>
          <w:rFonts w:hint="eastAsia" w:ascii="仿宋_GB2312" w:eastAsia="仿宋_GB2312"/>
          <w:color w:val="auto"/>
          <w:sz w:val="32"/>
          <w:szCs w:val="32"/>
          <w:lang w:eastAsia="zh-CN"/>
        </w:rPr>
        <w:t>社区重点问题解决情况未能科学汇总，重点服务对象问题解决清单也需要进一步梳理。建议更好地汇总社区重点问题及解决成效，汇总服务对象的名单、问题、解决成效清单，要不仅对重点社区问题进行归纳概括，还要能够汇总解决策略、服务成效、服务反思及需要支持的情况，对做得好的和需要继续关注的方面，进行明确梳理。</w:t>
      </w:r>
    </w:p>
    <w:p>
      <w:pPr>
        <w:pStyle w:val="15"/>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社区服务成效亮点不够突出。所形成的案例，其成效提炼还不够典型。</w:t>
      </w:r>
    </w:p>
    <w:p>
      <w:pPr>
        <w:pStyle w:val="15"/>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调研报告及自评报告文本的内容质量需要优化。两个报告对社区基础状态的描述不够全面、缺乏阅读索引或索引需要勘误。中心片区的总调研报告及各子片（社工点）的调研报告，有部分与社区服务相关的基础状态信息未作概况描述，如社区的基本经济状况（如经济发展水平的参考数据、总体及人均GDP、企业发展水平及规模、商业配套资源等）；17类困难群众和特殊群体的总数（去重）的人口占比、重点8类人群的人口占比。</w:t>
      </w:r>
    </w:p>
    <w:p>
      <w:pPr>
        <w:pStyle w:val="15"/>
        <w:pageBreakBefore w:val="0"/>
        <w:widowControl w:val="0"/>
        <w:numPr>
          <w:ilvl w:val="0"/>
          <w:numId w:val="1"/>
        </w:numPr>
        <w:tabs>
          <w:tab w:val="left" w:pos="972"/>
        </w:tabs>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电访工作质量需进一步关注。部分电访比较粗糙，建议电访过程中除基础性的关心慰问外，增加支持性服务的内容并做好记录。社区走访过程的观察、记录的核心问题需要明确。走访过程应反馈哪些核心问题（如应急、安全、卫生、交通、信息公开、环境保护等）还不够清晰，建议从社区安全员、网格员的多维视角对社区问题进行观察和记录，必要时对焦点问题进行紧急反馈跟进。</w:t>
      </w:r>
    </w:p>
    <w:p>
      <w:pPr>
        <w:pStyle w:val="15"/>
        <w:pageBreakBefore w:val="0"/>
        <w:widowControl w:val="0"/>
        <w:tabs>
          <w:tab w:val="left" w:pos="972"/>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莲花山片区：莲花山社区、群星村、卫星村、东星村、明星村、联围村</w:t>
      </w:r>
    </w:p>
    <w:p>
      <w:pPr>
        <w:pStyle w:val="15"/>
        <w:pageBreakBefore w:val="0"/>
        <w:widowControl w:val="0"/>
        <w:numPr>
          <w:ilvl w:val="-1"/>
          <w:numId w:val="0"/>
        </w:numPr>
        <w:tabs>
          <w:tab w:val="left" w:pos="972"/>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bookmarkStart w:id="43" w:name="bookmark59"/>
      <w:bookmarkEnd w:id="43"/>
      <w:bookmarkStart w:id="44" w:name="bookmark58"/>
      <w:bookmarkEnd w:id="44"/>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5" w:name="bookmark60"/>
      <w:bookmarkEnd w:id="45"/>
      <w:r>
        <w:rPr>
          <w:rFonts w:hint="eastAsia" w:ascii="仿宋_GB2312" w:eastAsia="仿宋_GB2312"/>
          <w:color w:val="auto"/>
          <w:sz w:val="32"/>
          <w:szCs w:val="32"/>
          <w:lang w:val="en-US" w:eastAsia="zh-CN"/>
        </w:rPr>
        <w:t>（1）社工能够兼顾兜底服务与社区治理服务的关联，并通过多种服务策略增进之间的联系，有效促进社区内生动力的产生。</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（2）通过培育多支社区志愿者队伍，有效提升文化保育能力；并通过亲子研学等形式扩大渔村文化的传播范围与社会影响。</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（3）社工注重对实务工作的总结与提炼，对特色亮点打造与服务品牌形成起到较好促进作用，服务案例也被国家级媒体发布。</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bookmarkStart w:id="46" w:name="bookmark61"/>
      <w:bookmarkEnd w:id="46"/>
      <w:bookmarkStart w:id="47" w:name="bookmark62"/>
      <w:bookmarkEnd w:id="47"/>
      <w:r>
        <w:rPr>
          <w:rFonts w:hint="eastAsia" w:ascii="仿宋_GB2312" w:eastAsia="仿宋_GB2312"/>
          <w:color w:val="auto"/>
          <w:sz w:val="32"/>
          <w:szCs w:val="32"/>
          <w:lang w:val="en-US" w:eastAsia="zh-CN"/>
        </w:rPr>
        <w:t>（1）渔村文化保育与传承项目立意很好，也具有现实意义，但项目的总体设计还不够系统，在社区居民的主体性调动，文化保育传承与居民生计、日常生活的关联性等方面仍需要加强。</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（2）部分项目的设计及服务的开展需要注意与服务背景相互呼应，提升服务各部分之间的逻辑关联性。</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古村</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胜洲村、茭东村、茭西村、大岭村、岳溪村、官桥村、江畔社区</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bookmarkStart w:id="48" w:name="bookmark66"/>
      <w:bookmarkEnd w:id="48"/>
      <w:bookmarkStart w:id="49" w:name="bookmark65"/>
      <w:bookmarkEnd w:id="49"/>
      <w:bookmarkStart w:id="50" w:name="bookmark63"/>
      <w:bookmarkEnd w:id="50"/>
      <w:bookmarkStart w:id="51" w:name="bookmark64"/>
      <w:bookmarkEnd w:id="51"/>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）前期服务调研工作开展得比较扎实，针对服务对象、村居民政干部、合作单位分别进行调研，收集到相对</w:t>
      </w:r>
      <w:r>
        <w:rPr>
          <w:rFonts w:hint="eastAsia" w:ascii="仿宋_GB2312" w:eastAsia="仿宋_GB2312"/>
          <w:color w:val="auto"/>
          <w:sz w:val="32"/>
          <w:szCs w:val="32"/>
          <w:lang w:val="en-US" w:eastAsia="zh-CN"/>
        </w:rPr>
        <w:t>详实</w:t>
      </w:r>
      <w:r>
        <w:rPr>
          <w:rFonts w:hint="eastAsia" w:ascii="仿宋_GB2312" w:eastAsia="仿宋_GB2312"/>
          <w:color w:val="auto"/>
          <w:sz w:val="32"/>
          <w:szCs w:val="32"/>
          <w:lang w:eastAsia="zh-CN"/>
        </w:rPr>
        <w:t>全面的数据，有效支撑服务项目的年度计划设计。</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）精准识别困境长者的居家安全隐患，并采取多维度、针对性方式进行回应，提升了困境长者的居家安全水平。</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）社工充分发挥资源链接和资源整合的优势，通过五社联动让困难群众和特殊群体获得切实性的服务。</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经评委评估分析访谈情况和查阅项目调研、家访、个案服务等各类服务工作痕迹记录资料，该项目以下几方面需关注：</w:t>
      </w:r>
    </w:p>
    <w:p>
      <w:pPr>
        <w:pStyle w:val="15"/>
        <w:pageBreakBefore w:val="0"/>
        <w:widowControl w:val="0"/>
        <w:numPr>
          <w:ilvl w:val="-1"/>
          <w:numId w:val="0"/>
        </w:numPr>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eastAsia="zh-CN"/>
        </w:rPr>
      </w:pPr>
      <w:bookmarkStart w:id="52" w:name="bookmark68"/>
      <w:bookmarkEnd w:id="52"/>
      <w:bookmarkStart w:id="53" w:name="bookmark69"/>
      <w:bookmarkEnd w:id="53"/>
      <w:bookmarkStart w:id="54" w:name="bookmark67"/>
      <w:bookmarkEnd w:id="54"/>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）“暖心守护”困境老人居家安全环境营造项目放在片区层面相对比较微观，建议后期向社区治理层面延伸或拓展。</w:t>
      </w:r>
    </w:p>
    <w:p>
      <w:pPr>
        <w:pStyle w:val="15"/>
        <w:pageBreakBefore w:val="0"/>
        <w:widowControl w:val="0"/>
        <w:numPr>
          <w:ilvl w:val="-1"/>
          <w:numId w:val="0"/>
        </w:numPr>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）“银居守护”计划、“家和安居”计划、“五社合力”计划三个计划之间的内部逻辑关联性还需要再加强；三个计划具体活动的归类也建议再梳理。</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bCs/>
          <w:color w:val="auto"/>
          <w:sz w:val="32"/>
          <w:szCs w:val="32"/>
          <w:lang w:eastAsia="zh-CN"/>
        </w:rPr>
      </w:pPr>
      <w:r>
        <w:rPr>
          <w:rFonts w:hint="eastAsia" w:ascii="仿宋_GB2312" w:eastAsia="仿宋_GB2312"/>
          <w:b/>
          <w:bCs/>
          <w:color w:val="auto"/>
          <w:sz w:val="32"/>
          <w:szCs w:val="32"/>
          <w:lang w:eastAsia="zh-CN"/>
        </w:rPr>
        <w:t>沙田片区：海心村、沙北村、沙南村、江鸥村、南派村、清流村</w:t>
      </w:r>
    </w:p>
    <w:p>
      <w:pPr>
        <w:pStyle w:val="15"/>
        <w:pageBreakBefore w:val="0"/>
        <w:widowControl w:val="0"/>
        <w:tabs>
          <w:tab w:val="left" w:pos="972"/>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经评委评估分析访谈情况和查阅项目调研、家访、个案服务等各类服务工作痕迹记录资料，该项目以下几方面值得肯定：</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社工关注兜底人群服务，制定困难群体和特殊群体跟进机制，为17类困难群众和特殊群体提供多种服务。各个社工点已经实现100%全覆盖建档，合计建档812户971人。社工用心进行兜底人群服务，服务扎实，对出现特殊情况的服务对象，能积极动员社会资源支持服务，服务跟进到位。</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社工的专业服务能力较好。社工在调研计划的设计、调研方式的使用方面都比较专业，使用多样方式，如问卷法、访谈法、社区走访等方式进行调研，调研报告涉及一般兜底人群调研以及特色服务项目调研，能有效指引整体逻辑框架建立。一线社工在个案、小组、社区服务的专业手法比较成熟，能够为有需要的社区居民开展个案辅导，在个案跟进的过程中能够看到社工在需求分析和问题干预上进行正向努力和尝试，在一定程度上协助当事人及其家庭解决困难，社工在个案、小组、社区服务中的专业角色发挥得当。</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（3）社工能注重品牌服务建立，有效联动各方资源，美誉度比较好。片区围绕残疾人比较多的情况，建立“五社守望 助残相伴”社区融合赋能计划，发挥五社联动作用，共同为残疾人群体建立支持网络，成功促进1名残疾人就业，培育建立1支助残志愿服务队伍，以微心愿方式为35户困难家庭实现愿望，联动资源达11868.52元，深化服务困难群体，多个活动获得区级媒体报道，同时获得居民以及社区的赞许。</w:t>
      </w:r>
    </w:p>
    <w:p>
      <w:pPr>
        <w:pStyle w:val="15"/>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4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经评委评估分析访谈情况和查阅项目调研、家访、个案服务等各类服务工作痕迹记录资料，该项目以下方面需关注：</w:t>
      </w:r>
    </w:p>
    <w:p>
      <w:pPr>
        <w:pStyle w:val="15"/>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建议对困难群众和特殊群体的建档服务仍需要进一步夯实。本周期内的兜底人群服务已经根据服务对象的动态需求增加了探访的频次，需要就每个兜底人群探访、电访后的改变进行阶段性的总结，增加困难群众和特殊群体的进度表，增加对于兜底人群个人心理层面、家庭层面、社区层面成效的总结，以凸显兜底人群探访、电访服务的成效。</w:t>
      </w:r>
    </w:p>
    <w:p>
      <w:pPr>
        <w:pStyle w:val="15"/>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建议进一步推动社区社会组织参与社区特色服务的服务多样性。社工在半年间组建建立1支助残志愿服务队伍，动员了志愿者、社区社会组织、企业等参与助残工作，效果良好，但需要注意残疾人服务包括了多类型的残疾人服务，现在的服务模式以直接开展活动为主，建议为社区社会组织、企业等进行增能，增加培训，引导社会资源更好地融入助残服务。</w:t>
      </w:r>
    </w:p>
    <w:p>
      <w:pPr>
        <w:pStyle w:val="15"/>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）建议进一步关注特色亮点服务成效呈现问题。目前片区中的特色服务“五社守望 助残相伴”社区融合赋能计划，成效展示的渠道比较单一，建议末期的时候通过多元化的形式，如从个人就业、心理、能力成长、家庭关系、社区参与等多个维度，以“数据+实例”的方式展示服务成效，并以社区社会组织介入助残服务为视角形成服务案例，最大化呈现社区治理服务成效。</w:t>
      </w:r>
    </w:p>
    <w:p>
      <w:pPr>
        <w:pStyle w:val="15"/>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pPr>
        <w:pStyle w:val="15"/>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pPr>
        <w:pStyle w:val="15"/>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石楼镇人民政府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人员服务专业扎实，精准回应需求，立足片区实际，在各自片区设计特色服务项目，服务内容贴合群众需求，专业性强，成效显著。沟通反馈高效，协作配合顺畅，社工站通过电话、例会等方式及时与购买方沟通服务进度，汇报服务数据及成果，及时反馈问题并提出解决方案，确保服务目标与镇重点工作方向一致。</w:t>
      </w:r>
    </w:p>
    <w:p>
      <w:pPr>
        <w:pStyle w:val="15"/>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pPr>
        <w:pStyle w:val="15"/>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石楼镇人民政府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社工站虽能配合参与镇党组织发起的活动（如主题党日、志愿服务等），但与镇党组织的信息互通和资源联动仍有提升空间，将社会工作与党建主题结合的创新性不足，建议进一步探索“党建</w:t>
      </w:r>
      <w:r>
        <w:rPr>
          <w:rFonts w:hint="eastAsia" w:ascii="仿宋_GB2312" w:eastAsia="仿宋_GB2312"/>
          <w:color w:val="auto"/>
          <w:sz w:val="32"/>
          <w:szCs w:val="32"/>
          <w:lang w:val="en-US" w:eastAsia="zh-CN"/>
        </w:rPr>
        <w:t>+社工服务</w:t>
      </w:r>
      <w:r>
        <w:rPr>
          <w:rFonts w:hint="eastAsia" w:ascii="仿宋_GB2312" w:eastAsia="仿宋_GB2312"/>
          <w:color w:val="auto"/>
          <w:sz w:val="32"/>
          <w:szCs w:val="32"/>
          <w:lang w:eastAsia="zh-CN"/>
        </w:rPr>
        <w:t>”的模式，例如及时对接</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lang w:eastAsia="zh-CN"/>
        </w:rPr>
        <w:t>阶段性党建任务，可以开展党员帮扶困难群众等项目，突出党员的先锋模范作用。</w:t>
      </w:r>
    </w:p>
    <w:p>
      <w:pPr>
        <w:pStyle w:val="15"/>
        <w:pageBreakBefore w:val="0"/>
        <w:widowControl w:val="0"/>
        <w:numPr>
          <w:ilvl w:val="0"/>
          <w:numId w:val="0"/>
        </w:numPr>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b/>
          <w:bCs/>
          <w:sz w:val="32"/>
          <w:szCs w:val="32"/>
          <w:highlight w:val="none"/>
        </w:rPr>
      </w:pPr>
      <w:r>
        <w:rPr>
          <w:rFonts w:hint="eastAsia" w:ascii="仿宋_GB2312" w:eastAsia="仿宋_GB2312"/>
          <w:b/>
          <w:bCs/>
          <w:sz w:val="32"/>
          <w:szCs w:val="32"/>
          <w:highlight w:val="none"/>
          <w:lang w:eastAsia="zh-CN"/>
        </w:rPr>
        <w:t>（七）</w:t>
      </w:r>
      <w:r>
        <w:rPr>
          <w:rFonts w:hint="eastAsia" w:ascii="仿宋_GB2312" w:eastAsia="仿宋_GB2312"/>
          <w:b/>
          <w:bCs/>
          <w:sz w:val="32"/>
          <w:szCs w:val="32"/>
          <w:highlight w:val="none"/>
        </w:rPr>
        <w:t>市督导中心反馈</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团队制定了系统的专业提升体系计划，充分发挥内部督导作用，采取“机构总监—社工站主任”“副主任—片长—社工”逐级督导的方式，及时为团队解惑答疑；同时，初步建立项目内部共学机制，一方面由项目团队结合每月例会自主开展系列政策共学，目前已开展5期，另一方面由“双百”督导结合社工团队需求开展项目管理、专业实务技巧等主题共学，学习氛围较好，能够有效支持社工成长。</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团队重视安全管理相关工作，依照“谁主管，谁负责”“防患于未然”、全员参与等原则，采取安全责任制，明确安全管理架构并明确各人的职责，做到每月开展常态化安全自检工作，每半年至少组织一次消防演练和应急培训，持续加强团队的安全意识。</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经验推广工作持续强化，通过媒体正面报道、可视化产品和服务案例总结等多种方式增强服务影响力。项目团队制作近20个宣传视频、多本宣传册，总结服务案例10余篇，并获得媒体报道多篇，值得肯定。</w:t>
      </w:r>
    </w:p>
    <w:p>
      <w:pPr>
        <w:pStyle w:val="15"/>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pPr>
        <w:pStyle w:val="15"/>
        <w:pageBreakBefore w:val="0"/>
        <w:widowControl w:val="0"/>
        <w:kinsoku/>
        <w:wordWrap/>
        <w:overflowPunct/>
        <w:topLinePunct w:val="0"/>
        <w:autoSpaceDE/>
        <w:autoSpaceDN/>
        <w:bidi w:val="0"/>
        <w:adjustRightInd/>
        <w:snapToGrid/>
        <w:spacing w:after="0" w:line="540" w:lineRule="exact"/>
        <w:ind w:firstLine="60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经评委评估分析访谈情况和查阅项目调研、家访、个案服务等各类服务工作痕迹记录资料，该项目以下几方面需关注：</w:t>
      </w:r>
    </w:p>
    <w:p>
      <w:pPr>
        <w:pStyle w:val="15"/>
        <w:keepNext w:val="0"/>
        <w:keepLines w:val="0"/>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内部共学机制有待持续优化，建议借助内部督导优势，总结共学活动组织技巧，结合实践中遇到的问题和困难，确定政策学习需求外的其他议题，引导社工全员参与讨论，启发社工梳理实践议题的解决策略，推动产出共学成果。</w:t>
      </w:r>
    </w:p>
    <w:p>
      <w:pPr>
        <w:pStyle w:val="15"/>
        <w:keepNext w:val="0"/>
        <w:keepLines w:val="0"/>
        <w:pageBreakBefore w:val="0"/>
        <w:widowControl w:val="0"/>
        <w:kinsoku/>
        <w:wordWrap/>
        <w:overflowPunct/>
        <w:topLinePunct w:val="0"/>
        <w:autoSpaceDE/>
        <w:autoSpaceDN/>
        <w:bidi w:val="0"/>
        <w:adjustRightInd/>
        <w:snapToGrid/>
        <w:spacing w:before="0" w:after="0" w:line="540" w:lineRule="exact"/>
        <w:ind w:firstLine="640" w:firstLineChars="200"/>
        <w:jc w:val="both"/>
        <w:textAlignment w:val="auto"/>
        <w:rPr>
          <w:rFonts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（2）建议项目团队在已有服务案例的基础上，持续提升研究成果质量，拓宽投稿渠道，争取在国家级期刊发表文章，进一步推广项目服务经验，提升项目影响力。</w:t>
      </w:r>
    </w:p>
    <w:p>
      <w:pPr>
        <w:pStyle w:val="13"/>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pPr>
        <w:pStyle w:val="15"/>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石楼镇</w:t>
      </w:r>
      <w:r>
        <w:rPr>
          <w:rFonts w:hint="eastAsia" w:ascii="仿宋_GB2312" w:eastAsia="仿宋_GB2312"/>
          <w:color w:val="auto"/>
          <w:sz w:val="32"/>
          <w:szCs w:val="32"/>
        </w:rPr>
        <w:t>社工站的反馈如下：</w:t>
      </w:r>
      <w:bookmarkStart w:id="55" w:name="bookmark85"/>
      <w:bookmarkEnd w:id="55"/>
    </w:p>
    <w:p>
      <w:pPr>
        <w:pStyle w:val="15"/>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社工站表示对评委们提出的意见和建议无异议。</w:t>
      </w:r>
    </w:p>
    <w:p>
      <w:pPr>
        <w:pStyle w:val="15"/>
        <w:pageBreakBefore w:val="0"/>
        <w:widowControl w:val="0"/>
        <w:kinsoku/>
        <w:wordWrap/>
        <w:overflowPunct/>
        <w:topLinePunct w:val="0"/>
        <w:autoSpaceDE/>
        <w:autoSpaceDN/>
        <w:bidi w:val="0"/>
        <w:adjustRightInd/>
        <w:snapToGrid/>
        <w:spacing w:after="0" w:line="54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石楼镇人民政府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石楼镇</w:t>
      </w:r>
      <w:r>
        <w:rPr>
          <w:rFonts w:hint="eastAsia" w:ascii="仿宋_GB2312" w:eastAsia="仿宋_GB2312" w:hAnsiTheme="minorEastAsia"/>
          <w:color w:val="auto"/>
          <w:sz w:val="32"/>
          <w:szCs w:val="32"/>
          <w:lang w:eastAsia="zh-CN"/>
        </w:rPr>
        <w:t>社工站对评估报告初稿无异议。</w:t>
      </w:r>
    </w:p>
    <w:p>
      <w:pPr>
        <w:pStyle w:val="13"/>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bookmarkStart w:id="56" w:name="bookmark86"/>
      <w:r>
        <w:rPr>
          <w:rFonts w:hint="eastAsia" w:ascii="方正小标宋简体" w:eastAsia="方正小标宋简体"/>
          <w:b/>
          <w:bCs/>
          <w:color w:val="auto"/>
          <w:sz w:val="32"/>
          <w:szCs w:val="28"/>
          <w:lang w:val="en-US"/>
        </w:rPr>
        <w:t>四</w:t>
      </w:r>
      <w:bookmarkEnd w:id="56"/>
      <w:r>
        <w:rPr>
          <w:rFonts w:hint="eastAsia" w:ascii="方正小标宋简体" w:eastAsia="方正小标宋简体"/>
          <w:b/>
          <w:bCs/>
          <w:color w:val="auto"/>
          <w:sz w:val="32"/>
          <w:szCs w:val="28"/>
          <w:lang w:val="en-US"/>
        </w:rPr>
        <w:t>、评估等级</w:t>
      </w:r>
    </w:p>
    <w:p>
      <w:pPr>
        <w:pStyle w:val="15"/>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5"/>
        <w:pageBreakBefore w:val="0"/>
        <w:widowControl w:val="0"/>
        <w:kinsoku/>
        <w:wordWrap/>
        <w:overflowPunct/>
        <w:topLinePunct w:val="0"/>
        <w:autoSpaceDE/>
        <w:autoSpaceDN/>
        <w:bidi w:val="0"/>
        <w:adjustRightInd/>
        <w:snapToGrid/>
        <w:spacing w:after="120" w:line="540" w:lineRule="exact"/>
        <w:ind w:firstLine="640"/>
        <w:jc w:val="both"/>
        <w:textAlignment w:val="auto"/>
        <w:rPr>
          <w:rFonts w:ascii="仿宋_GB2312" w:eastAsia="PMingLiU"/>
          <w:color w:val="auto"/>
          <w:sz w:val="32"/>
          <w:szCs w:val="32"/>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石楼镇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color w:val="auto"/>
          <w:sz w:val="32"/>
          <w:szCs w:val="32"/>
        </w:rPr>
        <w:t>“</w:t>
      </w:r>
      <w:r>
        <w:rPr>
          <w:rFonts w:hint="eastAsia" w:ascii="仿宋_GB2312" w:eastAsia="仿宋_GB2312"/>
          <w:b/>
          <w:color w:val="auto"/>
          <w:sz w:val="32"/>
          <w:szCs w:val="32"/>
          <w:lang w:val="en-US" w:eastAsia="zh-CN"/>
        </w:rPr>
        <w:t>良好</w:t>
      </w:r>
      <w:r>
        <w:rPr>
          <w:rFonts w:hint="eastAsia" w:ascii="仿宋_GB2312" w:eastAsia="仿宋_GB2312"/>
          <w:b/>
          <w:color w:val="auto"/>
          <w:sz w:val="32"/>
          <w:szCs w:val="32"/>
        </w:rPr>
        <w:t>”</w:t>
      </w:r>
      <w:r>
        <w:rPr>
          <w:rFonts w:hint="eastAsia" w:ascii="仿宋_GB2312" w:eastAsia="仿宋_GB2312"/>
          <w:b/>
          <w:color w:val="auto"/>
          <w:sz w:val="32"/>
          <w:szCs w:val="32"/>
          <w:lang w:eastAsia="zh-CN"/>
        </w:rPr>
        <w:t>（</w:t>
      </w:r>
      <w:r>
        <w:rPr>
          <w:rFonts w:hint="eastAsia" w:ascii="仿宋_GB2312" w:eastAsia="仿宋_GB2312"/>
          <w:b/>
          <w:color w:val="auto"/>
          <w:sz w:val="32"/>
          <w:szCs w:val="32"/>
          <w:lang w:val="en-US" w:eastAsia="zh-CN"/>
        </w:rPr>
        <w:t>89.17</w:t>
      </w:r>
      <w:r>
        <w:rPr>
          <w:rFonts w:ascii="仿宋_GB2312" w:eastAsia="仿宋_GB2312"/>
          <w:b/>
          <w:sz w:val="32"/>
          <w:szCs w:val="32"/>
          <w:lang w:val="en-US" w:eastAsia="zh-CN"/>
        </w:rPr>
        <w:t>分</w:t>
      </w:r>
      <w:r>
        <w:rPr>
          <w:rFonts w:hint="eastAsia" w:ascii="仿宋_GB2312" w:eastAsia="仿宋_GB2312"/>
          <w:b/>
          <w:color w:val="auto"/>
          <w:sz w:val="32"/>
          <w:szCs w:val="32"/>
          <w:lang w:eastAsia="zh-CN"/>
        </w:rPr>
        <w:t>）</w:t>
      </w:r>
      <w:r>
        <w:rPr>
          <w:rFonts w:hint="eastAsia" w:ascii="仿宋_GB2312" w:eastAsia="仿宋_GB2312"/>
          <w:color w:val="auto"/>
          <w:sz w:val="32"/>
          <w:szCs w:val="32"/>
        </w:rPr>
        <w:t>。</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pStyle w:val="15"/>
              <w:spacing w:after="0" w:line="560" w:lineRule="exact"/>
              <w:jc w:val="center"/>
              <w:rPr>
                <w:rFonts w:ascii="仿宋_GB2312" w:hAnsi="仿宋_GB2312" w:eastAsia="仿宋_GB2312" w:cs="仿宋_GB2312"/>
                <w:b/>
                <w:bCs/>
                <w:lang w:val="en-US" w:eastAsia="zh-CN"/>
              </w:rPr>
            </w:pPr>
            <w:bookmarkStart w:id="57" w:name="bookmark87"/>
            <w:r>
              <w:rPr>
                <w:rFonts w:hint="eastAsia" w:ascii="仿宋_GB2312" w:hAnsi="仿宋_GB2312" w:eastAsia="仿宋_GB2312" w:cs="仿宋_GB2312"/>
                <w:b/>
                <w:bCs/>
                <w:lang w:val="en-US" w:eastAsia="zh-CN"/>
              </w:rPr>
              <w:t>评估内容</w:t>
            </w:r>
          </w:p>
        </w:tc>
        <w:tc>
          <w:tcPr>
            <w:tcW w:w="728"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vAlign w:val="center"/>
          </w:tcPr>
          <w:p>
            <w:pPr>
              <w:pStyle w:val="15"/>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9.69</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2.6</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Style w:val="34"/>
                <w:rFonts w:hint="default" w:ascii="仿宋_GB2312" w:hAnsi="仿宋_GB2312" w:eastAsia="仿宋_GB2312" w:cs="仿宋_GB2312"/>
                <w:sz w:val="28"/>
                <w:szCs w:val="28"/>
                <w:lang w:eastAsia="zh-CN" w:bidi="ar"/>
              </w:rPr>
              <w:t>运营管理</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9.</w:t>
            </w:r>
            <w:r>
              <w:rPr>
                <w:rFonts w:hint="eastAsia" w:ascii="仿宋_GB2312" w:hAnsi="仿宋_GB2312" w:eastAsia="仿宋_GB2312" w:cs="仿宋_GB2312"/>
                <w:sz w:val="28"/>
                <w:szCs w:val="28"/>
                <w:lang w:val="en-US" w:eastAsia="zh-CN" w:bidi="ar"/>
              </w:rPr>
              <w:t>5</w:t>
            </w:r>
          </w:p>
        </w:tc>
        <w:tc>
          <w:tcPr>
            <w:tcW w:w="84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9.</w:t>
            </w:r>
            <w:r>
              <w:rPr>
                <w:rFonts w:hint="eastAsia" w:ascii="仿宋_GB2312" w:hAnsi="仿宋_GB2312" w:eastAsia="仿宋_GB2312" w:cs="仿宋_GB2312"/>
                <w:sz w:val="28"/>
                <w:szCs w:val="2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服务质量（中心片区）</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15.</w:t>
            </w:r>
            <w:r>
              <w:rPr>
                <w:rFonts w:hint="eastAsia" w:ascii="仿宋_GB2312" w:hAnsi="仿宋_GB2312" w:eastAsia="仿宋_GB2312" w:cs="仿宋_GB2312"/>
                <w:sz w:val="28"/>
                <w:szCs w:val="28"/>
                <w:lang w:val="en-US" w:eastAsia="zh-CN" w:bidi="ar"/>
              </w:rPr>
              <w:t>7</w:t>
            </w:r>
          </w:p>
        </w:tc>
        <w:tc>
          <w:tcPr>
            <w:tcW w:w="848" w:type="pct"/>
            <w:vMerge w:val="restar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15.</w:t>
            </w:r>
            <w:r>
              <w:rPr>
                <w:rFonts w:hint="eastAsia" w:ascii="仿宋_GB2312" w:hAnsi="仿宋_GB2312" w:eastAsia="仿宋_GB2312" w:cs="仿宋_GB2312"/>
                <w:sz w:val="28"/>
                <w:szCs w:val="28"/>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服务质量（古村片区）</w:t>
            </w:r>
          </w:p>
        </w:tc>
        <w:tc>
          <w:tcPr>
            <w:tcW w:w="728"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15</w:t>
            </w:r>
            <w:r>
              <w:rPr>
                <w:rFonts w:hint="eastAsia" w:ascii="仿宋_GB2312" w:hAnsi="仿宋_GB2312" w:eastAsia="仿宋_GB2312" w:cs="仿宋_GB2312"/>
                <w:sz w:val="28"/>
                <w:szCs w:val="28"/>
                <w:lang w:val="en-US" w:eastAsia="zh-CN" w:bidi="ar"/>
              </w:rPr>
              <w:t>.1</w:t>
            </w:r>
          </w:p>
        </w:tc>
        <w:tc>
          <w:tcPr>
            <w:tcW w:w="848" w:type="pct"/>
            <w:vMerge w:val="continue"/>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服务质量（莲花山片区）</w:t>
            </w:r>
          </w:p>
        </w:tc>
        <w:tc>
          <w:tcPr>
            <w:tcW w:w="728"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6</w:t>
            </w:r>
          </w:p>
        </w:tc>
        <w:tc>
          <w:tcPr>
            <w:tcW w:w="848" w:type="pct"/>
            <w:vMerge w:val="continue"/>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服务质量（沙田片区）</w:t>
            </w:r>
          </w:p>
        </w:tc>
        <w:tc>
          <w:tcPr>
            <w:tcW w:w="728"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6.7</w:t>
            </w:r>
          </w:p>
        </w:tc>
        <w:tc>
          <w:tcPr>
            <w:tcW w:w="848" w:type="pct"/>
            <w:vMerge w:val="continue"/>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Style w:val="34"/>
                <w:rFonts w:hint="default" w:ascii="仿宋_GB2312" w:hAnsi="仿宋_GB2312" w:eastAsia="仿宋_GB2312" w:cs="仿宋_GB2312"/>
                <w:sz w:val="28"/>
                <w:szCs w:val="28"/>
                <w:lang w:eastAsia="zh-CN" w:bidi="ar"/>
              </w:rPr>
              <w:t>购买方</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19</w:t>
            </w:r>
            <w:r>
              <w:rPr>
                <w:rFonts w:hint="eastAsia" w:ascii="仿宋_GB2312" w:hAnsi="仿宋_GB2312" w:eastAsia="仿宋_GB2312" w:cs="仿宋_GB2312"/>
                <w:sz w:val="28"/>
                <w:szCs w:val="28"/>
                <w:lang w:val="en-US" w:eastAsia="zh-CN" w:bidi="ar"/>
              </w:rPr>
              <w:t>.5</w:t>
            </w:r>
          </w:p>
        </w:tc>
        <w:tc>
          <w:tcPr>
            <w:tcW w:w="848" w:type="pct"/>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19</w:t>
            </w:r>
            <w:r>
              <w:rPr>
                <w:rFonts w:hint="eastAsia" w:ascii="仿宋_GB2312" w:hAnsi="仿宋_GB2312" w:eastAsia="仿宋_GB2312" w:cs="仿宋_GB2312"/>
                <w:sz w:val="28"/>
                <w:szCs w:val="28"/>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w:t>
            </w:r>
          </w:p>
        </w:tc>
        <w:tc>
          <w:tcPr>
            <w:tcW w:w="848" w:type="pct"/>
            <w:vAlign w:val="center"/>
          </w:tcPr>
          <w:p>
            <w:pPr>
              <w:jc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vAlign w:val="center"/>
          </w:tcPr>
          <w:p>
            <w:pPr>
              <w:widowControl/>
              <w:jc w:val="center"/>
              <w:textAlignment w:val="center"/>
              <w:rPr>
                <w:rFonts w:ascii="仿宋_GB2312" w:hAnsi="仿宋_GB2312" w:eastAsia="仿宋_GB2312" w:cs="仿宋_GB2312"/>
                <w:sz w:val="28"/>
                <w:szCs w:val="28"/>
                <w:highlight w:val="yellow"/>
                <w:lang w:eastAsia="zh-CN" w:bidi="ar"/>
              </w:rPr>
            </w:pPr>
            <w:r>
              <w:rPr>
                <w:rFonts w:ascii="仿宋_GB2312" w:hAnsi="仿宋_GB2312" w:eastAsia="仿宋_GB2312" w:cs="仿宋_GB2312"/>
                <w:sz w:val="28"/>
                <w:szCs w:val="28"/>
                <w:lang w:eastAsia="zh-CN" w:bidi="ar"/>
              </w:rPr>
              <w:t>监督方</w:t>
            </w:r>
          </w:p>
        </w:tc>
        <w:tc>
          <w:tcPr>
            <w:tcW w:w="728" w:type="pct"/>
            <w:vAlign w:val="center"/>
          </w:tcPr>
          <w:p>
            <w:pPr>
              <w:widowControl/>
              <w:jc w:val="center"/>
              <w:textAlignment w:val="center"/>
              <w:rPr>
                <w:rFonts w:ascii="仿宋_GB2312" w:hAnsi="仿宋_GB2312" w:eastAsia="仿宋_GB2312" w:cs="仿宋_GB2312"/>
                <w:sz w:val="28"/>
                <w:szCs w:val="28"/>
                <w:highlight w:val="yellow"/>
                <w:lang w:eastAsia="zh-CN"/>
              </w:rPr>
            </w:pPr>
            <w:r>
              <w:rPr>
                <w:rFonts w:hint="eastAsia" w:ascii="仿宋_GB2312" w:hAnsi="仿宋_GB2312" w:eastAsia="仿宋_GB2312" w:cs="仿宋_GB2312"/>
                <w:sz w:val="28"/>
                <w:szCs w:val="28"/>
                <w:lang w:eastAsia="zh-CN" w:bidi="ar"/>
              </w:rPr>
              <w:t>10</w:t>
            </w:r>
          </w:p>
        </w:tc>
        <w:tc>
          <w:tcPr>
            <w:tcW w:w="731" w:type="pct"/>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c>
          <w:tcPr>
            <w:tcW w:w="848" w:type="pct"/>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vAlign w:val="center"/>
          </w:tcPr>
          <w:p>
            <w:pPr>
              <w:pStyle w:val="15"/>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89.17</w:t>
            </w:r>
          </w:p>
        </w:tc>
      </w:tr>
    </w:tbl>
    <w:p>
      <w:pPr>
        <w:pStyle w:val="13"/>
        <w:keepNext/>
        <w:keepLines/>
        <w:pageBreakBefore w:val="0"/>
        <w:widowControl w:val="0"/>
        <w:kinsoku/>
        <w:wordWrap/>
        <w:overflowPunct/>
        <w:topLinePunct w:val="0"/>
        <w:autoSpaceDE/>
        <w:autoSpaceDN/>
        <w:bidi w:val="0"/>
        <w:adjustRightInd/>
        <w:snapToGrid/>
        <w:spacing w:before="0" w:after="0" w:line="540" w:lineRule="exact"/>
        <w:ind w:firstLine="642"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57"/>
      <w:r>
        <w:rPr>
          <w:rFonts w:hint="eastAsia" w:ascii="方正小标宋简体" w:eastAsia="方正小标宋简体"/>
          <w:b/>
          <w:bCs/>
          <w:color w:val="auto"/>
          <w:sz w:val="32"/>
          <w:szCs w:val="28"/>
          <w:lang w:val="en-US"/>
        </w:rPr>
        <w:t>、结语</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石楼镇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石楼镇党委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石楼镇人民政府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广州市阳光天使社会工作服务中心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社工站坚持党的领导，积极配合镇政府的相关工作；项目人员团队稳定，专业性强；</w:t>
      </w:r>
      <w:r>
        <w:rPr>
          <w:rFonts w:ascii="仿宋_GB2312" w:eastAsia="仿宋_GB2312" w:hAnsiTheme="minorEastAsia"/>
          <w:color w:val="auto"/>
          <w:sz w:val="32"/>
          <w:szCs w:val="32"/>
          <w:lang w:val="en-US" w:eastAsia="zh-CN"/>
        </w:rPr>
        <w:t>项目内部管理规范，信息公开透明，各项管理制度及指引较完善，制度落实情况较好</w:t>
      </w:r>
      <w:r>
        <w:rPr>
          <w:rFonts w:hint="eastAsia" w:ascii="仿宋_GB2312" w:eastAsia="仿宋_GB2312" w:hAnsiTheme="minorEastAsia"/>
          <w:color w:val="auto"/>
          <w:sz w:val="32"/>
          <w:szCs w:val="32"/>
          <w:lang w:val="en-US" w:eastAsia="zh-CN"/>
        </w:rPr>
        <w:t>；</w:t>
      </w:r>
      <w:r>
        <w:rPr>
          <w:rFonts w:hint="eastAsia" w:ascii="仿宋_GB2312" w:eastAsia="仿宋_GB2312"/>
          <w:color w:val="auto"/>
          <w:sz w:val="32"/>
          <w:szCs w:val="32"/>
          <w:lang w:val="en-US" w:eastAsia="zh-CN"/>
        </w:rPr>
        <w:t>能够结合石楼镇实际，立足地域、人口结构、社区类型，划分服务片区，明确服务重点和方向，聚焦困难群众和特殊群体服务，服务满意度较高。</w:t>
      </w:r>
    </w:p>
    <w:p>
      <w:pPr>
        <w:pStyle w:val="15"/>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color w:val="auto"/>
          <w:sz w:val="32"/>
          <w:szCs w:val="32"/>
          <w:lang w:eastAsia="zh-CN"/>
        </w:rPr>
      </w:pPr>
      <w:r>
        <w:rPr>
          <w:rFonts w:hint="eastAsia" w:ascii="仿宋_GB2312" w:eastAsia="仿宋_GB2312"/>
          <w:color w:val="auto"/>
          <w:sz w:val="32"/>
          <w:szCs w:val="32"/>
          <w:lang w:val="en-US" w:eastAsia="zh-CN"/>
        </w:rPr>
        <w:t>建议社工站围绕党建引领的多维路径、兜底民生中特定群体的服务体系架构、五社联动的推动策略，进一步总结和提炼亮点。重点服务对象问题解决清单需要进一步梳理，进一步完善困难群众和特殊群体的建档资料，按要求、保质量完成17类困难群众和特殊群体100%建档，做到“一户一档”“一人一案”。</w:t>
      </w:r>
    </w:p>
    <w:p>
      <w:pPr>
        <w:pStyle w:val="15"/>
        <w:spacing w:after="160" w:line="560" w:lineRule="exact"/>
        <w:ind w:firstLine="0"/>
        <w:jc w:val="both"/>
        <w:rPr>
          <w:rFonts w:ascii="仿宋_GB2312" w:eastAsia="仿宋_GB2312"/>
          <w:color w:val="auto"/>
          <w:sz w:val="32"/>
          <w:szCs w:val="32"/>
        </w:rPr>
      </w:pPr>
    </w:p>
    <w:p>
      <w:pPr>
        <w:pStyle w:val="15"/>
        <w:spacing w:after="160" w:line="560" w:lineRule="exact"/>
        <w:ind w:firstLine="0"/>
        <w:jc w:val="both"/>
        <w:rPr>
          <w:rFonts w:ascii="仿宋_GB2312" w:eastAsia="仿宋_GB2312"/>
          <w:color w:val="auto"/>
          <w:sz w:val="32"/>
          <w:szCs w:val="32"/>
        </w:rPr>
      </w:pPr>
    </w:p>
    <w:p>
      <w:pPr>
        <w:tabs>
          <w:tab w:val="left" w:pos="7330"/>
        </w:tabs>
        <w:spacing w:line="560" w:lineRule="exact"/>
        <w:ind w:firstLine="4800" w:firstLineChars="1500"/>
        <w:jc w:val="both"/>
        <w:rPr>
          <w:rFonts w:hint="eastAsia" w:ascii="仿宋_GB2312" w:hAnsi="仿宋_GB2312" w:eastAsia="仿宋_GB2312" w:cs="仿宋_GB2312"/>
          <w:color w:val="auto"/>
          <w:sz w:val="32"/>
          <w:szCs w:val="32"/>
          <w:lang w:eastAsia="zh-CN"/>
        </w:rPr>
      </w:pPr>
    </w:p>
    <w:p>
      <w:pPr>
        <w:tabs>
          <w:tab w:val="left" w:pos="7330"/>
        </w:tabs>
        <w:spacing w:line="560" w:lineRule="exact"/>
        <w:ind w:firstLine="4800" w:firstLineChars="15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pPr>
        <w:tabs>
          <w:tab w:val="left" w:pos="7330"/>
        </w:tabs>
        <w:spacing w:line="560" w:lineRule="exact"/>
        <w:ind w:firstLine="5760" w:firstLineChars="18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roman"/>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E29085"/>
    <w:multiLevelType w:val="singleLevel"/>
    <w:tmpl w:val="EAE2908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67783"/>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45BAD"/>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C4F33"/>
    <w:rsid w:val="00FE6AC9"/>
    <w:rsid w:val="01647138"/>
    <w:rsid w:val="016941A0"/>
    <w:rsid w:val="019430D4"/>
    <w:rsid w:val="03A167AB"/>
    <w:rsid w:val="043B2EAD"/>
    <w:rsid w:val="052928ED"/>
    <w:rsid w:val="05CD061E"/>
    <w:rsid w:val="07A04328"/>
    <w:rsid w:val="09BA0A50"/>
    <w:rsid w:val="0CED1904"/>
    <w:rsid w:val="0E2C0F67"/>
    <w:rsid w:val="1083680B"/>
    <w:rsid w:val="11894919"/>
    <w:rsid w:val="122C2101"/>
    <w:rsid w:val="12473866"/>
    <w:rsid w:val="1351449B"/>
    <w:rsid w:val="138C2E16"/>
    <w:rsid w:val="17034184"/>
    <w:rsid w:val="19F45A67"/>
    <w:rsid w:val="1A7D1BAD"/>
    <w:rsid w:val="1CA73D07"/>
    <w:rsid w:val="1E3542A9"/>
    <w:rsid w:val="1F650E57"/>
    <w:rsid w:val="20F37C9C"/>
    <w:rsid w:val="21635C00"/>
    <w:rsid w:val="231B319B"/>
    <w:rsid w:val="24A1162B"/>
    <w:rsid w:val="27B5F5BB"/>
    <w:rsid w:val="2FFD75CD"/>
    <w:rsid w:val="32794A1C"/>
    <w:rsid w:val="32A51B86"/>
    <w:rsid w:val="338F274A"/>
    <w:rsid w:val="34C21DA4"/>
    <w:rsid w:val="35FFD36E"/>
    <w:rsid w:val="37FEE4F5"/>
    <w:rsid w:val="3AEE06D4"/>
    <w:rsid w:val="3BB47C7C"/>
    <w:rsid w:val="3BC44428"/>
    <w:rsid w:val="3C734681"/>
    <w:rsid w:val="3CEF4B2F"/>
    <w:rsid w:val="3D0E630E"/>
    <w:rsid w:val="3DE87C02"/>
    <w:rsid w:val="3FDFDFD8"/>
    <w:rsid w:val="44FF7003"/>
    <w:rsid w:val="46CD7A34"/>
    <w:rsid w:val="4A246FC0"/>
    <w:rsid w:val="4A3D3E09"/>
    <w:rsid w:val="4CF338F1"/>
    <w:rsid w:val="4D7C5695"/>
    <w:rsid w:val="4ECA5D66"/>
    <w:rsid w:val="4FFD4C3E"/>
    <w:rsid w:val="501A5ADD"/>
    <w:rsid w:val="508067FB"/>
    <w:rsid w:val="50892358"/>
    <w:rsid w:val="50A43895"/>
    <w:rsid w:val="52DD6CAC"/>
    <w:rsid w:val="56A40CE5"/>
    <w:rsid w:val="56DE2413"/>
    <w:rsid w:val="57C86C54"/>
    <w:rsid w:val="5A4A08C9"/>
    <w:rsid w:val="5AEB74E4"/>
    <w:rsid w:val="5C627366"/>
    <w:rsid w:val="5CBF3CF4"/>
    <w:rsid w:val="5CE67A24"/>
    <w:rsid w:val="5CFF36B3"/>
    <w:rsid w:val="613320B7"/>
    <w:rsid w:val="65F01E83"/>
    <w:rsid w:val="68E464EF"/>
    <w:rsid w:val="6931512E"/>
    <w:rsid w:val="69557DDE"/>
    <w:rsid w:val="69726A9D"/>
    <w:rsid w:val="6D6A3862"/>
    <w:rsid w:val="6EA83A3B"/>
    <w:rsid w:val="6FFF0E0D"/>
    <w:rsid w:val="700C6F8E"/>
    <w:rsid w:val="75864A53"/>
    <w:rsid w:val="77986A02"/>
    <w:rsid w:val="7B065502"/>
    <w:rsid w:val="7B4C229B"/>
    <w:rsid w:val="7D284F5A"/>
    <w:rsid w:val="7DAC4138"/>
    <w:rsid w:val="7E76499E"/>
    <w:rsid w:val="7E7FB37B"/>
    <w:rsid w:val="7F2C0C33"/>
    <w:rsid w:val="91FDC2AE"/>
    <w:rsid w:val="A9AB4693"/>
    <w:rsid w:val="B0F7E16C"/>
    <w:rsid w:val="B5F4E71C"/>
    <w:rsid w:val="B97B84FC"/>
    <w:rsid w:val="BF8F7A79"/>
    <w:rsid w:val="DFEFF3B5"/>
    <w:rsid w:val="EDFF9892"/>
    <w:rsid w:val="FD01BC44"/>
    <w:rsid w:val="FE7FCD01"/>
    <w:rsid w:val="FFD7C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5"/>
    <w:qFormat/>
    <w:uiPriority w:val="0"/>
  </w:style>
  <w:style w:type="paragraph" w:styleId="4">
    <w:name w:val="Body Text"/>
    <w:basedOn w:val="1"/>
    <w:link w:val="33"/>
    <w:qFormat/>
    <w:uiPriority w:val="0"/>
    <w:pPr>
      <w:spacing w:after="120"/>
    </w:pPr>
  </w:style>
  <w:style w:type="paragraph" w:styleId="5">
    <w:name w:val="footer"/>
    <w:basedOn w:val="1"/>
    <w:link w:val="31"/>
    <w:qFormat/>
    <w:uiPriority w:val="0"/>
    <w:pPr>
      <w:tabs>
        <w:tab w:val="center" w:pos="4153"/>
        <w:tab w:val="right" w:pos="8306"/>
      </w:tabs>
      <w:snapToGrid w:val="0"/>
    </w:pPr>
    <w:rPr>
      <w:sz w:val="18"/>
      <w:szCs w:val="18"/>
    </w:rPr>
  </w:style>
  <w:style w:type="paragraph" w:styleId="6">
    <w:name w:val="header"/>
    <w:basedOn w:val="1"/>
    <w:link w:val="30"/>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36"/>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Heading #1|1_"/>
    <w:basedOn w:val="10"/>
    <w:link w:val="13"/>
    <w:qFormat/>
    <w:uiPriority w:val="0"/>
    <w:rPr>
      <w:rFonts w:ascii="宋体" w:hAnsi="宋体" w:eastAsia="宋体" w:cs="宋体"/>
      <w:sz w:val="40"/>
      <w:szCs w:val="40"/>
      <w:u w:val="none"/>
      <w:shd w:val="clear" w:color="auto" w:fill="auto"/>
      <w:lang w:val="zh-TW" w:eastAsia="zh-TW" w:bidi="zh-TW"/>
    </w:rPr>
  </w:style>
  <w:style w:type="paragraph" w:customStyle="1" w:styleId="13">
    <w:name w:val="Heading #1|1"/>
    <w:basedOn w:val="1"/>
    <w:link w:val="12"/>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4">
    <w:name w:val="Body text|1_"/>
    <w:basedOn w:val="10"/>
    <w:link w:val="15"/>
    <w:qFormat/>
    <w:uiPriority w:val="0"/>
    <w:rPr>
      <w:rFonts w:ascii="宋体" w:hAnsi="宋体" w:eastAsia="宋体" w:cs="宋体"/>
      <w:sz w:val="28"/>
      <w:szCs w:val="28"/>
      <w:u w:val="none"/>
      <w:shd w:val="clear" w:color="auto" w:fill="auto"/>
      <w:lang w:val="zh-TW" w:eastAsia="zh-TW" w:bidi="zh-TW"/>
    </w:rPr>
  </w:style>
  <w:style w:type="paragraph" w:customStyle="1" w:styleId="15">
    <w:name w:val="Body text|1"/>
    <w:basedOn w:val="1"/>
    <w:link w:val="14"/>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6">
    <w:name w:val="Header or footer|2_"/>
    <w:basedOn w:val="10"/>
    <w:link w:val="17"/>
    <w:qFormat/>
    <w:uiPriority w:val="0"/>
    <w:rPr>
      <w:sz w:val="20"/>
      <w:szCs w:val="20"/>
      <w:u w:val="none"/>
      <w:shd w:val="clear" w:color="auto" w:fill="auto"/>
      <w:lang w:val="zh-TW" w:eastAsia="zh-TW" w:bidi="zh-TW"/>
    </w:rPr>
  </w:style>
  <w:style w:type="paragraph" w:customStyle="1" w:styleId="17">
    <w:name w:val="Header or footer|2"/>
    <w:basedOn w:val="1"/>
    <w:link w:val="16"/>
    <w:qFormat/>
    <w:uiPriority w:val="0"/>
    <w:rPr>
      <w:sz w:val="20"/>
      <w:szCs w:val="20"/>
      <w:lang w:val="zh-TW" w:eastAsia="zh-TW" w:bidi="zh-TW"/>
    </w:rPr>
  </w:style>
  <w:style w:type="character" w:customStyle="1" w:styleId="18">
    <w:name w:val="Header or footer|1_"/>
    <w:basedOn w:val="10"/>
    <w:link w:val="19"/>
    <w:qFormat/>
    <w:uiPriority w:val="0"/>
    <w:rPr>
      <w:rFonts w:ascii="宋体" w:hAnsi="宋体" w:eastAsia="宋体" w:cs="宋体"/>
      <w:sz w:val="26"/>
      <w:szCs w:val="26"/>
      <w:u w:val="none"/>
      <w:shd w:val="clear" w:color="auto" w:fill="auto"/>
      <w:lang w:val="zh-TW" w:eastAsia="zh-TW" w:bidi="zh-TW"/>
    </w:rPr>
  </w:style>
  <w:style w:type="paragraph" w:customStyle="1" w:styleId="19">
    <w:name w:val="Header or footer|1"/>
    <w:basedOn w:val="1"/>
    <w:link w:val="18"/>
    <w:qFormat/>
    <w:uiPriority w:val="0"/>
    <w:rPr>
      <w:rFonts w:ascii="宋体" w:hAnsi="宋体" w:eastAsia="宋体" w:cs="宋体"/>
      <w:sz w:val="26"/>
      <w:szCs w:val="26"/>
      <w:lang w:val="zh-TW" w:eastAsia="zh-TW" w:bidi="zh-TW"/>
    </w:rPr>
  </w:style>
  <w:style w:type="character" w:customStyle="1" w:styleId="20">
    <w:name w:val="Body text|2_"/>
    <w:basedOn w:val="10"/>
    <w:link w:val="21"/>
    <w:qFormat/>
    <w:uiPriority w:val="0"/>
    <w:rPr>
      <w:rFonts w:ascii="宋体" w:hAnsi="宋体" w:eastAsia="宋体" w:cs="宋体"/>
      <w:sz w:val="22"/>
      <w:szCs w:val="22"/>
      <w:u w:val="none"/>
      <w:shd w:val="clear" w:color="auto" w:fill="auto"/>
      <w:lang w:val="zh-TW" w:eastAsia="zh-TW" w:bidi="zh-TW"/>
    </w:rPr>
  </w:style>
  <w:style w:type="paragraph" w:customStyle="1" w:styleId="21">
    <w:name w:val="Body text|2"/>
    <w:basedOn w:val="1"/>
    <w:link w:val="20"/>
    <w:qFormat/>
    <w:uiPriority w:val="0"/>
    <w:pPr>
      <w:spacing w:after="240"/>
    </w:pPr>
    <w:rPr>
      <w:rFonts w:ascii="宋体" w:hAnsi="宋体" w:eastAsia="宋体" w:cs="宋体"/>
      <w:sz w:val="22"/>
      <w:szCs w:val="22"/>
      <w:lang w:val="zh-TW" w:eastAsia="zh-TW" w:bidi="zh-TW"/>
    </w:rPr>
  </w:style>
  <w:style w:type="character" w:customStyle="1" w:styleId="22">
    <w:name w:val="Other|1_"/>
    <w:basedOn w:val="10"/>
    <w:link w:val="23"/>
    <w:qFormat/>
    <w:uiPriority w:val="0"/>
    <w:rPr>
      <w:rFonts w:ascii="宋体" w:hAnsi="宋体" w:eastAsia="宋体" w:cs="宋体"/>
      <w:sz w:val="28"/>
      <w:szCs w:val="28"/>
      <w:u w:val="none"/>
      <w:shd w:val="clear" w:color="auto" w:fill="auto"/>
      <w:lang w:val="zh-TW" w:eastAsia="zh-TW" w:bidi="zh-TW"/>
    </w:rPr>
  </w:style>
  <w:style w:type="paragraph" w:customStyle="1" w:styleId="23">
    <w:name w:val="Other|1"/>
    <w:basedOn w:val="1"/>
    <w:link w:val="22"/>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4">
    <w:name w:val="Other|2_"/>
    <w:basedOn w:val="10"/>
    <w:link w:val="25"/>
    <w:qFormat/>
    <w:uiPriority w:val="0"/>
    <w:rPr>
      <w:rFonts w:ascii="宋体" w:hAnsi="宋体" w:eastAsia="宋体" w:cs="宋体"/>
      <w:sz w:val="15"/>
      <w:szCs w:val="15"/>
      <w:u w:val="none"/>
      <w:shd w:val="clear" w:color="auto" w:fill="auto"/>
      <w:lang w:val="zh-TW" w:eastAsia="zh-TW" w:bidi="zh-TW"/>
    </w:rPr>
  </w:style>
  <w:style w:type="paragraph" w:customStyle="1" w:styleId="25">
    <w:name w:val="Other|2"/>
    <w:basedOn w:val="1"/>
    <w:link w:val="24"/>
    <w:qFormat/>
    <w:uiPriority w:val="0"/>
    <w:pPr>
      <w:spacing w:line="177" w:lineRule="exact"/>
      <w:jc w:val="center"/>
    </w:pPr>
    <w:rPr>
      <w:rFonts w:ascii="宋体" w:hAnsi="宋体" w:eastAsia="宋体" w:cs="宋体"/>
      <w:sz w:val="15"/>
      <w:szCs w:val="15"/>
      <w:lang w:val="zh-TW" w:eastAsia="zh-TW" w:bidi="zh-TW"/>
    </w:rPr>
  </w:style>
  <w:style w:type="character" w:customStyle="1" w:styleId="26">
    <w:name w:val="Body text|3_"/>
    <w:basedOn w:val="10"/>
    <w:link w:val="27"/>
    <w:qFormat/>
    <w:uiPriority w:val="0"/>
    <w:rPr>
      <w:rFonts w:ascii="宋体" w:hAnsi="宋体" w:eastAsia="宋体" w:cs="宋体"/>
      <w:sz w:val="15"/>
      <w:szCs w:val="15"/>
      <w:u w:val="none"/>
      <w:shd w:val="clear" w:color="auto" w:fill="auto"/>
      <w:lang w:val="zh-TW" w:eastAsia="zh-TW" w:bidi="zh-TW"/>
    </w:rPr>
  </w:style>
  <w:style w:type="paragraph" w:customStyle="1" w:styleId="27">
    <w:name w:val="Body text|3"/>
    <w:basedOn w:val="1"/>
    <w:link w:val="26"/>
    <w:qFormat/>
    <w:uiPriority w:val="0"/>
    <w:rPr>
      <w:rFonts w:ascii="宋体" w:hAnsi="宋体" w:eastAsia="宋体" w:cs="宋体"/>
      <w:sz w:val="15"/>
      <w:szCs w:val="15"/>
      <w:lang w:val="zh-TW" w:eastAsia="zh-TW" w:bidi="zh-TW"/>
    </w:rPr>
  </w:style>
  <w:style w:type="character" w:customStyle="1" w:styleId="28">
    <w:name w:val="Picture caption|1_"/>
    <w:basedOn w:val="10"/>
    <w:link w:val="29"/>
    <w:qFormat/>
    <w:uiPriority w:val="0"/>
    <w:rPr>
      <w:rFonts w:ascii="宋体" w:hAnsi="宋体" w:eastAsia="宋体" w:cs="宋体"/>
      <w:sz w:val="20"/>
      <w:szCs w:val="20"/>
      <w:u w:val="none"/>
      <w:shd w:val="clear" w:color="auto" w:fill="auto"/>
      <w:lang w:val="zh-TW" w:eastAsia="zh-TW" w:bidi="zh-TW"/>
    </w:rPr>
  </w:style>
  <w:style w:type="paragraph" w:customStyle="1" w:styleId="29">
    <w:name w:val="Picture caption|1"/>
    <w:basedOn w:val="1"/>
    <w:link w:val="28"/>
    <w:qFormat/>
    <w:uiPriority w:val="0"/>
    <w:pPr>
      <w:jc w:val="center"/>
    </w:pPr>
    <w:rPr>
      <w:rFonts w:ascii="宋体" w:hAnsi="宋体" w:eastAsia="宋体" w:cs="宋体"/>
      <w:sz w:val="20"/>
      <w:szCs w:val="20"/>
      <w:lang w:val="zh-TW" w:eastAsia="zh-TW" w:bidi="zh-TW"/>
    </w:rPr>
  </w:style>
  <w:style w:type="character" w:customStyle="1" w:styleId="30">
    <w:name w:val="页眉 字符"/>
    <w:basedOn w:val="10"/>
    <w:link w:val="6"/>
    <w:qFormat/>
    <w:uiPriority w:val="0"/>
    <w:rPr>
      <w:rFonts w:eastAsia="Times New Roman"/>
      <w:color w:val="000000"/>
      <w:sz w:val="18"/>
      <w:szCs w:val="18"/>
      <w:lang w:eastAsia="en-US" w:bidi="en-US"/>
    </w:rPr>
  </w:style>
  <w:style w:type="character" w:customStyle="1" w:styleId="31">
    <w:name w:val="页脚 字符"/>
    <w:basedOn w:val="10"/>
    <w:link w:val="5"/>
    <w:qFormat/>
    <w:uiPriority w:val="0"/>
    <w:rPr>
      <w:rFonts w:eastAsia="Times New Roman"/>
      <w:color w:val="000000"/>
      <w:sz w:val="18"/>
      <w:szCs w:val="18"/>
      <w:lang w:eastAsia="en-US" w:bidi="en-US"/>
    </w:rPr>
  </w:style>
  <w:style w:type="paragraph" w:customStyle="1" w:styleId="32">
    <w:name w:val="NOTE_Normal"/>
    <w:basedOn w:val="1"/>
    <w:next w:val="4"/>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3">
    <w:name w:val="正文文本 字符"/>
    <w:basedOn w:val="10"/>
    <w:link w:val="4"/>
    <w:qFormat/>
    <w:uiPriority w:val="0"/>
    <w:rPr>
      <w:rFonts w:eastAsia="Times New Roman"/>
      <w:color w:val="000000"/>
      <w:sz w:val="24"/>
      <w:szCs w:val="24"/>
      <w:lang w:eastAsia="en-US" w:bidi="en-US"/>
    </w:rPr>
  </w:style>
  <w:style w:type="character" w:customStyle="1" w:styleId="34">
    <w:name w:val="font11"/>
    <w:qFormat/>
    <w:uiPriority w:val="0"/>
    <w:rPr>
      <w:rFonts w:hint="eastAsia" w:ascii="宋体" w:hAnsi="宋体" w:eastAsia="宋体" w:cs="宋体"/>
      <w:color w:val="000000"/>
      <w:sz w:val="20"/>
      <w:szCs w:val="20"/>
      <w:u w:val="none"/>
    </w:rPr>
  </w:style>
  <w:style w:type="character" w:customStyle="1" w:styleId="35">
    <w:name w:val="批注文字 字符"/>
    <w:basedOn w:val="10"/>
    <w:link w:val="3"/>
    <w:qFormat/>
    <w:uiPriority w:val="0"/>
    <w:rPr>
      <w:rFonts w:eastAsia="Times New Roman"/>
      <w:color w:val="000000"/>
      <w:sz w:val="24"/>
      <w:szCs w:val="24"/>
      <w:lang w:eastAsia="en-US" w:bidi="en-US"/>
    </w:rPr>
  </w:style>
  <w:style w:type="character" w:customStyle="1" w:styleId="36">
    <w:name w:val="批注主题 字符"/>
    <w:basedOn w:val="35"/>
    <w:link w:val="7"/>
    <w:qFormat/>
    <w:uiPriority w:val="0"/>
    <w:rPr>
      <w:rFonts w:eastAsia="Times New Roman"/>
      <w:b/>
      <w:bCs/>
      <w:color w:val="000000"/>
      <w:sz w:val="24"/>
      <w:szCs w:val="24"/>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9674</Words>
  <Characters>9966</Characters>
  <Lines>5</Lines>
  <Paragraphs>26</Paragraphs>
  <TotalTime>1</TotalTime>
  <ScaleCrop>false</ScaleCrop>
  <LinksUpToDate>false</LinksUpToDate>
  <CharactersWithSpaces>9970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2023-08-16T23:15:00Z</dcterms:created>
  <dc:creator>WPS Office</dc:creator>
  <cp:lastModifiedBy>彭裕惠</cp:lastModifiedBy>
  <dcterms:modified xsi:type="dcterms:W3CDTF">2025-03-27T11:45:57Z</dcterms:modified>
  <dc:title>KM_C364e-20200923144555</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DFFAE22559EB4E28AA8359C7C63412BA_13</vt:lpwstr>
  </property>
  <property fmtid="{D5CDD505-2E9C-101B-9397-08002B2CF9AE}" pid="4" name="KSOTemplateDocerSaveRecord">
    <vt:lpwstr>eyJoZGlkIjoiZDZhZGYwNTVjNmEwZDlmYmM0M2UzYmUxZTMyY2ZhNTgiLCJ1c2VySWQiOiIyOTU1NTMyNTMifQ==</vt:lpwstr>
  </property>
</Properties>
</file>