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仿宋" w:hAnsi="仿宋" w:eastAsia="仿宋" w:cs="Times New Roman"/>
          <w:color w:val="000000"/>
          <w:sz w:val="24"/>
        </w:rPr>
      </w:pPr>
      <w:bookmarkStart w:id="0" w:name="_Hlk110948188"/>
      <w:r>
        <w:rPr>
          <w:rFonts w:ascii="仿宋" w:hAnsi="仿宋" w:eastAsia="仿宋"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v:textbox>
              </v:shape>
            </w:pict>
          </mc:Fallback>
        </mc:AlternateContent>
      </w:r>
      <w:r>
        <w:rPr>
          <w:rFonts w:ascii="仿宋" w:hAnsi="仿宋" w:eastAsia="仿宋"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rFonts w:ascii="仿宋" w:hAnsi="仿宋" w:eastAsia="仿宋"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仿宋" w:hAnsi="仿宋" w:eastAsia="仿宋"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仿宋" w:hAnsi="仿宋" w:eastAsia="仿宋"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 w:cs="Times New Roman"/>
          <w:color w:val="000000"/>
          <w:sz w:val="28"/>
          <w:szCs w:val="28"/>
        </w:rPr>
      </w:pPr>
      <w:bookmarkStart w:id="1" w:name="_Hlk110948178"/>
      <w:r>
        <w:rPr>
          <w:rFonts w:ascii="Times New Roman" w:hAnsi="Times New Roman" w:eastAsia="仿宋" w:cs="Times New Roman"/>
          <w:color w:val="000000"/>
          <w:sz w:val="28"/>
          <w:szCs w:val="28"/>
        </w:rPr>
        <w:t>业会专审[2025]023号</w:t>
      </w:r>
    </w:p>
    <w:bookmarkEnd w:id="0"/>
    <w:bookmarkEnd w:id="1"/>
    <w:p>
      <w:pPr>
        <w:jc w:val="center"/>
        <w:rPr>
          <w:rFonts w:ascii="仿宋" w:hAnsi="仿宋" w:eastAsia="仿宋" w:cs="Times New Roman"/>
          <w:b/>
          <w:bCs/>
          <w:sz w:val="40"/>
          <w:szCs w:val="48"/>
        </w:rPr>
      </w:pPr>
    </w:p>
    <w:p>
      <w:pPr>
        <w:spacing w:line="600" w:lineRule="exact"/>
        <w:jc w:val="center"/>
        <w:rPr>
          <w:rFonts w:ascii="Times New Roman" w:hAnsi="Times New Roman" w:cs="Times New Roman"/>
          <w:b/>
          <w:sz w:val="30"/>
          <w:szCs w:val="30"/>
        </w:rPr>
      </w:pPr>
      <w:r>
        <w:rPr>
          <w:rFonts w:ascii="Times New Roman" w:hAnsi="Times New Roman" w:cs="Times New Roman"/>
          <w:b/>
          <w:sz w:val="30"/>
          <w:szCs w:val="30"/>
        </w:rPr>
        <w:t>关于对广州市番禺区南村镇东片社工服务站</w:t>
      </w:r>
    </w:p>
    <w:p>
      <w:pPr>
        <w:spacing w:line="600" w:lineRule="exact"/>
        <w:jc w:val="center"/>
        <w:rPr>
          <w:rFonts w:ascii="Times New Roman" w:hAnsi="Times New Roman" w:cs="Times New Roman"/>
          <w:b/>
          <w:sz w:val="30"/>
          <w:szCs w:val="30"/>
        </w:rPr>
      </w:pPr>
      <w:r>
        <w:rPr>
          <w:rFonts w:ascii="Times New Roman" w:hAnsi="Times New Roman" w:cs="Times New Roman"/>
          <w:b/>
          <w:sz w:val="30"/>
          <w:szCs w:val="30"/>
        </w:rPr>
        <w:t>2024年6月19日至2024年12月18日财务管理情况评估报告</w:t>
      </w:r>
    </w:p>
    <w:p>
      <w:pPr>
        <w:spacing w:line="360" w:lineRule="auto"/>
        <w:jc w:val="center"/>
        <w:rPr>
          <w:rFonts w:ascii="仿宋" w:hAnsi="仿宋" w:eastAsia="仿宋" w:cs="Times New Roman"/>
          <w:sz w:val="28"/>
          <w:szCs w:val="28"/>
        </w:rPr>
      </w:pPr>
    </w:p>
    <w:p>
      <w:pPr>
        <w:spacing w:line="640" w:lineRule="exact"/>
        <w:ind w:right="-8"/>
        <w:rPr>
          <w:rFonts w:ascii="楷体" w:hAnsi="楷体" w:eastAsia="楷体" w:cs="Times New Roman"/>
          <w:b/>
          <w:spacing w:val="-10"/>
          <w:sz w:val="28"/>
          <w:szCs w:val="28"/>
        </w:rPr>
      </w:pPr>
      <w:r>
        <w:rPr>
          <w:rFonts w:hint="eastAsia" w:ascii="楷体" w:hAnsi="楷体" w:eastAsia="楷体" w:cs="Times New Roman"/>
          <w:b/>
          <w:spacing w:val="-10"/>
          <w:sz w:val="28"/>
          <w:szCs w:val="28"/>
        </w:rPr>
        <w:t>广州市番禺区社区建设指导中心：</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们接受委托，对广州市番禺区南村镇东片社工服务站（以下简称南村东片社工站）2024年6月19日至2024年12月18日财务管理情况进行财务评估。提供真实、合法、完整的会计资料和评估相关资料是南村东片社工站及其承接机构的责任，我们的责任是依据《中国注册会计师执业准则》、《中华人民共和国会计法》、《会计基础工作规范》、《民间非营利组织会计制度》、《广州市社工服务站管理办法》（穗府办</w:t>
      </w:r>
      <w:bookmarkStart w:id="2" w:name="_Hlk186622925"/>
      <w:r>
        <w:rPr>
          <w:rFonts w:ascii="Times New Roman" w:hAnsi="Times New Roman" w:eastAsia="仿宋" w:cs="Times New Roman"/>
          <w:sz w:val="28"/>
          <w:szCs w:val="28"/>
        </w:rPr>
        <w:t>〔</w:t>
      </w:r>
      <w:bookmarkEnd w:id="2"/>
      <w:r>
        <w:rPr>
          <w:rFonts w:ascii="Times New Roman" w:hAnsi="Times New Roman" w:eastAsia="仿宋" w:cs="Times New Roman"/>
          <w:sz w:val="28"/>
          <w:szCs w:val="28"/>
        </w:rPr>
        <w:t>2023〕7号）、《广州市社工站购买服务项目评估指标体系》（穗民〔2023〕97号）及广州市番禺区人民政府沙湾街办事处与社工服务承接机构签订的购买服务协议中相关约定，对南村东片社工站的财务管理情况进行审核，并出具财务评估报告。</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南村东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00" w:lineRule="exact"/>
        <w:ind w:right="-6" w:rightChars="-3"/>
        <w:rPr>
          <w:rFonts w:ascii="Times New Roman" w:hAnsi="Times New Roman" w:eastAsia="仿宋" w:cs="Times New Roman"/>
          <w:b/>
          <w:sz w:val="28"/>
          <w:szCs w:val="28"/>
        </w:rPr>
      </w:pPr>
      <w:r>
        <w:rPr>
          <w:rFonts w:ascii="Times New Roman" w:hAnsi="Times New Roman" w:eastAsia="仿宋" w:cs="Times New Roman"/>
          <w:b/>
          <w:sz w:val="28"/>
          <w:szCs w:val="28"/>
        </w:rPr>
        <w:t>一、南村东片社工站基本情况</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承接机构名称：广州市阳光天使社会工作服务中心。</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承接机构法定代表人：黄佩仪。</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招标采购周期：</w:t>
      </w:r>
      <w:r>
        <w:rPr>
          <w:rFonts w:ascii="Times New Roman" w:hAnsi="Times New Roman" w:eastAsia="仿宋" w:cs="Times New Roman"/>
          <w:color w:val="000000" w:themeColor="text1"/>
          <w:sz w:val="28"/>
          <w:szCs w:val="28"/>
          <w14:textFill>
            <w14:solidFill>
              <w14:schemeClr w14:val="tx1"/>
            </w14:solidFill>
          </w14:textFill>
        </w:rPr>
        <w:t>2023年6月19日起三年</w:t>
      </w:r>
      <w:r>
        <w:rPr>
          <w:rFonts w:ascii="Times New Roman" w:hAnsi="Times New Roman" w:eastAsia="仿宋" w:cs="Times New Roman"/>
          <w:sz w:val="28"/>
          <w:szCs w:val="28"/>
        </w:rPr>
        <w:t>。</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本次服务协议期限：</w:t>
      </w:r>
      <w:r>
        <w:rPr>
          <w:rFonts w:ascii="Times New Roman" w:hAnsi="Times New Roman" w:eastAsia="仿宋" w:cs="Times New Roman"/>
          <w:color w:val="000000" w:themeColor="text1"/>
          <w:sz w:val="28"/>
          <w:szCs w:val="28"/>
          <w14:textFill>
            <w14:solidFill>
              <w14:schemeClr w14:val="tx1"/>
            </w14:solidFill>
          </w14:textFill>
        </w:rPr>
        <w:t>2024年6月19日至2025年6月18日</w:t>
      </w:r>
      <w:r>
        <w:rPr>
          <w:rFonts w:ascii="Times New Roman" w:hAnsi="Times New Roman" w:eastAsia="仿宋" w:cs="Times New Roman"/>
          <w:sz w:val="28"/>
          <w:szCs w:val="28"/>
        </w:rPr>
        <w:t>。</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政府购买服务经费：本服务协议期限</w:t>
      </w:r>
      <w:bookmarkStart w:id="3" w:name="_Hlk192150793"/>
      <w:r>
        <w:rPr>
          <w:rFonts w:ascii="Times New Roman" w:hAnsi="Times New Roman" w:eastAsia="仿宋" w:cs="Times New Roman"/>
          <w:sz w:val="28"/>
          <w:szCs w:val="28"/>
        </w:rPr>
        <w:t>2024年6月19日至2025年6月18日</w:t>
      </w:r>
      <w:bookmarkEnd w:id="3"/>
      <w:r>
        <w:rPr>
          <w:rFonts w:ascii="Times New Roman" w:hAnsi="Times New Roman" w:eastAsia="仿宋" w:cs="Times New Roman"/>
          <w:sz w:val="28"/>
          <w:szCs w:val="28"/>
        </w:rPr>
        <w:t>的服务经费总计2,400,000.00元，其中协议签订生效之日起30个工作日内拨付55%即1,320,000.00元；项目中期评估为合格及以上拨付40%即960,000.00元，项目年度末期评估为合格及以上的拨付5%即120,000.00元。</w:t>
      </w:r>
    </w:p>
    <w:p>
      <w:pPr>
        <w:spacing w:line="60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二、南村东片社工站财务管理制度执行情况</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㈠非营利组织会计制度的执行情况</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w:t>
      </w:r>
      <w:r>
        <w:rPr>
          <w:rFonts w:ascii="Times New Roman" w:hAnsi="Times New Roman" w:eastAsia="仿宋" w:cs="Times New Roman"/>
          <w:color w:val="000000" w:themeColor="text1"/>
          <w:sz w:val="28"/>
          <w:szCs w:val="28"/>
          <w14:textFill>
            <w14:solidFill>
              <w14:schemeClr w14:val="tx1"/>
            </w14:solidFill>
          </w14:textFill>
        </w:rPr>
        <w:t>南村东片社工站</w:t>
      </w:r>
      <w:r>
        <w:rPr>
          <w:rFonts w:ascii="Times New Roman" w:hAnsi="Times New Roman" w:eastAsia="仿宋"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㈡财务监管、风控制度的执行情况</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１、承接机构广州市阳光天使社会工作服务中心根据自身特点建立了</w:t>
      </w:r>
      <w:r>
        <w:rPr>
          <w:rFonts w:ascii="Times New Roman" w:hAnsi="Times New Roman" w:eastAsia="仿宋" w:cs="Times New Roman"/>
          <w:color w:val="000000" w:themeColor="text1"/>
          <w:sz w:val="28"/>
          <w:szCs w:val="28"/>
          <w14:textFill>
            <w14:solidFill>
              <w14:schemeClr w14:val="tx1"/>
            </w14:solidFill>
          </w14:textFill>
        </w:rPr>
        <w:t>《岗位职责》《财务报销制度及报销流程》《物资管理制度》《重大事项报备规定》</w:t>
      </w:r>
      <w:r>
        <w:rPr>
          <w:rFonts w:ascii="Times New Roman" w:hAnsi="Times New Roman" w:eastAsia="仿宋" w:cs="Times New Roman"/>
          <w:sz w:val="28"/>
          <w:szCs w:val="28"/>
        </w:rPr>
        <w:t>等财务监管、风险方面控制制度，</w:t>
      </w:r>
      <w:r>
        <w:rPr>
          <w:rFonts w:ascii="Times New Roman" w:hAnsi="Times New Roman" w:eastAsia="仿宋" w:cs="Times New Roman"/>
          <w:color w:val="000000" w:themeColor="text1"/>
          <w:sz w:val="28"/>
          <w:szCs w:val="28"/>
          <w14:textFill>
            <w14:solidFill>
              <w14:schemeClr w14:val="tx1"/>
            </w14:solidFill>
          </w14:textFill>
        </w:rPr>
        <w:t>南村东片社工站</w:t>
      </w:r>
      <w:r>
        <w:rPr>
          <w:rFonts w:ascii="Times New Roman" w:hAnsi="Times New Roman" w:eastAsia="仿宋" w:cs="Times New Roman"/>
          <w:sz w:val="28"/>
          <w:szCs w:val="28"/>
        </w:rPr>
        <w:t>在实际工作中按相关规定编制</w:t>
      </w:r>
      <w:r>
        <w:rPr>
          <w:rFonts w:ascii="Times New Roman" w:hAnsi="Times New Roman" w:eastAsia="仿宋" w:cs="Times New Roman"/>
          <w:color w:val="000000" w:themeColor="text1"/>
          <w:sz w:val="28"/>
          <w:szCs w:val="28"/>
          <w14:textFill>
            <w14:solidFill>
              <w14:schemeClr w14:val="tx1"/>
            </w14:solidFill>
          </w14:textFill>
        </w:rPr>
        <w:t>“南村预算执行情况表”</w:t>
      </w:r>
      <w:r>
        <w:rPr>
          <w:rFonts w:ascii="Times New Roman" w:hAnsi="Times New Roman" w:eastAsia="仿宋" w:cs="Times New Roman"/>
          <w:sz w:val="28"/>
          <w:szCs w:val="28"/>
        </w:rPr>
        <w:t>，在经费报销和物资采购等方面基本能执行承接机构制度规定的程序、权限，但部分审批签名不齐，详见本报告第九点“存在问题及建议”。</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w:t>
      </w:r>
      <w:r>
        <w:rPr>
          <w:rFonts w:ascii="Times New Roman" w:hAnsi="Times New Roman" w:eastAsia="仿宋" w:cs="Times New Roman"/>
          <w:color w:val="000000" w:themeColor="text1"/>
          <w:sz w:val="28"/>
          <w:szCs w:val="28"/>
          <w14:textFill>
            <w14:solidFill>
              <w14:schemeClr w14:val="tx1"/>
            </w14:solidFill>
          </w14:textFill>
        </w:rPr>
        <w:t>南村东片社工站按区域对固定资产进行管理</w:t>
      </w:r>
      <w:r>
        <w:rPr>
          <w:rFonts w:ascii="Times New Roman" w:hAnsi="Times New Roman" w:eastAsia="仿宋" w:cs="Times New Roman"/>
          <w:sz w:val="28"/>
          <w:szCs w:val="28"/>
        </w:rPr>
        <w:t>，定期盘点，本报告后附截至2024年12月31日固定资产明细表。</w:t>
      </w:r>
    </w:p>
    <w:p>
      <w:pPr>
        <w:spacing w:line="600" w:lineRule="exact"/>
        <w:ind w:firstLine="552" w:firstLineChars="200"/>
        <w:rPr>
          <w:rFonts w:ascii="Times New Roman" w:hAnsi="Times New Roman" w:eastAsia="仿宋" w:cs="Times New Roman"/>
          <w:spacing w:val="-2"/>
          <w:sz w:val="28"/>
          <w:szCs w:val="28"/>
        </w:rPr>
      </w:pPr>
      <w:r>
        <w:rPr>
          <w:rFonts w:ascii="Times New Roman" w:hAnsi="Times New Roman" w:eastAsia="仿宋" w:cs="Times New Roman"/>
          <w:spacing w:val="-2"/>
          <w:sz w:val="28"/>
          <w:szCs w:val="28"/>
        </w:rPr>
        <w:t>３、承接机构广州市阳光天使社会工作服务中心已按要求编制服务期内</w:t>
      </w:r>
      <w:r>
        <w:rPr>
          <w:rFonts w:ascii="Times New Roman" w:hAnsi="Times New Roman" w:eastAsia="仿宋" w:cs="Times New Roman"/>
          <w:color w:val="000000" w:themeColor="text1"/>
          <w:spacing w:val="-2"/>
          <w:sz w:val="28"/>
          <w:szCs w:val="28"/>
          <w14:textFill>
            <w14:solidFill>
              <w14:schemeClr w14:val="tx1"/>
            </w14:solidFill>
          </w14:textFill>
        </w:rPr>
        <w:t>南村东片社工站</w:t>
      </w:r>
      <w:r>
        <w:rPr>
          <w:rFonts w:ascii="Times New Roman" w:hAnsi="Times New Roman" w:eastAsia="仿宋" w:cs="Times New Roman"/>
          <w:spacing w:val="-2"/>
          <w:sz w:val="28"/>
          <w:szCs w:val="28"/>
        </w:rPr>
        <w:t>的财务自评报告；</w:t>
      </w:r>
      <w:r>
        <w:rPr>
          <w:rFonts w:ascii="Times New Roman" w:hAnsi="Times New Roman" w:eastAsia="仿宋" w:cs="Times New Roman"/>
          <w:color w:val="000000" w:themeColor="text1"/>
          <w:spacing w:val="-2"/>
          <w:sz w:val="28"/>
          <w:szCs w:val="28"/>
          <w14:textFill>
            <w14:solidFill>
              <w14:schemeClr w14:val="tx1"/>
            </w14:solidFill>
          </w14:textFill>
        </w:rPr>
        <w:t>中心2023年度财务报表已经广东金铭至正会计师事务所有限公司审计，并取得金铭查字（2024）第0714号无保留意见审计报告；2023年度企业所得税纳税情况已经广东金铭至正会计师事务所有限公司复核，并取得金铭代字（2024）第DL0521号汇算清缴纳税调整报告</w:t>
      </w:r>
      <w:r>
        <w:rPr>
          <w:rFonts w:ascii="Times New Roman" w:hAnsi="Times New Roman" w:eastAsia="仿宋" w:cs="Times New Roman"/>
          <w:spacing w:val="-2"/>
          <w:sz w:val="28"/>
          <w:szCs w:val="28"/>
        </w:rPr>
        <w:t>。截止</w:t>
      </w:r>
      <w:r>
        <w:rPr>
          <w:rFonts w:hint="eastAsia" w:ascii="Times New Roman" w:hAnsi="Times New Roman" w:eastAsia="仿宋" w:cs="Times New Roman"/>
          <w:spacing w:val="-2"/>
          <w:sz w:val="28"/>
          <w:szCs w:val="28"/>
        </w:rPr>
        <w:t>报告</w:t>
      </w:r>
      <w:r>
        <w:rPr>
          <w:rFonts w:ascii="Times New Roman" w:hAnsi="Times New Roman" w:eastAsia="仿宋" w:cs="Times New Roman"/>
          <w:spacing w:val="-2"/>
          <w:sz w:val="28"/>
          <w:szCs w:val="28"/>
        </w:rPr>
        <w:t>日，中心暂未出具2024年度审计报告及</w:t>
      </w:r>
      <w:r>
        <w:rPr>
          <w:rFonts w:ascii="Times New Roman" w:hAnsi="Times New Roman" w:eastAsia="仿宋" w:cs="Times New Roman"/>
          <w:color w:val="000000" w:themeColor="text1"/>
          <w:spacing w:val="-2"/>
          <w:sz w:val="28"/>
          <w:szCs w:val="28"/>
          <w14:textFill>
            <w14:solidFill>
              <w14:schemeClr w14:val="tx1"/>
            </w14:solidFill>
          </w14:textFill>
        </w:rPr>
        <w:t>汇算清缴纳税调整报告。</w:t>
      </w:r>
    </w:p>
    <w:p>
      <w:pPr>
        <w:spacing w:line="60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三、南村东片社工站人员配备情况</w:t>
      </w:r>
    </w:p>
    <w:p>
      <w:pPr>
        <w:spacing w:line="600" w:lineRule="exact"/>
        <w:ind w:firstLine="552" w:firstLineChars="200"/>
        <w:rPr>
          <w:rFonts w:ascii="Times New Roman" w:hAnsi="Times New Roman" w:eastAsia="仿宋" w:cs="Times New Roman"/>
          <w:color w:val="000000" w:themeColor="text1"/>
          <w:spacing w:val="-2"/>
          <w:sz w:val="28"/>
          <w:szCs w:val="28"/>
          <w14:textFill>
            <w14:solidFill>
              <w14:schemeClr w14:val="tx1"/>
            </w14:solidFill>
          </w14:textFill>
        </w:rPr>
      </w:pPr>
      <w:r>
        <w:rPr>
          <w:rFonts w:ascii="Times New Roman" w:hAnsi="Times New Roman" w:eastAsia="仿宋" w:cs="Times New Roman"/>
          <w:color w:val="000000" w:themeColor="text1"/>
          <w:spacing w:val="-2"/>
          <w:sz w:val="28"/>
          <w:szCs w:val="28"/>
          <w14:textFill>
            <w14:solidFill>
              <w14:schemeClr w14:val="tx1"/>
            </w14:solidFill>
          </w14:textFill>
        </w:rPr>
        <w:t>承接机构广州市阳光天使社会工作服务中心严格贯彻不相容职务分离原则，配置财务人员2名，分别担任会计、出纳岗位，负责包括南村东片社工站在内的中心财务工作，其中会计邱强发已取得会计初级专业技术资格证。</w:t>
      </w:r>
    </w:p>
    <w:p>
      <w:pPr>
        <w:spacing w:line="600" w:lineRule="exact"/>
        <w:ind w:firstLine="552" w:firstLineChars="200"/>
        <w:rPr>
          <w:rFonts w:ascii="Times New Roman" w:hAnsi="Times New Roman" w:eastAsia="仿宋" w:cs="Times New Roman"/>
          <w:color w:val="000000" w:themeColor="text1"/>
          <w:spacing w:val="-2"/>
          <w:sz w:val="28"/>
          <w:szCs w:val="28"/>
          <w14:textFill>
            <w14:solidFill>
              <w14:schemeClr w14:val="tx1"/>
            </w14:solidFill>
          </w14:textFill>
        </w:rPr>
      </w:pPr>
      <w:r>
        <w:rPr>
          <w:rFonts w:ascii="Times New Roman" w:hAnsi="Times New Roman" w:eastAsia="仿宋" w:cs="Times New Roman"/>
          <w:color w:val="000000" w:themeColor="text1"/>
          <w:spacing w:val="-2"/>
          <w:sz w:val="28"/>
          <w:szCs w:val="28"/>
          <w14:textFill>
            <w14:solidFill>
              <w14:schemeClr w14:val="tx1"/>
            </w14:solidFill>
          </w14:textFill>
        </w:rPr>
        <w:t>经查阅，会计邱强发和出纳黄秋玲均已完成2024年度会计专业技术人员继续教育学习任务，且相应工资、五险一金等薪金支出在机构作为运营管理费用项目核算，未计入社工人员经费支出，符合要求。</w:t>
      </w:r>
    </w:p>
    <w:p>
      <w:pPr>
        <w:spacing w:line="60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四、南村东片社工站服务经费支出情况</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承接机构广州市阳光天使社会工作服务中心根据《广州市社工服务站管理办法》（穗府办〔2023〕7号）、《广州市社工站购买服务项目评估指标体系》（穗民〔2023〕97号）等相关规定，</w:t>
      </w:r>
      <w:r>
        <w:rPr>
          <w:rFonts w:ascii="Times New Roman" w:hAnsi="Times New Roman" w:eastAsia="仿宋" w:cs="Times New Roman"/>
          <w:color w:val="000000" w:themeColor="text1"/>
          <w:sz w:val="28"/>
          <w:szCs w:val="28"/>
          <w14:textFill>
            <w14:solidFill>
              <w14:schemeClr w14:val="tx1"/>
            </w14:solidFill>
          </w14:textFill>
        </w:rPr>
        <w:t>结合实际情况建立了《财务报销制度及报销流程》，明确了财务经费支出的审核程序及支出权限。制度规定： 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本评估期内南村东片社工站</w:t>
      </w:r>
      <w:r>
        <w:rPr>
          <w:rFonts w:ascii="Times New Roman" w:hAnsi="Times New Roman" w:eastAsia="仿宋" w:cs="Times New Roman"/>
          <w:sz w:val="28"/>
          <w:szCs w:val="28"/>
        </w:rPr>
        <w:t>经费支出具体情况如下：</w:t>
      </w:r>
    </w:p>
    <w:p>
      <w:pPr>
        <w:spacing w:line="60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㈠财务支出的合规性</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南村东片社工站经费使用的范围、比例基本能按《广州市社工服务站管理办法》有关规定执行。南村东片社工站每年有制定“南村预算执行情况表”，明确规划了协议期内的收入和支出预算计划，经费支出预算表基本能符合《民间非营利组织会计制度》和广州市番禺区南村镇人民政府与社工服务站承接机构签订的购买服务协议中人员费用、服务质量保障费用和运营管理费用规定的使用范围，活动经费预算表有机构理事会负责人签名确认。</w:t>
      </w:r>
    </w:p>
    <w:p>
      <w:pPr>
        <w:spacing w:line="60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㈡财务支出的合理性</w:t>
      </w:r>
    </w:p>
    <w:p>
      <w:pPr>
        <w:tabs>
          <w:tab w:val="right" w:pos="9354"/>
        </w:tabs>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经审核，南村东片社工站财务支出的事由、票据、标准基本合理。南村东片社工站有经费预算程序，财务支出根据经费预算计划执行、基本能按预算标准支出，并有财务支出票据。</w:t>
      </w:r>
    </w:p>
    <w:p>
      <w:pPr>
        <w:spacing w:line="60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㈢财务支出审批机制情况</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南村东片社工站基本能按承接机构广州市阳光天使社会工作服务中心财务制度规定的审批权限进行审批。经费支出由经办人、证明人、审核人签名，但仍存在部分审批签名不齐，详见本报告第九点“存在问题及建议”。</w:t>
      </w:r>
    </w:p>
    <w:p>
      <w:pPr>
        <w:spacing w:line="60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㈣财务支出监控机制执行情况</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经审核，承接机构广州市阳光天使社会工作服务中心已建立财务支出管理的监控机制，并在南村东片社工站得到较规范执行。</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１、承接机构广州市阳光天使社会工作服务中心能按规定开设银行基本账户，按规定对南村东片社工站开设了银行一般账户，日常财务支出采用专户支付和基本户代付后专户转回结合的方式。</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２、为确保政府购买服务经费用于指定用途，承接机构广州市阳光天使社会工作服务中心有定期向购买方提交南村东片社工站服务经费使用情况报告，对经费预算及使用情况作比对分析。</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㈤财务支出票据的完整性、规范性</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南村东片社工站财务支出票据、凭证填制较完整，账目设置、票据管理较规范。</w:t>
      </w:r>
    </w:p>
    <w:p>
      <w:pPr>
        <w:spacing w:line="62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五、南村东片社工站会计核算情况</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㈠是否设置会计科目，编制完整会计报表</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广州市阳光天使社会工作服务中心对南村东片社工站会计科目设置合理，所有服务业务均编制了记账凭证、登记了明细分类账簿和总账，核算做到账证、账账、账表相符，编制了会计报表，并依据相关会计制度独立核算。</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㈡是否分项目核算</w:t>
      </w:r>
    </w:p>
    <w:p>
      <w:pPr>
        <w:spacing w:line="620" w:lineRule="exact"/>
        <w:ind w:firstLine="576" w:firstLineChars="200"/>
        <w:rPr>
          <w:rFonts w:ascii="Times New Roman" w:hAnsi="Times New Roman" w:eastAsia="仿宋" w:cs="Times New Roman"/>
          <w:color w:val="000000" w:themeColor="text1"/>
          <w:spacing w:val="4"/>
          <w:sz w:val="28"/>
          <w:szCs w:val="28"/>
          <w14:textFill>
            <w14:solidFill>
              <w14:schemeClr w14:val="tx1"/>
            </w14:solidFill>
          </w14:textFill>
        </w:rPr>
      </w:pPr>
      <w:r>
        <w:rPr>
          <w:rFonts w:ascii="Times New Roman" w:hAnsi="Times New Roman" w:eastAsia="仿宋" w:cs="Times New Roman"/>
          <w:color w:val="000000" w:themeColor="text1"/>
          <w:spacing w:val="4"/>
          <w:sz w:val="28"/>
          <w:szCs w:val="28"/>
          <w14:textFill>
            <w14:solidFill>
              <w14:schemeClr w14:val="tx1"/>
            </w14:solidFill>
          </w14:textFill>
        </w:rPr>
        <w:t>经审核，承接机构广州市阳光天使社会工作服务中心对承接的南村东片社工站政府购买服务资金的服务经费支出，能按要求做到分项目核算。</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㈢是否领域服务经费分开归集</w:t>
      </w:r>
    </w:p>
    <w:p>
      <w:pPr>
        <w:spacing w:line="620" w:lineRule="exact"/>
        <w:ind w:firstLine="528" w:firstLineChars="200"/>
        <w:rPr>
          <w:rFonts w:ascii="Times New Roman" w:hAnsi="Times New Roman" w:eastAsia="仿宋" w:cs="Times New Roman"/>
          <w:color w:val="000000" w:themeColor="text1"/>
          <w:spacing w:val="-8"/>
          <w:sz w:val="28"/>
          <w:szCs w:val="28"/>
          <w14:textFill>
            <w14:solidFill>
              <w14:schemeClr w14:val="tx1"/>
            </w14:solidFill>
          </w14:textFill>
        </w:rPr>
      </w:pPr>
      <w:r>
        <w:rPr>
          <w:rFonts w:ascii="Times New Roman" w:hAnsi="Times New Roman" w:eastAsia="仿宋" w:cs="Times New Roman"/>
          <w:color w:val="000000" w:themeColor="text1"/>
          <w:spacing w:val="-8"/>
          <w:sz w:val="28"/>
          <w:szCs w:val="28"/>
          <w14:textFill>
            <w14:solidFill>
              <w14:schemeClr w14:val="tx1"/>
            </w14:solidFill>
          </w14:textFill>
        </w:rPr>
        <w:t>经审核，承接机构广州市阳光天使社会工作服务中心对承接的南村东片社工站政府购买服务资金的服务经费支出，能按要求做到领域服务经费分开归集。</w:t>
      </w:r>
    </w:p>
    <w:p>
      <w:pPr>
        <w:spacing w:line="62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六、本评估期服务经费拨入、支出、结余情况</w:t>
      </w:r>
    </w:p>
    <w:p>
      <w:pPr>
        <w:spacing w:line="620" w:lineRule="exact"/>
        <w:ind w:right="-2" w:firstLine="560" w:firstLineChars="200"/>
        <w:outlineLvl w:val="0"/>
        <w:rPr>
          <w:rFonts w:ascii="Times New Roman" w:hAnsi="Times New Roman" w:eastAsia="仿宋" w:cs="Times New Roman"/>
          <w:sz w:val="28"/>
          <w:szCs w:val="28"/>
        </w:rPr>
      </w:pPr>
      <w:r>
        <w:rPr>
          <w:rFonts w:ascii="Times New Roman" w:hAnsi="Times New Roman" w:eastAsia="仿宋" w:cs="Times New Roman"/>
          <w:sz w:val="28"/>
          <w:szCs w:val="28"/>
        </w:rPr>
        <w:t>2024年6月19日至2024年12月18日期间（以下简称本评估期），南村东片社工站收到本协议期政府购买服务经费0.00元，归属于本评估期的服务经费支出累计1,176,124.60元；本评估期结余金额-1,176,124.60元，具体经费支出情况如下：</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㈠用于人员费用支出1,031,883.40元，占本协议期应收服务总经费的43.00%，本期预算执行率（整体协议期）53.60%</w:t>
      </w:r>
      <w:bookmarkStart w:id="5" w:name="_GoBack"/>
      <w:bookmarkEnd w:id="5"/>
      <w:r>
        <w:rPr>
          <w:rFonts w:ascii="Times New Roman" w:hAnsi="Times New Roman" w:eastAsia="仿宋" w:cs="Times New Roman"/>
          <w:sz w:val="28"/>
          <w:szCs w:val="28"/>
        </w:rPr>
        <w:t>。其中：</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１、工资总额支出863,524.00元（含发放中秋节补贴2,200.00元）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２、五险金支出150,803.40元；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３、公积金支出17,556.00元。</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㈡用于服务质量保障费用的支出合计64,673.73元，占本协议期应收服务经费的2.69%，本期预算执行率（整体协议期）21.56%，其中：</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、用于开展与专业服务和活动的支出6,527.64元。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服务和活动物料支出1,558.82元；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宣传费支出1,748.00元；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 3 \* GB2 </w:instrText>
      </w:r>
      <w:r>
        <w:rPr>
          <w:rFonts w:ascii="Times New Roman" w:hAnsi="Times New Roman" w:eastAsia="仿宋" w:cs="Times New Roman"/>
          <w:sz w:val="28"/>
          <w:szCs w:val="28"/>
        </w:rPr>
        <w:fldChar w:fldCharType="separate"/>
      </w:r>
      <w:r>
        <w:rPr>
          <w:rFonts w:hint="eastAsia" w:ascii="宋体" w:hAnsi="宋体" w:eastAsia="宋体" w:cs="宋体"/>
          <w:sz w:val="28"/>
          <w:szCs w:val="28"/>
        </w:rPr>
        <w:t>⑶</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t>交通费支出3,220.82元。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、用于日常办公费用支出34,386.09元。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办公费耗材支出15,070.86元；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水电费支出12,443.76元；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ascii="Times New Roman" w:hAnsi="Times New Roman" w:eastAsia="仿宋" w:cs="Times New Roman"/>
          <w:sz w:val="28"/>
          <w:szCs w:val="28"/>
        </w:rPr>
        <w:t>电话费支3,056.47元；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⑷</w:t>
      </w:r>
      <w:r>
        <w:rPr>
          <w:rFonts w:ascii="Times New Roman" w:hAnsi="Times New Roman" w:eastAsia="仿宋" w:cs="Times New Roman"/>
          <w:sz w:val="28"/>
          <w:szCs w:val="28"/>
        </w:rPr>
        <w:t>修理费支出3,600.00元；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⑸</w:t>
      </w:r>
      <w:r>
        <w:rPr>
          <w:rFonts w:ascii="Times New Roman" w:hAnsi="Times New Roman" w:eastAsia="仿宋" w:cs="Times New Roman"/>
          <w:sz w:val="28"/>
          <w:szCs w:val="28"/>
        </w:rPr>
        <w:t>银行手续费支出215.00元。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、用于机构年度相关税费支出23,760.00元。</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㈢用于运营管理费用支出79,567.47元，占本协议期应收服务经费的3.32%，本期预算执行率（整体协议期）45.47%。其中：</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１、分摊机构人员工资40,549.70元； </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２、分摊机构人员社保4,758.79元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３、分摊机构人员公积金435.58元；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４、机构费用分摊30,323.40元；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５、社工交流支出3,500.00元。</w:t>
      </w:r>
    </w:p>
    <w:p>
      <w:pPr>
        <w:spacing w:line="620" w:lineRule="exact"/>
        <w:ind w:right="-569" w:rightChars="-271"/>
        <w:outlineLvl w:val="0"/>
        <w:rPr>
          <w:rFonts w:ascii="Times New Roman" w:hAnsi="Times New Roman" w:eastAsia="仿宋" w:cs="Times New Roman"/>
          <w:b/>
          <w:sz w:val="28"/>
          <w:szCs w:val="28"/>
        </w:rPr>
      </w:pPr>
      <w:bookmarkStart w:id="4" w:name="_Hlk192153757"/>
      <w:r>
        <w:rPr>
          <w:rFonts w:ascii="Times New Roman" w:hAnsi="Times New Roman" w:eastAsia="仿宋" w:cs="Times New Roman"/>
          <w:b/>
          <w:sz w:val="28"/>
          <w:szCs w:val="28"/>
        </w:rPr>
        <w:t>七、前期经费收、支、结余变化情况</w:t>
      </w:r>
    </w:p>
    <w:bookmarkEnd w:id="4"/>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经评估，截至2024年12月31日，协议期2023年6月19日至2024年6月18日的结余资金发生变动，具体情况如下：</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该协议期累计已收到政府采购服务经费2,280,000.00元，累计服务经费支出总额2,572,062.95元，扣除服务质量保障费用及运营管理费用合计超20%的部分41,224.33元后该协议期整体累计服务经费支出总额为2,530,838.62 元，结余资金-250,838.62元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2024年6月及8月（本评估期内），调整归属于该协议期支出共3,690.00元，其中：服务质量保障费用1,530.00元（6月204号凭证订正5月71#凭证南村错记石楼1,530.00元），运营管理费用支出2,160.00元（该协议期末期服务经费36,000.00元产生的税费支出2,160.00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因调整前该协议期服务质量保障费用及运营管理费用合计已</w:t>
      </w:r>
      <w:r>
        <w:rPr>
          <w:rFonts w:hint="eastAsia" w:ascii="Times New Roman" w:hAnsi="Times New Roman" w:eastAsia="仿宋" w:cs="Times New Roman"/>
          <w:sz w:val="28"/>
          <w:szCs w:val="28"/>
        </w:rPr>
        <w:t>超过</w:t>
      </w:r>
      <w:r>
        <w:rPr>
          <w:rFonts w:ascii="Times New Roman" w:hAnsi="Times New Roman" w:eastAsia="仿宋" w:cs="Times New Roman"/>
          <w:sz w:val="28"/>
          <w:szCs w:val="28"/>
        </w:rPr>
        <w:t>规定的20%，本评估期调整支出未影响整体累计服务经费支出，结余资金仍为-250,838.62元。</w:t>
      </w:r>
    </w:p>
    <w:p>
      <w:pPr>
        <w:spacing w:line="620" w:lineRule="exact"/>
        <w:ind w:right="-2"/>
        <w:outlineLvl w:val="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八、累计结余情况（2017年6月14日-2024年12月18日）</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根据“业会专审[2024]171号”财务管理情况评估报告及本次2024年6月19日至2024年12月18日财务管理评估情况，自2017年6月14日起至2024年12月18日止，南村东片社工站服务经费累计结余-1,403,663.32元。具体每期结余情况如下：</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㈠南村东片社工站2017年6月14日至2020年6月13日三年服务周期结束，结余资金465,594.15元。</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㈡2020年6月14日至2023年6月18日三年服务周期结束，结余资金-442,294.25元，其中：</w:t>
      </w:r>
    </w:p>
    <w:p>
      <w:pPr>
        <w:spacing w:line="620" w:lineRule="exact"/>
        <w:ind w:firstLine="520" w:firstLineChars="200"/>
        <w:rPr>
          <w:rFonts w:ascii="Times New Roman" w:hAnsi="Times New Roman" w:eastAsia="仿宋" w:cs="Times New Roman"/>
          <w:color w:val="000000" w:themeColor="text1"/>
          <w:spacing w:val="-10"/>
          <w:sz w:val="28"/>
          <w:szCs w:val="28"/>
          <w14:textFill>
            <w14:solidFill>
              <w14:schemeClr w14:val="tx1"/>
            </w14:solidFill>
          </w14:textFill>
        </w:rPr>
      </w:pPr>
      <w:r>
        <w:rPr>
          <w:rFonts w:ascii="Times New Roman" w:hAnsi="Times New Roman" w:eastAsia="仿宋" w:cs="Times New Roman"/>
          <w:color w:val="000000" w:themeColor="text1"/>
          <w:spacing w:val="-10"/>
          <w:sz w:val="28"/>
          <w:szCs w:val="28"/>
          <w14:textFill>
            <w14:solidFill>
              <w14:schemeClr w14:val="tx1"/>
            </w14:solidFill>
          </w14:textFill>
        </w:rPr>
        <w:t>第一年协议期2020年6月14日至2021年6月13日，结余资金-339,638.34元。</w:t>
      </w:r>
    </w:p>
    <w:p>
      <w:pPr>
        <w:spacing w:line="620" w:lineRule="exact"/>
        <w:ind w:firstLine="536" w:firstLineChars="200"/>
        <w:rPr>
          <w:rFonts w:ascii="Times New Roman" w:hAnsi="Times New Roman" w:eastAsia="仿宋" w:cs="Times New Roman"/>
          <w:color w:val="000000" w:themeColor="text1"/>
          <w:spacing w:val="-6"/>
          <w:sz w:val="28"/>
          <w:szCs w:val="28"/>
          <w14:textFill>
            <w14:solidFill>
              <w14:schemeClr w14:val="tx1"/>
            </w14:solidFill>
          </w14:textFill>
        </w:rPr>
      </w:pPr>
      <w:r>
        <w:rPr>
          <w:rFonts w:ascii="Times New Roman" w:hAnsi="Times New Roman" w:eastAsia="仿宋" w:cs="Times New Roman"/>
          <w:color w:val="000000" w:themeColor="text1"/>
          <w:spacing w:val="-6"/>
          <w:sz w:val="28"/>
          <w:szCs w:val="28"/>
          <w14:textFill>
            <w14:solidFill>
              <w14:schemeClr w14:val="tx1"/>
            </w14:solidFill>
          </w14:textFill>
        </w:rPr>
        <w:t>第二年协议期2021年6月14日至2022年6月13日，结余资金-6,945.86元。</w:t>
      </w:r>
    </w:p>
    <w:p>
      <w:pPr>
        <w:spacing w:line="620" w:lineRule="exact"/>
        <w:ind w:firstLine="528" w:firstLineChars="200"/>
        <w:rPr>
          <w:rFonts w:ascii="Times New Roman" w:hAnsi="Times New Roman" w:eastAsia="仿宋" w:cs="Times New Roman"/>
          <w:color w:val="000000" w:themeColor="text1"/>
          <w:spacing w:val="-8"/>
          <w:sz w:val="28"/>
          <w:szCs w:val="28"/>
          <w14:textFill>
            <w14:solidFill>
              <w14:schemeClr w14:val="tx1"/>
            </w14:solidFill>
          </w14:textFill>
        </w:rPr>
      </w:pPr>
      <w:r>
        <w:rPr>
          <w:rFonts w:ascii="Times New Roman" w:hAnsi="Times New Roman" w:eastAsia="仿宋" w:cs="Times New Roman"/>
          <w:color w:val="000000" w:themeColor="text1"/>
          <w:spacing w:val="-8"/>
          <w:sz w:val="28"/>
          <w:szCs w:val="28"/>
          <w14:textFill>
            <w14:solidFill>
              <w14:schemeClr w14:val="tx1"/>
            </w14:solidFill>
          </w14:textFill>
        </w:rPr>
        <w:t>第三年协议期2022年6月19日至2023年6月18日，结余资金-95,710.05元。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㈢2023年6月19日至2026年6月18日</w:t>
      </w:r>
      <w:r>
        <w:rPr>
          <w:rFonts w:ascii="Times New Roman" w:hAnsi="Times New Roman" w:eastAsia="仿宋" w:cs="Times New Roman"/>
          <w:color w:val="000000" w:themeColor="text1"/>
          <w:sz w:val="28"/>
          <w:szCs w:val="28"/>
          <w14:textFill>
            <w14:solidFill>
              <w14:schemeClr w14:val="tx1"/>
            </w14:solidFill>
          </w14:textFill>
        </w:rPr>
        <w:t>为南村东片社工站的三年服务周期，其中：</w:t>
      </w:r>
    </w:p>
    <w:p>
      <w:pPr>
        <w:spacing w:line="620" w:lineRule="exact"/>
        <w:ind w:firstLine="520" w:firstLineChars="200"/>
        <w:rPr>
          <w:rFonts w:ascii="Times New Roman" w:hAnsi="Times New Roman" w:eastAsia="仿宋" w:cs="Times New Roman"/>
          <w:color w:val="000000" w:themeColor="text1"/>
          <w:spacing w:val="-10"/>
          <w:sz w:val="28"/>
          <w:szCs w:val="28"/>
          <w14:textFill>
            <w14:solidFill>
              <w14:schemeClr w14:val="tx1"/>
            </w14:solidFill>
          </w14:textFill>
        </w:rPr>
      </w:pPr>
      <w:r>
        <w:rPr>
          <w:rFonts w:ascii="Times New Roman" w:hAnsi="Times New Roman" w:eastAsia="仿宋" w:cs="Times New Roman"/>
          <w:color w:val="000000" w:themeColor="text1"/>
          <w:spacing w:val="-10"/>
          <w:sz w:val="28"/>
          <w:szCs w:val="28"/>
          <w14:textFill>
            <w14:solidFill>
              <w14:schemeClr w14:val="tx1"/>
            </w14:solidFill>
          </w14:textFill>
        </w:rPr>
        <w:t>第一年协议期2023年6月19日至2024年6月18日，结余资金</w:t>
      </w:r>
      <w:r>
        <w:rPr>
          <w:rFonts w:ascii="Times New Roman" w:hAnsi="Times New Roman" w:eastAsia="仿宋" w:cs="Times New Roman"/>
          <w:spacing w:val="-10"/>
          <w:sz w:val="28"/>
          <w:szCs w:val="28"/>
        </w:rPr>
        <w:t>-250,838.62</w:t>
      </w:r>
      <w:r>
        <w:rPr>
          <w:rFonts w:ascii="Times New Roman" w:hAnsi="Times New Roman" w:eastAsia="仿宋" w:cs="Times New Roman"/>
          <w:color w:val="000000" w:themeColor="text1"/>
          <w:spacing w:val="-10"/>
          <w:sz w:val="28"/>
          <w:szCs w:val="28"/>
          <w14:textFill>
            <w14:solidFill>
              <w14:schemeClr w14:val="tx1"/>
            </w14:solidFill>
          </w14:textFill>
        </w:rPr>
        <w:t>元。</w:t>
      </w:r>
    </w:p>
    <w:p>
      <w:pPr>
        <w:spacing w:line="620" w:lineRule="exact"/>
        <w:ind w:firstLine="528" w:firstLineChars="200"/>
        <w:rPr>
          <w:rFonts w:ascii="Times New Roman" w:hAnsi="Times New Roman" w:eastAsia="仿宋" w:cs="Times New Roman"/>
          <w:color w:val="000000" w:themeColor="text1"/>
          <w:spacing w:val="-8"/>
          <w:sz w:val="28"/>
          <w:szCs w:val="28"/>
          <w14:textFill>
            <w14:solidFill>
              <w14:schemeClr w14:val="tx1"/>
            </w14:solidFill>
          </w14:textFill>
        </w:rPr>
      </w:pPr>
      <w:r>
        <w:rPr>
          <w:rFonts w:ascii="Times New Roman" w:hAnsi="Times New Roman" w:eastAsia="仿宋" w:cs="Times New Roman"/>
          <w:color w:val="000000" w:themeColor="text1"/>
          <w:spacing w:val="-8"/>
          <w:sz w:val="28"/>
          <w:szCs w:val="28"/>
          <w14:textFill>
            <w14:solidFill>
              <w14:schemeClr w14:val="tx1"/>
            </w14:solidFill>
          </w14:textFill>
        </w:rPr>
        <w:t>本评估期2024年6月19日至2024年12月18日，结余资金-1,176,124.60元。</w:t>
      </w:r>
    </w:p>
    <w:p>
      <w:pPr>
        <w:spacing w:line="620" w:lineRule="exact"/>
        <w:ind w:right="-569" w:rightChars="-271"/>
        <w:outlineLvl w:val="0"/>
        <w:rPr>
          <w:rFonts w:ascii="Times New Roman" w:hAnsi="Times New Roman" w:eastAsia="仿宋" w:cs="Times New Roman"/>
          <w:b/>
          <w:bCs/>
          <w:color w:val="000000" w:themeColor="text1"/>
          <w:sz w:val="28"/>
          <w:szCs w:val="28"/>
          <w14:textFill>
            <w14:solidFill>
              <w14:schemeClr w14:val="tx1"/>
            </w14:solidFill>
          </w14:textFill>
        </w:rPr>
      </w:pPr>
      <w:r>
        <w:rPr>
          <w:rFonts w:ascii="Times New Roman" w:hAnsi="Times New Roman" w:eastAsia="仿宋" w:cs="Times New Roman"/>
          <w:b/>
          <w:bCs/>
          <w:color w:val="000000" w:themeColor="text1"/>
          <w:sz w:val="28"/>
          <w:szCs w:val="28"/>
          <w14:textFill>
            <w14:solidFill>
              <w14:schemeClr w14:val="tx1"/>
            </w14:solidFill>
          </w14:textFill>
        </w:rPr>
        <w:t>九、存在问题</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㈠本评估期存在问题及建议</w:t>
      </w:r>
    </w:p>
    <w:p>
      <w:pPr>
        <w:spacing w:line="62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审核发现，个别费用支出未严格按照承接机构制定的《财务报销制度及报销流程》进行审批，具体如下：</w:t>
      </w:r>
    </w:p>
    <w:tbl>
      <w:tblPr>
        <w:tblStyle w:val="9"/>
        <w:tblW w:w="9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300"/>
        <w:gridCol w:w="993"/>
        <w:gridCol w:w="2427"/>
        <w:gridCol w:w="1082"/>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szCs w:val="20"/>
                <w14:textFill>
                  <w14:solidFill>
                    <w14:schemeClr w14:val="tx1"/>
                  </w14:solidFill>
                </w14:textFill>
              </w:rPr>
              <w:t>序号</w:t>
            </w:r>
          </w:p>
        </w:tc>
        <w:tc>
          <w:tcPr>
            <w:tcW w:w="1300"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14:textFill>
                  <w14:solidFill>
                    <w14:schemeClr w14:val="tx1"/>
                  </w14:solidFill>
                </w14:textFill>
              </w:rPr>
              <w:t>日  期</w:t>
            </w:r>
          </w:p>
        </w:tc>
        <w:tc>
          <w:tcPr>
            <w:tcW w:w="993"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14:textFill>
                  <w14:solidFill>
                    <w14:schemeClr w14:val="tx1"/>
                  </w14:solidFill>
                </w14:textFill>
              </w:rPr>
              <w:t>凭证号</w:t>
            </w:r>
          </w:p>
        </w:tc>
        <w:tc>
          <w:tcPr>
            <w:tcW w:w="2427"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14:textFill>
                  <w14:solidFill>
                    <w14:schemeClr w14:val="tx1"/>
                  </w14:solidFill>
                </w14:textFill>
              </w:rPr>
              <w:t>摘　　　要</w:t>
            </w:r>
          </w:p>
        </w:tc>
        <w:tc>
          <w:tcPr>
            <w:tcW w:w="1082"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14:textFill>
                  <w14:solidFill>
                    <w14:schemeClr w14:val="tx1"/>
                  </w14:solidFill>
                </w14:textFill>
              </w:rPr>
              <w:t>金  额</w:t>
            </w:r>
          </w:p>
        </w:tc>
        <w:tc>
          <w:tcPr>
            <w:tcW w:w="2887" w:type="dxa"/>
            <w:vAlign w:val="center"/>
          </w:tcPr>
          <w:p>
            <w:pPr>
              <w:spacing w:line="240" w:lineRule="atLeast"/>
              <w:jc w:val="center"/>
              <w:rPr>
                <w:rFonts w:ascii="Times New Roman" w:hAnsi="Times New Roman" w:eastAsia="仿宋" w:cs="Times New Roman"/>
                <w:b/>
                <w:color w:val="000000" w:themeColor="text1"/>
                <w:sz w:val="20"/>
                <w:szCs w:val="28"/>
                <w14:textFill>
                  <w14:solidFill>
                    <w14:schemeClr w14:val="tx1"/>
                  </w14:solidFill>
                </w14:textFill>
              </w:rPr>
            </w:pPr>
            <w:r>
              <w:rPr>
                <w:rFonts w:ascii="Times New Roman" w:hAnsi="Times New Roman" w:eastAsia="仿宋" w:cs="Times New Roman"/>
                <w:b/>
                <w:color w:val="000000" w:themeColor="text1"/>
                <w:sz w:val="20"/>
                <w14:textFill>
                  <w14:solidFill>
                    <w14:schemeClr w14:val="tx1"/>
                  </w14:solidFill>
                </w14:textFill>
              </w:rPr>
              <w:t>审　批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80" w:lineRule="exact"/>
              <w:jc w:val="center"/>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0"/>
                <w14:textFill>
                  <w14:solidFill>
                    <w14:schemeClr w14:val="tx1"/>
                  </w14:solidFill>
                </w14:textFill>
              </w:rPr>
              <w:t>1</w:t>
            </w:r>
          </w:p>
        </w:tc>
        <w:tc>
          <w:tcPr>
            <w:tcW w:w="1300"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2024-06-30</w:t>
            </w:r>
          </w:p>
        </w:tc>
        <w:tc>
          <w:tcPr>
            <w:tcW w:w="993"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记-0114</w:t>
            </w:r>
          </w:p>
        </w:tc>
        <w:tc>
          <w:tcPr>
            <w:tcW w:w="2427" w:type="dxa"/>
            <w:vAlign w:val="center"/>
          </w:tcPr>
          <w:p>
            <w:pPr>
              <w:spacing w:line="280" w:lineRule="exact"/>
              <w:ind w:right="-67" w:rightChars="-32"/>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洗手间防水_南村家综</w:t>
            </w:r>
          </w:p>
        </w:tc>
        <w:tc>
          <w:tcPr>
            <w:tcW w:w="1082" w:type="dxa"/>
            <w:vAlign w:val="center"/>
          </w:tcPr>
          <w:p>
            <w:pPr>
              <w:spacing w:line="280" w:lineRule="exact"/>
              <w:jc w:val="right"/>
              <w:rPr>
                <w:rFonts w:ascii="Times New Roman" w:hAnsi="Times New Roman" w:eastAsia="仿宋" w:cs="Times New Roman"/>
                <w:color w:val="000000" w:themeColor="text1"/>
                <w:sz w:val="20"/>
                <w:szCs w:val="21"/>
                <w14:textFill>
                  <w14:solidFill>
                    <w14:schemeClr w14:val="tx1"/>
                  </w14:solidFill>
                </w14:textFill>
              </w:rPr>
            </w:pPr>
            <w:r>
              <w:rPr>
                <w:rFonts w:ascii="Times New Roman" w:hAnsi="Times New Roman" w:eastAsia="仿宋" w:cs="Times New Roman"/>
                <w:color w:val="000000" w:themeColor="text1"/>
                <w:sz w:val="20"/>
                <w:szCs w:val="21"/>
                <w14:textFill>
                  <w14:solidFill>
                    <w14:schemeClr w14:val="tx1"/>
                  </w14:solidFill>
                </w14:textFill>
              </w:rPr>
              <w:t>3,600.00</w:t>
            </w:r>
          </w:p>
        </w:tc>
        <w:tc>
          <w:tcPr>
            <w:tcW w:w="2887" w:type="dxa"/>
            <w:vAlign w:val="center"/>
          </w:tcPr>
          <w:p>
            <w:pPr>
              <w:spacing w:line="280" w:lineRule="exact"/>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8"/>
                <w14:textFill>
                  <w14:solidFill>
                    <w14:schemeClr w14:val="tx1"/>
                  </w14:solidFill>
                </w14:textFill>
              </w:rPr>
              <w:t>请示理事会/总干事未签名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80" w:lineRule="exact"/>
              <w:jc w:val="center"/>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0"/>
                <w14:textFill>
                  <w14:solidFill>
                    <w14:schemeClr w14:val="tx1"/>
                  </w14:solidFill>
                </w14:textFill>
              </w:rPr>
              <w:t>2</w:t>
            </w:r>
          </w:p>
        </w:tc>
        <w:tc>
          <w:tcPr>
            <w:tcW w:w="1300"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2024-07-31</w:t>
            </w:r>
          </w:p>
        </w:tc>
        <w:tc>
          <w:tcPr>
            <w:tcW w:w="993"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记-0117</w:t>
            </w:r>
          </w:p>
        </w:tc>
        <w:tc>
          <w:tcPr>
            <w:tcW w:w="2427" w:type="dxa"/>
            <w:vAlign w:val="center"/>
          </w:tcPr>
          <w:p>
            <w:pPr>
              <w:spacing w:line="280" w:lineRule="exact"/>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南村片活动费_南村家综</w:t>
            </w:r>
          </w:p>
        </w:tc>
        <w:tc>
          <w:tcPr>
            <w:tcW w:w="1082" w:type="dxa"/>
            <w:vAlign w:val="center"/>
          </w:tcPr>
          <w:p>
            <w:pPr>
              <w:spacing w:line="280" w:lineRule="exact"/>
              <w:jc w:val="right"/>
              <w:rPr>
                <w:rFonts w:ascii="Times New Roman" w:hAnsi="Times New Roman" w:eastAsia="仿宋" w:cs="Times New Roman"/>
                <w:color w:val="000000" w:themeColor="text1"/>
                <w:sz w:val="20"/>
                <w:szCs w:val="21"/>
                <w14:textFill>
                  <w14:solidFill>
                    <w14:schemeClr w14:val="tx1"/>
                  </w14:solidFill>
                </w14:textFill>
              </w:rPr>
            </w:pPr>
            <w:r>
              <w:rPr>
                <w:rFonts w:ascii="Times New Roman" w:hAnsi="Times New Roman" w:eastAsia="仿宋" w:cs="Times New Roman"/>
                <w:color w:val="000000" w:themeColor="text1"/>
                <w:sz w:val="20"/>
                <w:szCs w:val="21"/>
                <w14:textFill>
                  <w14:solidFill>
                    <w14:schemeClr w14:val="tx1"/>
                  </w14:solidFill>
                </w14:textFill>
              </w:rPr>
              <w:t>975.10</w:t>
            </w:r>
          </w:p>
        </w:tc>
        <w:tc>
          <w:tcPr>
            <w:tcW w:w="2887" w:type="dxa"/>
          </w:tcPr>
          <w:p>
            <w:pPr>
              <w:spacing w:line="280" w:lineRule="exact"/>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费用报销单区域总监或行政总监未签名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80" w:lineRule="exact"/>
              <w:jc w:val="center"/>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0"/>
                <w14:textFill>
                  <w14:solidFill>
                    <w14:schemeClr w14:val="tx1"/>
                  </w14:solidFill>
                </w14:textFill>
              </w:rPr>
              <w:t>3</w:t>
            </w:r>
          </w:p>
        </w:tc>
        <w:tc>
          <w:tcPr>
            <w:tcW w:w="1300"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2024-08-31</w:t>
            </w:r>
          </w:p>
        </w:tc>
        <w:tc>
          <w:tcPr>
            <w:tcW w:w="993"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记-0123</w:t>
            </w:r>
          </w:p>
        </w:tc>
        <w:tc>
          <w:tcPr>
            <w:tcW w:w="2427" w:type="dxa"/>
            <w:vAlign w:val="center"/>
          </w:tcPr>
          <w:p>
            <w:pPr>
              <w:spacing w:line="280" w:lineRule="exact"/>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书本打印_南村家综</w:t>
            </w:r>
          </w:p>
        </w:tc>
        <w:tc>
          <w:tcPr>
            <w:tcW w:w="1082" w:type="dxa"/>
            <w:vAlign w:val="center"/>
          </w:tcPr>
          <w:p>
            <w:pPr>
              <w:spacing w:line="280" w:lineRule="exact"/>
              <w:jc w:val="right"/>
              <w:rPr>
                <w:rFonts w:ascii="Times New Roman" w:hAnsi="Times New Roman" w:eastAsia="仿宋" w:cs="Times New Roman"/>
                <w:color w:val="000000" w:themeColor="text1"/>
                <w:sz w:val="20"/>
                <w:szCs w:val="21"/>
                <w14:textFill>
                  <w14:solidFill>
                    <w14:schemeClr w14:val="tx1"/>
                  </w14:solidFill>
                </w14:textFill>
              </w:rPr>
            </w:pPr>
            <w:r>
              <w:rPr>
                <w:rFonts w:ascii="Times New Roman" w:hAnsi="Times New Roman" w:eastAsia="仿宋" w:cs="Times New Roman"/>
                <w:color w:val="000000" w:themeColor="text1"/>
                <w:sz w:val="20"/>
                <w:szCs w:val="21"/>
                <w14:textFill>
                  <w14:solidFill>
                    <w14:schemeClr w14:val="tx1"/>
                  </w14:solidFill>
                </w14:textFill>
              </w:rPr>
              <w:t>904.00</w:t>
            </w:r>
          </w:p>
        </w:tc>
        <w:tc>
          <w:tcPr>
            <w:tcW w:w="2887" w:type="dxa"/>
            <w:vAlign w:val="center"/>
          </w:tcPr>
          <w:p>
            <w:pPr>
              <w:spacing w:line="280" w:lineRule="exact"/>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szCs w:val="28"/>
                <w14:textFill>
                  <w14:solidFill>
                    <w14:schemeClr w14:val="tx1"/>
                  </w14:solidFill>
                </w14:textFill>
              </w:rPr>
              <w:t>请示理事会/总干事未签名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80" w:lineRule="exact"/>
              <w:jc w:val="center"/>
              <w:rPr>
                <w:rFonts w:ascii="Times New Roman" w:hAnsi="Times New Roman" w:eastAsia="仿宋" w:cs="Times New Roman"/>
                <w:color w:val="000000" w:themeColor="text1"/>
                <w:sz w:val="20"/>
                <w:szCs w:val="20"/>
                <w14:textFill>
                  <w14:solidFill>
                    <w14:schemeClr w14:val="tx1"/>
                  </w14:solidFill>
                </w14:textFill>
              </w:rPr>
            </w:pPr>
            <w:r>
              <w:rPr>
                <w:rFonts w:ascii="Times New Roman" w:hAnsi="Times New Roman" w:eastAsia="仿宋" w:cs="Times New Roman"/>
                <w:color w:val="000000" w:themeColor="text1"/>
                <w:sz w:val="20"/>
                <w:szCs w:val="20"/>
                <w14:textFill>
                  <w14:solidFill>
                    <w14:schemeClr w14:val="tx1"/>
                  </w14:solidFill>
                </w14:textFill>
              </w:rPr>
              <w:t>4</w:t>
            </w:r>
          </w:p>
        </w:tc>
        <w:tc>
          <w:tcPr>
            <w:tcW w:w="1300"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2024-07-31</w:t>
            </w:r>
          </w:p>
        </w:tc>
        <w:tc>
          <w:tcPr>
            <w:tcW w:w="993" w:type="dxa"/>
            <w:vAlign w:val="center"/>
          </w:tcPr>
          <w:p>
            <w:pPr>
              <w:spacing w:line="280" w:lineRule="exact"/>
              <w:jc w:val="center"/>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记-0115</w:t>
            </w:r>
          </w:p>
        </w:tc>
        <w:tc>
          <w:tcPr>
            <w:tcW w:w="2427" w:type="dxa"/>
            <w:vAlign w:val="center"/>
          </w:tcPr>
          <w:p>
            <w:pPr>
              <w:spacing w:line="280" w:lineRule="exact"/>
              <w:rPr>
                <w:rFonts w:ascii="Times New Roman" w:hAnsi="Times New Roman" w:eastAsia="仿宋" w:cs="Times New Roman"/>
                <w:color w:val="000000" w:themeColor="text1"/>
                <w:sz w:val="20"/>
                <w14:textFill>
                  <w14:solidFill>
                    <w14:schemeClr w14:val="tx1"/>
                  </w14:solidFill>
                </w14:textFill>
              </w:rPr>
            </w:pPr>
            <w:r>
              <w:rPr>
                <w:rFonts w:ascii="Times New Roman" w:hAnsi="Times New Roman" w:eastAsia="仿宋" w:cs="Times New Roman"/>
                <w:color w:val="000000" w:themeColor="text1"/>
                <w:sz w:val="20"/>
                <w14:textFill>
                  <w14:solidFill>
                    <w14:schemeClr w14:val="tx1"/>
                  </w14:solidFill>
                </w14:textFill>
              </w:rPr>
              <w:t>团建_南村家综</w:t>
            </w:r>
          </w:p>
        </w:tc>
        <w:tc>
          <w:tcPr>
            <w:tcW w:w="1082" w:type="dxa"/>
            <w:vAlign w:val="center"/>
          </w:tcPr>
          <w:p>
            <w:pPr>
              <w:spacing w:line="280" w:lineRule="exact"/>
              <w:jc w:val="right"/>
              <w:rPr>
                <w:rFonts w:ascii="Times New Roman" w:hAnsi="Times New Roman" w:eastAsia="仿宋" w:cs="Times New Roman"/>
                <w:color w:val="000000" w:themeColor="text1"/>
                <w:sz w:val="20"/>
                <w:szCs w:val="21"/>
                <w14:textFill>
                  <w14:solidFill>
                    <w14:schemeClr w14:val="tx1"/>
                  </w14:solidFill>
                </w14:textFill>
              </w:rPr>
            </w:pPr>
            <w:r>
              <w:rPr>
                <w:rFonts w:ascii="Times New Roman" w:hAnsi="Times New Roman" w:eastAsia="仿宋" w:cs="Times New Roman"/>
                <w:color w:val="000000" w:themeColor="text1"/>
                <w:sz w:val="20"/>
                <w:szCs w:val="21"/>
                <w14:textFill>
                  <w14:solidFill>
                    <w14:schemeClr w14:val="tx1"/>
                  </w14:solidFill>
                </w14:textFill>
              </w:rPr>
              <w:t>1,000.00</w:t>
            </w:r>
          </w:p>
        </w:tc>
        <w:tc>
          <w:tcPr>
            <w:tcW w:w="2887" w:type="dxa"/>
            <w:vAlign w:val="center"/>
          </w:tcPr>
          <w:p>
            <w:pPr>
              <w:spacing w:line="280" w:lineRule="exact"/>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8"/>
                <w14:textFill>
                  <w14:solidFill>
                    <w14:schemeClr w14:val="tx1"/>
                  </w14:solidFill>
                </w14:textFill>
              </w:rPr>
              <w:t>费用报销单区域总监或行政总监未签名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dxa"/>
            <w:vAlign w:val="center"/>
          </w:tcPr>
          <w:p>
            <w:pPr>
              <w:spacing w:line="280" w:lineRule="exact"/>
              <w:jc w:val="center"/>
              <w:rPr>
                <w:rFonts w:ascii="Times New Roman" w:hAnsi="Times New Roman" w:eastAsia="仿宋" w:cs="Times New Roman"/>
                <w:color w:val="000000" w:themeColor="text1"/>
                <w:sz w:val="20"/>
                <w:szCs w:val="20"/>
                <w14:textFill>
                  <w14:solidFill>
                    <w14:schemeClr w14:val="tx1"/>
                  </w14:solidFill>
                </w14:textFill>
              </w:rPr>
            </w:pPr>
            <w:r>
              <w:rPr>
                <w:rFonts w:ascii="Times New Roman" w:hAnsi="Times New Roman" w:eastAsia="仿宋" w:cs="Times New Roman"/>
                <w:color w:val="000000" w:themeColor="text1"/>
                <w:sz w:val="20"/>
                <w:szCs w:val="20"/>
                <w14:textFill>
                  <w14:solidFill>
                    <w14:schemeClr w14:val="tx1"/>
                  </w14:solidFill>
                </w14:textFill>
              </w:rPr>
              <w:t>5</w:t>
            </w:r>
          </w:p>
        </w:tc>
        <w:tc>
          <w:tcPr>
            <w:tcW w:w="1300" w:type="dxa"/>
            <w:vAlign w:val="center"/>
          </w:tcPr>
          <w:p>
            <w:pPr>
              <w:spacing w:line="280" w:lineRule="exact"/>
              <w:jc w:val="center"/>
              <w:rPr>
                <w:rFonts w:ascii="Times New Roman" w:hAnsi="Times New Roman" w:eastAsia="仿宋" w:cs="Times New Roman"/>
              </w:rPr>
            </w:pPr>
            <w:r>
              <w:rPr>
                <w:rFonts w:ascii="Times New Roman" w:hAnsi="Times New Roman" w:eastAsia="仿宋" w:cs="Times New Roman"/>
                <w:color w:val="000000" w:themeColor="text1"/>
                <w:sz w:val="20"/>
                <w14:textFill>
                  <w14:solidFill>
                    <w14:schemeClr w14:val="tx1"/>
                  </w14:solidFill>
                </w14:textFill>
              </w:rPr>
              <w:t>2024-07-31</w:t>
            </w:r>
          </w:p>
        </w:tc>
        <w:tc>
          <w:tcPr>
            <w:tcW w:w="993" w:type="dxa"/>
            <w:vAlign w:val="center"/>
          </w:tcPr>
          <w:p>
            <w:pPr>
              <w:spacing w:line="280" w:lineRule="exact"/>
              <w:jc w:val="center"/>
              <w:rPr>
                <w:rFonts w:ascii="Times New Roman" w:hAnsi="Times New Roman" w:eastAsia="仿宋" w:cs="Times New Roman"/>
              </w:rPr>
            </w:pPr>
            <w:r>
              <w:rPr>
                <w:rFonts w:ascii="Times New Roman" w:hAnsi="Times New Roman" w:eastAsia="仿宋" w:cs="Times New Roman"/>
                <w:color w:val="000000" w:themeColor="text1"/>
                <w:sz w:val="20"/>
                <w14:textFill>
                  <w14:solidFill>
                    <w14:schemeClr w14:val="tx1"/>
                  </w14:solidFill>
                </w14:textFill>
              </w:rPr>
              <w:t>记-0116</w:t>
            </w:r>
          </w:p>
        </w:tc>
        <w:tc>
          <w:tcPr>
            <w:tcW w:w="2427" w:type="dxa"/>
            <w:vAlign w:val="center"/>
          </w:tcPr>
          <w:p>
            <w:pPr>
              <w:spacing w:line="280" w:lineRule="exact"/>
              <w:rPr>
                <w:rFonts w:ascii="Times New Roman" w:hAnsi="Times New Roman" w:eastAsia="仿宋" w:cs="Times New Roman"/>
              </w:rPr>
            </w:pPr>
            <w:r>
              <w:rPr>
                <w:rFonts w:ascii="Times New Roman" w:hAnsi="Times New Roman" w:eastAsia="仿宋" w:cs="Times New Roman"/>
                <w:color w:val="000000" w:themeColor="text1"/>
                <w:sz w:val="20"/>
                <w14:textFill>
                  <w14:solidFill>
                    <w14:schemeClr w14:val="tx1"/>
                  </w14:solidFill>
                </w14:textFill>
              </w:rPr>
              <w:t>团建_南村家综</w:t>
            </w:r>
          </w:p>
        </w:tc>
        <w:tc>
          <w:tcPr>
            <w:tcW w:w="1082" w:type="dxa"/>
            <w:vAlign w:val="center"/>
          </w:tcPr>
          <w:p>
            <w:pPr>
              <w:spacing w:line="280" w:lineRule="exact"/>
              <w:jc w:val="right"/>
              <w:rPr>
                <w:rFonts w:ascii="Times New Roman" w:hAnsi="Times New Roman" w:eastAsia="仿宋" w:cs="Times New Roman"/>
                <w:color w:val="000000" w:themeColor="text1"/>
                <w:sz w:val="20"/>
                <w:szCs w:val="21"/>
                <w14:textFill>
                  <w14:solidFill>
                    <w14:schemeClr w14:val="tx1"/>
                  </w14:solidFill>
                </w14:textFill>
              </w:rPr>
            </w:pPr>
            <w:r>
              <w:rPr>
                <w:rFonts w:ascii="Times New Roman" w:hAnsi="Times New Roman" w:eastAsia="仿宋" w:cs="Times New Roman"/>
                <w:color w:val="000000" w:themeColor="text1"/>
                <w:sz w:val="20"/>
                <w:szCs w:val="21"/>
                <w14:textFill>
                  <w14:solidFill>
                    <w14:schemeClr w14:val="tx1"/>
                  </w14:solidFill>
                </w14:textFill>
              </w:rPr>
              <w:t>1,000.00</w:t>
            </w:r>
          </w:p>
        </w:tc>
        <w:tc>
          <w:tcPr>
            <w:tcW w:w="2887" w:type="dxa"/>
            <w:vAlign w:val="center"/>
          </w:tcPr>
          <w:p>
            <w:pPr>
              <w:spacing w:line="280" w:lineRule="exact"/>
              <w:rPr>
                <w:rFonts w:ascii="Times New Roman" w:hAnsi="Times New Roman" w:eastAsia="仿宋" w:cs="Times New Roman"/>
                <w:color w:val="000000" w:themeColor="text1"/>
                <w:sz w:val="20"/>
                <w:szCs w:val="28"/>
                <w14:textFill>
                  <w14:solidFill>
                    <w14:schemeClr w14:val="tx1"/>
                  </w14:solidFill>
                </w14:textFill>
              </w:rPr>
            </w:pPr>
            <w:r>
              <w:rPr>
                <w:rFonts w:ascii="Times New Roman" w:hAnsi="Times New Roman" w:eastAsia="仿宋" w:cs="Times New Roman"/>
                <w:color w:val="000000" w:themeColor="text1"/>
                <w:sz w:val="20"/>
                <w:szCs w:val="28"/>
                <w14:textFill>
                  <w14:solidFill>
                    <w14:schemeClr w14:val="tx1"/>
                  </w14:solidFill>
                </w14:textFill>
              </w:rPr>
              <w:t>费用报销单区域总监或行政总监未签名</w:t>
            </w:r>
          </w:p>
        </w:tc>
      </w:tr>
    </w:tbl>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㈡上期问题整改情况</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根据“业会专审</w:t>
      </w:r>
      <w:r>
        <w:rPr>
          <w:rFonts w:ascii="Times New Roman" w:hAnsi="Times New Roman" w:eastAsia="仿宋" w:cs="Times New Roman"/>
          <w:color w:val="000000"/>
          <w:sz w:val="28"/>
          <w:szCs w:val="28"/>
        </w:rPr>
        <w:t>[2024]171</w:t>
      </w:r>
      <w:r>
        <w:rPr>
          <w:rFonts w:ascii="Times New Roman" w:hAnsi="Times New Roman" w:eastAsia="仿宋" w:cs="Times New Roman"/>
          <w:color w:val="000000" w:themeColor="text1"/>
          <w:sz w:val="28"/>
          <w:szCs w:val="28"/>
          <w14:textFill>
            <w14:solidFill>
              <w14:schemeClr w14:val="tx1"/>
            </w14:solidFill>
          </w14:textFill>
        </w:rPr>
        <w:t>号”财务管理情况评估报告，上一评估期（2023年12月19日至2024年6月18日）存在“个别费用支出未严格按照承接机构制定的《财务报销制度及报销流程》进行审批，如：2024年1月29号凭证支付周年特刊宣传画册2,995.00元，后附物品采购申请表区域总监或行政总监未签字。经审核，本评估期内南村东片社工站已对上述问题进行整改，但在审核发现本评估期内仍存在上述问题。</w:t>
      </w:r>
    </w:p>
    <w:p>
      <w:pPr>
        <w:spacing w:line="600" w:lineRule="exact"/>
        <w:ind w:right="-569" w:rightChars="-271"/>
        <w:outlineLvl w:val="0"/>
        <w:rPr>
          <w:rFonts w:ascii="Times New Roman" w:hAnsi="Times New Roman" w:eastAsia="仿宋" w:cs="Times New Roman"/>
          <w:sz w:val="28"/>
          <w:szCs w:val="28"/>
        </w:rPr>
      </w:pPr>
      <w:r>
        <w:rPr>
          <w:rFonts w:ascii="Times New Roman" w:hAnsi="Times New Roman" w:eastAsia="仿宋" w:cs="Times New Roman"/>
          <w:b/>
          <w:sz w:val="28"/>
          <w:szCs w:val="28"/>
        </w:rPr>
        <w:t>十、评估结论</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经上述审核评估，我们认为广州市番禺区南村镇东片社工服务站本次财务评估等级为：合格。</w:t>
      </w:r>
    </w:p>
    <w:p>
      <w:pPr>
        <w:spacing w:line="60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十一、其他事项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本报告仅供本次委托目的，即对南村东片社工站财务评估使用，本事务所及本注册会计师不对运用本报告于其他目的造成的经济后果负责。</w:t>
      </w:r>
    </w:p>
    <w:p>
      <w:pPr>
        <w:spacing w:line="600" w:lineRule="exact"/>
        <w:rPr>
          <w:rFonts w:hint="eastAsia" w:ascii="Times New Roman" w:hAnsi="Times New Roman" w:eastAsia="仿宋" w:cs="Times New Roman"/>
          <w:b/>
          <w:bCs/>
          <w:sz w:val="28"/>
          <w:szCs w:val="28"/>
        </w:rPr>
      </w:pPr>
    </w:p>
    <w:p>
      <w:pPr>
        <w:spacing w:line="600" w:lineRule="exact"/>
        <w:ind w:left="850" w:leftChars="405"/>
        <w:rPr>
          <w:rFonts w:ascii="仿宋" w:hAnsi="仿宋" w:eastAsia="仿宋" w:cs="Times New Roman"/>
          <w:sz w:val="28"/>
          <w:szCs w:val="28"/>
        </w:rPr>
      </w:pPr>
    </w:p>
    <w:p>
      <w:pPr>
        <w:spacing w:line="600" w:lineRule="exact"/>
        <w:ind w:left="850" w:leftChars="405"/>
        <w:rPr>
          <w:rFonts w:ascii="仿宋" w:hAnsi="仿宋" w:eastAsia="仿宋" w:cs="Times New Roman"/>
          <w:sz w:val="28"/>
          <w:szCs w:val="28"/>
        </w:rPr>
      </w:pPr>
    </w:p>
    <w:p>
      <w:pPr>
        <w:spacing w:line="600" w:lineRule="exact"/>
        <w:ind w:left="850" w:leftChars="405"/>
        <w:rPr>
          <w:rFonts w:ascii="仿宋" w:hAnsi="仿宋" w:eastAsia="仿宋"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hint="eastAsia" w:ascii="华文新魏" w:hAnsi="仿宋" w:eastAsia="华文新魏" w:cs="Times New Roman"/>
                <w:b/>
                <w:color w:val="000000" w:themeColor="text1"/>
                <w:sz w:val="30"/>
                <w14:textFill>
                  <w14:solidFill>
                    <w14:schemeClr w14:val="tx1"/>
                  </w14:solidFill>
                </w14:textFill>
              </w:rPr>
            </w:pPr>
            <w:r>
              <w:rPr>
                <w:rFonts w:hint="eastAsia" w:ascii="华文新魏" w:hAnsi="仿宋" w:eastAsia="华文新魏" w:cs="Times New Roman"/>
                <w:b/>
                <w:color w:val="000000" w:themeColor="text1"/>
                <w:sz w:val="30"/>
                <w14:textFill>
                  <w14:solidFill>
                    <w14:schemeClr w14:val="tx1"/>
                  </w14:solidFill>
                </w14:textFill>
              </w:rPr>
              <w:t>广州业勤会计师事务所有限公司</w:t>
            </w:r>
          </w:p>
          <w:p>
            <w:pPr>
              <w:spacing w:line="320" w:lineRule="exact"/>
              <w:rPr>
                <w:rFonts w:hint="eastAsia" w:ascii="华文新魏" w:hAnsi="仿宋" w:eastAsia="华文新魏" w:cs="Times New Roman"/>
                <w:b/>
                <w:color w:val="000000" w:themeColor="text1"/>
                <w:sz w:val="30"/>
                <w14:textFill>
                  <w14:solidFill>
                    <w14:schemeClr w14:val="tx1"/>
                  </w14:solidFill>
                </w14:textFill>
              </w:rPr>
            </w:pPr>
          </w:p>
          <w:p>
            <w:pPr>
              <w:spacing w:line="320" w:lineRule="exact"/>
              <w:jc w:val="center"/>
              <w:rPr>
                <w:rFonts w:hint="eastAsia" w:ascii="华文新魏" w:hAnsi="仿宋" w:eastAsia="华文新魏" w:cs="Times New Roman"/>
                <w:b/>
                <w:color w:val="000000" w:themeColor="text1"/>
                <w:sz w:val="30"/>
                <w14:textFill>
                  <w14:solidFill>
                    <w14:schemeClr w14:val="tx1"/>
                  </w14:solidFill>
                </w14:textFill>
              </w:rPr>
            </w:pPr>
            <w:r>
              <w:rPr>
                <w:rFonts w:hint="eastAsia" w:ascii="华文新魏" w:hAnsi="仿宋" w:eastAsia="华文新魏" w:cs="Times New Roman"/>
                <w:b/>
                <w:color w:val="000000" w:themeColor="text1"/>
                <w:sz w:val="28"/>
                <w14:textFill>
                  <w14:solidFill>
                    <w14:schemeClr w14:val="tx1"/>
                  </w14:solidFill>
                </w14:textFill>
              </w:rPr>
              <w:t>广州·番禺</w:t>
            </w:r>
          </w:p>
          <w:p>
            <w:pPr>
              <w:spacing w:line="320" w:lineRule="exact"/>
              <w:rPr>
                <w:rFonts w:hint="eastAsia" w:ascii="华文新魏" w:hAnsi="仿宋" w:eastAsia="华文新魏" w:cs="Times New Roman"/>
                <w:b/>
                <w:color w:val="000000" w:themeColor="text1"/>
                <w:sz w:val="30"/>
                <w14:textFill>
                  <w14:solidFill>
                    <w14:schemeClr w14:val="tx1"/>
                  </w14:solidFill>
                </w14:textFill>
              </w:rPr>
            </w:pPr>
          </w:p>
          <w:p>
            <w:pPr>
              <w:spacing w:line="320" w:lineRule="exact"/>
              <w:ind w:right="-6"/>
              <w:jc w:val="center"/>
              <w:rPr>
                <w:rFonts w:hint="eastAsia" w:ascii="华文新魏" w:hAnsi="仿宋" w:eastAsia="华文新魏" w:cs="Times New Roman"/>
                <w:sz w:val="28"/>
                <w:szCs w:val="28"/>
              </w:rPr>
            </w:pPr>
            <w:r>
              <w:rPr>
                <w:rFonts w:hint="eastAsia" w:ascii="华文新魏" w:hAnsi="仿宋"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hint="eastAsia" w:ascii="华文新魏" w:hAnsi="华文新魏" w:eastAsia="华文新魏" w:cs="华文新魏"/>
                <w:b/>
                <w:color w:val="000000" w:themeColor="text1"/>
                <w:sz w:val="28"/>
                <w14:textFill>
                  <w14:solidFill>
                    <w14:schemeClr w14:val="tx1"/>
                  </w14:solidFill>
                </w14:textFill>
              </w:rPr>
              <w:t>二</w:t>
            </w:r>
            <w:r>
              <w:rPr>
                <w:rFonts w:hint="eastAsia" w:ascii="华文新魏" w:hAnsi="仿宋" w:eastAsia="华文新魏" w:cs="Times New Roman"/>
                <w:b/>
                <w:color w:val="000000" w:themeColor="text1"/>
                <w:sz w:val="28"/>
                <w14:textFill>
                  <w14:solidFill>
                    <w14:schemeClr w14:val="tx1"/>
                  </w14:solidFill>
                </w14:textFill>
              </w:rPr>
              <w:t>五年三月十二日</w:t>
            </w:r>
          </w:p>
        </w:tc>
        <w:tc>
          <w:tcPr>
            <w:tcW w:w="246" w:type="dxa"/>
          </w:tcPr>
          <w:p>
            <w:pPr>
              <w:spacing w:line="560" w:lineRule="exact"/>
              <w:ind w:right="-6"/>
              <w:rPr>
                <w:rFonts w:hint="eastAsia" w:ascii="华文新魏" w:hAnsi="仿宋" w:eastAsia="华文新魏" w:cs="Times New Roman"/>
                <w:sz w:val="28"/>
                <w:szCs w:val="28"/>
              </w:rPr>
            </w:pPr>
          </w:p>
        </w:tc>
        <w:tc>
          <w:tcPr>
            <w:tcW w:w="4618" w:type="dxa"/>
          </w:tcPr>
          <w:p>
            <w:pPr>
              <w:spacing w:line="320" w:lineRule="exact"/>
              <w:rPr>
                <w:rFonts w:hint="eastAsia" w:ascii="华文新魏" w:hAnsi="仿宋" w:eastAsia="华文新魏" w:cs="Times New Roman"/>
                <w:b/>
                <w:color w:val="000000" w:themeColor="text1"/>
                <w:sz w:val="30"/>
                <w14:textFill>
                  <w14:solidFill>
                    <w14:schemeClr w14:val="tx1"/>
                  </w14:solidFill>
                </w14:textFill>
              </w:rPr>
            </w:pPr>
            <w:r>
              <w:rPr>
                <w:rFonts w:hint="eastAsia" w:ascii="华文新魏" w:hAnsi="仿宋" w:eastAsia="华文新魏" w:cs="Times New Roman"/>
                <w:b/>
                <w:color w:val="000000" w:themeColor="text1"/>
                <w:sz w:val="28"/>
                <w14:textFill>
                  <w14:solidFill>
                    <w14:schemeClr w14:val="tx1"/>
                  </w14:solidFill>
                </w14:textFill>
              </w:rPr>
              <w:t>中国注册会计师</w:t>
            </w:r>
            <w:r>
              <w:rPr>
                <w:rFonts w:hint="eastAsia" w:ascii="华文新魏" w:hAnsi="仿宋" w:eastAsia="华文新魏" w:cs="Times New Roman"/>
                <w:b/>
                <w:color w:val="000000" w:themeColor="text1"/>
                <w:sz w:val="30"/>
                <w14:textFill>
                  <w14:solidFill>
                    <w14:schemeClr w14:val="tx1"/>
                  </w14:solidFill>
                </w14:textFill>
              </w:rPr>
              <w:t>：</w:t>
            </w:r>
          </w:p>
          <w:p>
            <w:pPr>
              <w:spacing w:line="320" w:lineRule="exact"/>
              <w:ind w:left="3513" w:hanging="3512"/>
              <w:rPr>
                <w:rFonts w:hint="eastAsia" w:ascii="华文新魏" w:hAnsi="仿宋" w:eastAsia="华文新魏" w:cs="Times New Roman"/>
                <w:b/>
                <w:color w:val="000000" w:themeColor="text1"/>
                <w:sz w:val="28"/>
                <w:szCs w:val="28"/>
                <w14:textFill>
                  <w14:solidFill>
                    <w14:schemeClr w14:val="tx1"/>
                  </w14:solidFill>
                </w14:textFill>
              </w:rPr>
            </w:pPr>
            <w:r>
              <w:rPr>
                <w:rFonts w:hint="eastAsia" w:ascii="华文新魏" w:hAnsi="仿宋" w:eastAsia="华文新魏" w:cs="Times New Roman"/>
                <w:b/>
                <w:color w:val="000000" w:themeColor="text1"/>
                <w:sz w:val="28"/>
                <w:szCs w:val="28"/>
                <w14:textFill>
                  <w14:solidFill>
                    <w14:schemeClr w14:val="tx1"/>
                  </w14:solidFill>
                </w14:textFill>
              </w:rPr>
              <w:t>（项目负责人）</w:t>
            </w:r>
          </w:p>
          <w:p>
            <w:pPr>
              <w:spacing w:line="320" w:lineRule="exact"/>
              <w:ind w:left="3513" w:hanging="3512"/>
              <w:rPr>
                <w:rFonts w:hint="eastAsia" w:ascii="华文新魏" w:hAnsi="仿宋" w:eastAsia="华文新魏" w:cs="Times New Roman"/>
                <w:b/>
                <w:color w:val="000000" w:themeColor="text1"/>
                <w:sz w:val="30"/>
                <w14:textFill>
                  <w14:solidFill>
                    <w14:schemeClr w14:val="tx1"/>
                  </w14:solidFill>
                </w14:textFill>
              </w:rPr>
            </w:pPr>
          </w:p>
          <w:p>
            <w:pPr>
              <w:spacing w:line="320" w:lineRule="exact"/>
              <w:ind w:left="84"/>
              <w:rPr>
                <w:rFonts w:hint="eastAsia" w:ascii="华文新魏" w:hAnsi="仿宋" w:eastAsia="华文新魏" w:cs="Times New Roman"/>
                <w:b/>
                <w:color w:val="000000" w:themeColor="text1"/>
                <w:sz w:val="30"/>
                <w14:textFill>
                  <w14:solidFill>
                    <w14:schemeClr w14:val="tx1"/>
                  </w14:solidFill>
                </w14:textFill>
              </w:rPr>
            </w:pPr>
          </w:p>
          <w:p>
            <w:pPr>
              <w:spacing w:line="320" w:lineRule="exact"/>
              <w:ind w:right="-6"/>
              <w:rPr>
                <w:rFonts w:hint="eastAsia" w:ascii="华文新魏" w:hAnsi="仿宋" w:eastAsia="华文新魏" w:cs="Times New Roman"/>
                <w:sz w:val="28"/>
                <w:szCs w:val="28"/>
              </w:rPr>
            </w:pPr>
            <w:r>
              <w:rPr>
                <w:rFonts w:hint="eastAsia" w:ascii="华文新魏" w:hAnsi="仿宋" w:eastAsia="华文新魏" w:cs="Times New Roman"/>
                <w:b/>
                <w:color w:val="000000" w:themeColor="text1"/>
                <w:sz w:val="28"/>
                <w14:textFill>
                  <w14:solidFill>
                    <w14:schemeClr w14:val="tx1"/>
                  </w14:solidFill>
                </w14:textFill>
              </w:rPr>
              <w:t>中国注册会计师</w:t>
            </w:r>
            <w:r>
              <w:rPr>
                <w:rFonts w:hint="eastAsia" w:ascii="华文新魏" w:hAnsi="仿宋" w:eastAsia="华文新魏" w:cs="Times New Roman"/>
                <w:b/>
                <w:color w:val="000000" w:themeColor="text1"/>
                <w:sz w:val="30"/>
                <w14:textFill>
                  <w14:solidFill>
                    <w14:schemeClr w14:val="tx1"/>
                  </w14:solidFill>
                </w14:textFill>
              </w:rPr>
              <w:t>：</w:t>
            </w:r>
          </w:p>
        </w:tc>
      </w:tr>
    </w:tbl>
    <w:p>
      <w:pPr>
        <w:spacing w:line="20" w:lineRule="exact"/>
        <w:rPr>
          <w:rFonts w:ascii="仿宋" w:hAnsi="仿宋" w:eastAsia="仿宋" w:cs="Times New Roman"/>
          <w:sz w:val="28"/>
          <w:szCs w:val="28"/>
        </w:rPr>
      </w:pPr>
    </w:p>
    <w:sectPr>
      <w:footerReference r:id="rId3" w:type="default"/>
      <w:pgSz w:w="11906" w:h="16838"/>
      <w:pgMar w:top="1134" w:right="1134" w:bottom="1134"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1B43"/>
    <w:rsid w:val="0000408A"/>
    <w:rsid w:val="0000646D"/>
    <w:rsid w:val="00011264"/>
    <w:rsid w:val="00011C11"/>
    <w:rsid w:val="00024FF8"/>
    <w:rsid w:val="0002755A"/>
    <w:rsid w:val="00030802"/>
    <w:rsid w:val="000317CE"/>
    <w:rsid w:val="00032744"/>
    <w:rsid w:val="0003344C"/>
    <w:rsid w:val="0003532C"/>
    <w:rsid w:val="0003670A"/>
    <w:rsid w:val="00036864"/>
    <w:rsid w:val="00041B6A"/>
    <w:rsid w:val="00043872"/>
    <w:rsid w:val="0004445D"/>
    <w:rsid w:val="00051B45"/>
    <w:rsid w:val="00055B05"/>
    <w:rsid w:val="000562C5"/>
    <w:rsid w:val="00056DBB"/>
    <w:rsid w:val="00056EE9"/>
    <w:rsid w:val="0006463F"/>
    <w:rsid w:val="00064B63"/>
    <w:rsid w:val="00065A6C"/>
    <w:rsid w:val="00071FB1"/>
    <w:rsid w:val="00073645"/>
    <w:rsid w:val="0008065A"/>
    <w:rsid w:val="00082021"/>
    <w:rsid w:val="00085C32"/>
    <w:rsid w:val="000974F2"/>
    <w:rsid w:val="00097DB9"/>
    <w:rsid w:val="000A2BC7"/>
    <w:rsid w:val="000A4214"/>
    <w:rsid w:val="000A488D"/>
    <w:rsid w:val="000B1546"/>
    <w:rsid w:val="000B22C3"/>
    <w:rsid w:val="000B5517"/>
    <w:rsid w:val="000B62CD"/>
    <w:rsid w:val="000B7CC3"/>
    <w:rsid w:val="000C4FB6"/>
    <w:rsid w:val="000D31B5"/>
    <w:rsid w:val="000D32C6"/>
    <w:rsid w:val="000D4838"/>
    <w:rsid w:val="000D65F3"/>
    <w:rsid w:val="000E00E1"/>
    <w:rsid w:val="000E047D"/>
    <w:rsid w:val="000E6D81"/>
    <w:rsid w:val="000F0011"/>
    <w:rsid w:val="000F0440"/>
    <w:rsid w:val="000F4F6B"/>
    <w:rsid w:val="000F7065"/>
    <w:rsid w:val="000F7788"/>
    <w:rsid w:val="00101D5C"/>
    <w:rsid w:val="00102433"/>
    <w:rsid w:val="00104BA9"/>
    <w:rsid w:val="00106B9C"/>
    <w:rsid w:val="00110769"/>
    <w:rsid w:val="00112A99"/>
    <w:rsid w:val="0011480E"/>
    <w:rsid w:val="00115C5E"/>
    <w:rsid w:val="00121ED1"/>
    <w:rsid w:val="0012230B"/>
    <w:rsid w:val="00125BBC"/>
    <w:rsid w:val="00133E77"/>
    <w:rsid w:val="00135F6B"/>
    <w:rsid w:val="001370D5"/>
    <w:rsid w:val="00141B82"/>
    <w:rsid w:val="00141E48"/>
    <w:rsid w:val="0014412F"/>
    <w:rsid w:val="0014748D"/>
    <w:rsid w:val="00147505"/>
    <w:rsid w:val="001522CB"/>
    <w:rsid w:val="001524AE"/>
    <w:rsid w:val="00157073"/>
    <w:rsid w:val="0015779A"/>
    <w:rsid w:val="00160769"/>
    <w:rsid w:val="0016124C"/>
    <w:rsid w:val="00161623"/>
    <w:rsid w:val="00164A86"/>
    <w:rsid w:val="0016508D"/>
    <w:rsid w:val="00170B77"/>
    <w:rsid w:val="00171040"/>
    <w:rsid w:val="00172280"/>
    <w:rsid w:val="00172D3F"/>
    <w:rsid w:val="001839F4"/>
    <w:rsid w:val="00185C33"/>
    <w:rsid w:val="00191F3C"/>
    <w:rsid w:val="001973EB"/>
    <w:rsid w:val="001A0108"/>
    <w:rsid w:val="001A128C"/>
    <w:rsid w:val="001A3B4C"/>
    <w:rsid w:val="001A70D8"/>
    <w:rsid w:val="001A795B"/>
    <w:rsid w:val="001B0C80"/>
    <w:rsid w:val="001B2890"/>
    <w:rsid w:val="001B2BB1"/>
    <w:rsid w:val="001C01DD"/>
    <w:rsid w:val="001C5BF2"/>
    <w:rsid w:val="001D0EB6"/>
    <w:rsid w:val="001D4873"/>
    <w:rsid w:val="001D4A1C"/>
    <w:rsid w:val="001E0431"/>
    <w:rsid w:val="001E2299"/>
    <w:rsid w:val="001E3968"/>
    <w:rsid w:val="001E6903"/>
    <w:rsid w:val="001E73AE"/>
    <w:rsid w:val="001F4AF2"/>
    <w:rsid w:val="001F6520"/>
    <w:rsid w:val="001F6681"/>
    <w:rsid w:val="001F72D5"/>
    <w:rsid w:val="00200AB0"/>
    <w:rsid w:val="0020169C"/>
    <w:rsid w:val="00201DFA"/>
    <w:rsid w:val="00202633"/>
    <w:rsid w:val="00206736"/>
    <w:rsid w:val="00207193"/>
    <w:rsid w:val="002146CD"/>
    <w:rsid w:val="002166A8"/>
    <w:rsid w:val="002220DE"/>
    <w:rsid w:val="002243A8"/>
    <w:rsid w:val="00225676"/>
    <w:rsid w:val="00235BF3"/>
    <w:rsid w:val="00237B72"/>
    <w:rsid w:val="00243C5B"/>
    <w:rsid w:val="002454FC"/>
    <w:rsid w:val="00250F23"/>
    <w:rsid w:val="00260FED"/>
    <w:rsid w:val="00262365"/>
    <w:rsid w:val="00262681"/>
    <w:rsid w:val="002626C2"/>
    <w:rsid w:val="002647B9"/>
    <w:rsid w:val="00265F2A"/>
    <w:rsid w:val="00266A11"/>
    <w:rsid w:val="00266CEA"/>
    <w:rsid w:val="002670B5"/>
    <w:rsid w:val="00270C73"/>
    <w:rsid w:val="00271874"/>
    <w:rsid w:val="00273BCE"/>
    <w:rsid w:val="002845EB"/>
    <w:rsid w:val="00286B33"/>
    <w:rsid w:val="002977EE"/>
    <w:rsid w:val="002A000C"/>
    <w:rsid w:val="002A46A4"/>
    <w:rsid w:val="002A5B93"/>
    <w:rsid w:val="002A7C06"/>
    <w:rsid w:val="002B0B68"/>
    <w:rsid w:val="002B37E5"/>
    <w:rsid w:val="002B4DAA"/>
    <w:rsid w:val="002B5A2A"/>
    <w:rsid w:val="002C6261"/>
    <w:rsid w:val="002C63DA"/>
    <w:rsid w:val="002C758E"/>
    <w:rsid w:val="002D38E9"/>
    <w:rsid w:val="002E0308"/>
    <w:rsid w:val="002E1BD7"/>
    <w:rsid w:val="002E1C51"/>
    <w:rsid w:val="002E4330"/>
    <w:rsid w:val="002E4CDF"/>
    <w:rsid w:val="002E4EA8"/>
    <w:rsid w:val="0030480B"/>
    <w:rsid w:val="00306774"/>
    <w:rsid w:val="00306932"/>
    <w:rsid w:val="00306EFA"/>
    <w:rsid w:val="0030717C"/>
    <w:rsid w:val="00312000"/>
    <w:rsid w:val="00320181"/>
    <w:rsid w:val="0032080E"/>
    <w:rsid w:val="00323877"/>
    <w:rsid w:val="00323E03"/>
    <w:rsid w:val="003318A3"/>
    <w:rsid w:val="0033191D"/>
    <w:rsid w:val="00331C3E"/>
    <w:rsid w:val="00331E74"/>
    <w:rsid w:val="00341215"/>
    <w:rsid w:val="00344B95"/>
    <w:rsid w:val="00347270"/>
    <w:rsid w:val="00350683"/>
    <w:rsid w:val="00350CDA"/>
    <w:rsid w:val="0035269F"/>
    <w:rsid w:val="0036283E"/>
    <w:rsid w:val="00364099"/>
    <w:rsid w:val="00374A71"/>
    <w:rsid w:val="00387479"/>
    <w:rsid w:val="0039097A"/>
    <w:rsid w:val="003A010E"/>
    <w:rsid w:val="003A1264"/>
    <w:rsid w:val="003A1903"/>
    <w:rsid w:val="003B2BC5"/>
    <w:rsid w:val="003B3AEB"/>
    <w:rsid w:val="003C7A77"/>
    <w:rsid w:val="003D0F2F"/>
    <w:rsid w:val="003D2D92"/>
    <w:rsid w:val="003E3835"/>
    <w:rsid w:val="003E56B4"/>
    <w:rsid w:val="003E667B"/>
    <w:rsid w:val="003E7C2B"/>
    <w:rsid w:val="003F0A6B"/>
    <w:rsid w:val="003F133D"/>
    <w:rsid w:val="003F2D93"/>
    <w:rsid w:val="003F3937"/>
    <w:rsid w:val="003F6DF9"/>
    <w:rsid w:val="0040031D"/>
    <w:rsid w:val="00402EDC"/>
    <w:rsid w:val="00410E86"/>
    <w:rsid w:val="00410F0A"/>
    <w:rsid w:val="0041472D"/>
    <w:rsid w:val="00415C4F"/>
    <w:rsid w:val="00416C0A"/>
    <w:rsid w:val="004271E7"/>
    <w:rsid w:val="00427E8F"/>
    <w:rsid w:val="004356BB"/>
    <w:rsid w:val="00437061"/>
    <w:rsid w:val="00441B0C"/>
    <w:rsid w:val="00446547"/>
    <w:rsid w:val="00456A81"/>
    <w:rsid w:val="004628DA"/>
    <w:rsid w:val="004639CE"/>
    <w:rsid w:val="00463A2F"/>
    <w:rsid w:val="00467F29"/>
    <w:rsid w:val="004727E9"/>
    <w:rsid w:val="00481251"/>
    <w:rsid w:val="004849B7"/>
    <w:rsid w:val="00491F7D"/>
    <w:rsid w:val="004953B7"/>
    <w:rsid w:val="00496247"/>
    <w:rsid w:val="004B2146"/>
    <w:rsid w:val="004B266C"/>
    <w:rsid w:val="004B69E8"/>
    <w:rsid w:val="004B7044"/>
    <w:rsid w:val="004B7800"/>
    <w:rsid w:val="004C2255"/>
    <w:rsid w:val="004C265D"/>
    <w:rsid w:val="004D4949"/>
    <w:rsid w:val="004E2951"/>
    <w:rsid w:val="004F0B6D"/>
    <w:rsid w:val="004F1B7D"/>
    <w:rsid w:val="004F39D9"/>
    <w:rsid w:val="0050140C"/>
    <w:rsid w:val="005038D5"/>
    <w:rsid w:val="00510E05"/>
    <w:rsid w:val="00511C79"/>
    <w:rsid w:val="00513297"/>
    <w:rsid w:val="005147E9"/>
    <w:rsid w:val="00515AD3"/>
    <w:rsid w:val="00516189"/>
    <w:rsid w:val="00521B04"/>
    <w:rsid w:val="00525CAD"/>
    <w:rsid w:val="0052700D"/>
    <w:rsid w:val="005309EB"/>
    <w:rsid w:val="0053169B"/>
    <w:rsid w:val="00531F80"/>
    <w:rsid w:val="0053496B"/>
    <w:rsid w:val="005363DD"/>
    <w:rsid w:val="00541C5B"/>
    <w:rsid w:val="005442C3"/>
    <w:rsid w:val="0054626A"/>
    <w:rsid w:val="00546E36"/>
    <w:rsid w:val="00547ECA"/>
    <w:rsid w:val="00550D9E"/>
    <w:rsid w:val="005572ED"/>
    <w:rsid w:val="005627A6"/>
    <w:rsid w:val="00563632"/>
    <w:rsid w:val="005706A6"/>
    <w:rsid w:val="005708A7"/>
    <w:rsid w:val="00572760"/>
    <w:rsid w:val="00572BD3"/>
    <w:rsid w:val="0057312B"/>
    <w:rsid w:val="0057420A"/>
    <w:rsid w:val="00583524"/>
    <w:rsid w:val="00590A7F"/>
    <w:rsid w:val="00594D45"/>
    <w:rsid w:val="005A10C4"/>
    <w:rsid w:val="005B1BE8"/>
    <w:rsid w:val="005B6C76"/>
    <w:rsid w:val="005C0379"/>
    <w:rsid w:val="005C09AF"/>
    <w:rsid w:val="005C4C36"/>
    <w:rsid w:val="005C6036"/>
    <w:rsid w:val="005C7CB0"/>
    <w:rsid w:val="005D085A"/>
    <w:rsid w:val="005D1176"/>
    <w:rsid w:val="005D2D76"/>
    <w:rsid w:val="005D65B4"/>
    <w:rsid w:val="005D7123"/>
    <w:rsid w:val="005E06D8"/>
    <w:rsid w:val="005E0CFD"/>
    <w:rsid w:val="005E48DD"/>
    <w:rsid w:val="005E7018"/>
    <w:rsid w:val="005F06AB"/>
    <w:rsid w:val="005F164C"/>
    <w:rsid w:val="005F32C5"/>
    <w:rsid w:val="005F35CE"/>
    <w:rsid w:val="005F35D2"/>
    <w:rsid w:val="005F52F8"/>
    <w:rsid w:val="005F5EC4"/>
    <w:rsid w:val="005F5FE2"/>
    <w:rsid w:val="005F6D4D"/>
    <w:rsid w:val="005F74CF"/>
    <w:rsid w:val="00602725"/>
    <w:rsid w:val="00602BB4"/>
    <w:rsid w:val="00610693"/>
    <w:rsid w:val="0061765F"/>
    <w:rsid w:val="00621104"/>
    <w:rsid w:val="0062346F"/>
    <w:rsid w:val="0062363B"/>
    <w:rsid w:val="00626813"/>
    <w:rsid w:val="00627201"/>
    <w:rsid w:val="00627C50"/>
    <w:rsid w:val="00632C66"/>
    <w:rsid w:val="00633E4B"/>
    <w:rsid w:val="00637E1A"/>
    <w:rsid w:val="00642F46"/>
    <w:rsid w:val="006458C6"/>
    <w:rsid w:val="00653BBB"/>
    <w:rsid w:val="00655B2F"/>
    <w:rsid w:val="00671241"/>
    <w:rsid w:val="00674EA1"/>
    <w:rsid w:val="00675A60"/>
    <w:rsid w:val="00683341"/>
    <w:rsid w:val="00683D40"/>
    <w:rsid w:val="006845F1"/>
    <w:rsid w:val="00692956"/>
    <w:rsid w:val="0069336A"/>
    <w:rsid w:val="00693540"/>
    <w:rsid w:val="00696135"/>
    <w:rsid w:val="006A62DA"/>
    <w:rsid w:val="006B0323"/>
    <w:rsid w:val="006B0BCE"/>
    <w:rsid w:val="006B67E2"/>
    <w:rsid w:val="006C49BA"/>
    <w:rsid w:val="006C4B01"/>
    <w:rsid w:val="006C5DC5"/>
    <w:rsid w:val="006C65EA"/>
    <w:rsid w:val="006C6E9B"/>
    <w:rsid w:val="006D0253"/>
    <w:rsid w:val="006D0434"/>
    <w:rsid w:val="006D1CA1"/>
    <w:rsid w:val="006D4950"/>
    <w:rsid w:val="006D6042"/>
    <w:rsid w:val="006E1815"/>
    <w:rsid w:val="006E21E8"/>
    <w:rsid w:val="006E3845"/>
    <w:rsid w:val="006E4926"/>
    <w:rsid w:val="006E7AF9"/>
    <w:rsid w:val="006F3914"/>
    <w:rsid w:val="006F3969"/>
    <w:rsid w:val="007032DF"/>
    <w:rsid w:val="0070572C"/>
    <w:rsid w:val="00710A61"/>
    <w:rsid w:val="007173BB"/>
    <w:rsid w:val="00720E80"/>
    <w:rsid w:val="00721CB2"/>
    <w:rsid w:val="007340D0"/>
    <w:rsid w:val="00736038"/>
    <w:rsid w:val="00742255"/>
    <w:rsid w:val="0074347B"/>
    <w:rsid w:val="00745A2F"/>
    <w:rsid w:val="00746038"/>
    <w:rsid w:val="0074619F"/>
    <w:rsid w:val="00746338"/>
    <w:rsid w:val="00747433"/>
    <w:rsid w:val="00750B74"/>
    <w:rsid w:val="0075737E"/>
    <w:rsid w:val="00767C0E"/>
    <w:rsid w:val="00771D21"/>
    <w:rsid w:val="007801B6"/>
    <w:rsid w:val="007926ED"/>
    <w:rsid w:val="007927E1"/>
    <w:rsid w:val="00792F81"/>
    <w:rsid w:val="007A3244"/>
    <w:rsid w:val="007A5A98"/>
    <w:rsid w:val="007A5F59"/>
    <w:rsid w:val="007B1040"/>
    <w:rsid w:val="007B5343"/>
    <w:rsid w:val="007B7796"/>
    <w:rsid w:val="007B7949"/>
    <w:rsid w:val="007C2447"/>
    <w:rsid w:val="007C356F"/>
    <w:rsid w:val="007C558D"/>
    <w:rsid w:val="007C5AFC"/>
    <w:rsid w:val="007C5CCC"/>
    <w:rsid w:val="007C6683"/>
    <w:rsid w:val="007D695E"/>
    <w:rsid w:val="007D7166"/>
    <w:rsid w:val="007E2480"/>
    <w:rsid w:val="007F090D"/>
    <w:rsid w:val="00802451"/>
    <w:rsid w:val="0080471D"/>
    <w:rsid w:val="0080773B"/>
    <w:rsid w:val="00807BA7"/>
    <w:rsid w:val="00807BE3"/>
    <w:rsid w:val="00810A07"/>
    <w:rsid w:val="008174E2"/>
    <w:rsid w:val="00820025"/>
    <w:rsid w:val="0082062E"/>
    <w:rsid w:val="00822EFC"/>
    <w:rsid w:val="008246C5"/>
    <w:rsid w:val="00824AE7"/>
    <w:rsid w:val="00826106"/>
    <w:rsid w:val="008321FE"/>
    <w:rsid w:val="0083319C"/>
    <w:rsid w:val="008426DF"/>
    <w:rsid w:val="00847412"/>
    <w:rsid w:val="008475C0"/>
    <w:rsid w:val="00850177"/>
    <w:rsid w:val="00852D37"/>
    <w:rsid w:val="00854AAD"/>
    <w:rsid w:val="00855127"/>
    <w:rsid w:val="0085513B"/>
    <w:rsid w:val="00856263"/>
    <w:rsid w:val="00856883"/>
    <w:rsid w:val="0086051F"/>
    <w:rsid w:val="00862E66"/>
    <w:rsid w:val="00870E18"/>
    <w:rsid w:val="00871D9B"/>
    <w:rsid w:val="008760FC"/>
    <w:rsid w:val="00883C29"/>
    <w:rsid w:val="0088606E"/>
    <w:rsid w:val="00886687"/>
    <w:rsid w:val="008942DD"/>
    <w:rsid w:val="00895498"/>
    <w:rsid w:val="00896102"/>
    <w:rsid w:val="00897C30"/>
    <w:rsid w:val="00897D40"/>
    <w:rsid w:val="008A2A7D"/>
    <w:rsid w:val="008A5934"/>
    <w:rsid w:val="008A5ADF"/>
    <w:rsid w:val="008B601D"/>
    <w:rsid w:val="008B7568"/>
    <w:rsid w:val="008B7EF7"/>
    <w:rsid w:val="008C0484"/>
    <w:rsid w:val="008C05A2"/>
    <w:rsid w:val="008C15F9"/>
    <w:rsid w:val="008C1E02"/>
    <w:rsid w:val="008C3543"/>
    <w:rsid w:val="008C56DE"/>
    <w:rsid w:val="008C7615"/>
    <w:rsid w:val="008C7B77"/>
    <w:rsid w:val="008D1DB3"/>
    <w:rsid w:val="008D477E"/>
    <w:rsid w:val="008D549A"/>
    <w:rsid w:val="008D5D9F"/>
    <w:rsid w:val="008E0B3B"/>
    <w:rsid w:val="008E3C08"/>
    <w:rsid w:val="008E4E20"/>
    <w:rsid w:val="008E6127"/>
    <w:rsid w:val="008F0DDF"/>
    <w:rsid w:val="009005D9"/>
    <w:rsid w:val="00903490"/>
    <w:rsid w:val="00905374"/>
    <w:rsid w:val="009064EB"/>
    <w:rsid w:val="00907484"/>
    <w:rsid w:val="009107C2"/>
    <w:rsid w:val="009160E4"/>
    <w:rsid w:val="00924FD5"/>
    <w:rsid w:val="00926A47"/>
    <w:rsid w:val="00930A80"/>
    <w:rsid w:val="00933CB6"/>
    <w:rsid w:val="009365DC"/>
    <w:rsid w:val="009367AD"/>
    <w:rsid w:val="0094095E"/>
    <w:rsid w:val="00940CE0"/>
    <w:rsid w:val="00942D24"/>
    <w:rsid w:val="00943A6F"/>
    <w:rsid w:val="0094449E"/>
    <w:rsid w:val="00951499"/>
    <w:rsid w:val="00952099"/>
    <w:rsid w:val="00953A03"/>
    <w:rsid w:val="00953A8A"/>
    <w:rsid w:val="0095423D"/>
    <w:rsid w:val="0095703D"/>
    <w:rsid w:val="00960F7D"/>
    <w:rsid w:val="009613FE"/>
    <w:rsid w:val="0096190D"/>
    <w:rsid w:val="009648B2"/>
    <w:rsid w:val="00967409"/>
    <w:rsid w:val="009738D9"/>
    <w:rsid w:val="009759AE"/>
    <w:rsid w:val="00975FDD"/>
    <w:rsid w:val="009816F9"/>
    <w:rsid w:val="00982200"/>
    <w:rsid w:val="009825E1"/>
    <w:rsid w:val="0099096A"/>
    <w:rsid w:val="0099451A"/>
    <w:rsid w:val="00997BCF"/>
    <w:rsid w:val="009A0C80"/>
    <w:rsid w:val="009A2387"/>
    <w:rsid w:val="009A2A9F"/>
    <w:rsid w:val="009A51D4"/>
    <w:rsid w:val="009A6388"/>
    <w:rsid w:val="009A7747"/>
    <w:rsid w:val="009C3790"/>
    <w:rsid w:val="009C3CCD"/>
    <w:rsid w:val="009C3DEA"/>
    <w:rsid w:val="009C42D0"/>
    <w:rsid w:val="009C4893"/>
    <w:rsid w:val="009C6946"/>
    <w:rsid w:val="009D2645"/>
    <w:rsid w:val="009D44FC"/>
    <w:rsid w:val="009D64AA"/>
    <w:rsid w:val="009E36BC"/>
    <w:rsid w:val="009E45D2"/>
    <w:rsid w:val="009F3CB2"/>
    <w:rsid w:val="009F45DF"/>
    <w:rsid w:val="009F4BAA"/>
    <w:rsid w:val="009F69AC"/>
    <w:rsid w:val="00A00785"/>
    <w:rsid w:val="00A02EAF"/>
    <w:rsid w:val="00A10A91"/>
    <w:rsid w:val="00A15DDD"/>
    <w:rsid w:val="00A21C64"/>
    <w:rsid w:val="00A25727"/>
    <w:rsid w:val="00A26351"/>
    <w:rsid w:val="00A31735"/>
    <w:rsid w:val="00A36BC8"/>
    <w:rsid w:val="00A411C8"/>
    <w:rsid w:val="00A42F36"/>
    <w:rsid w:val="00A43041"/>
    <w:rsid w:val="00A43D5E"/>
    <w:rsid w:val="00A44649"/>
    <w:rsid w:val="00A459DD"/>
    <w:rsid w:val="00A578BB"/>
    <w:rsid w:val="00A61E38"/>
    <w:rsid w:val="00A62367"/>
    <w:rsid w:val="00A64D0E"/>
    <w:rsid w:val="00A66FCD"/>
    <w:rsid w:val="00A67BD5"/>
    <w:rsid w:val="00A67D24"/>
    <w:rsid w:val="00A74220"/>
    <w:rsid w:val="00A76C08"/>
    <w:rsid w:val="00A84FDD"/>
    <w:rsid w:val="00A9105D"/>
    <w:rsid w:val="00A9361A"/>
    <w:rsid w:val="00A9437D"/>
    <w:rsid w:val="00A95270"/>
    <w:rsid w:val="00AA19DE"/>
    <w:rsid w:val="00AA275E"/>
    <w:rsid w:val="00AA2999"/>
    <w:rsid w:val="00AA681D"/>
    <w:rsid w:val="00AA784F"/>
    <w:rsid w:val="00AB0656"/>
    <w:rsid w:val="00AC58BD"/>
    <w:rsid w:val="00AC5C43"/>
    <w:rsid w:val="00AC65FD"/>
    <w:rsid w:val="00AD1E6B"/>
    <w:rsid w:val="00AD6EB8"/>
    <w:rsid w:val="00AD7854"/>
    <w:rsid w:val="00AE0DC0"/>
    <w:rsid w:val="00AE18D0"/>
    <w:rsid w:val="00AE285D"/>
    <w:rsid w:val="00AE3E25"/>
    <w:rsid w:val="00AE7B51"/>
    <w:rsid w:val="00AF0139"/>
    <w:rsid w:val="00AF23E9"/>
    <w:rsid w:val="00AF3EF7"/>
    <w:rsid w:val="00AF5169"/>
    <w:rsid w:val="00AF5E15"/>
    <w:rsid w:val="00AF6165"/>
    <w:rsid w:val="00B00C74"/>
    <w:rsid w:val="00B04B9E"/>
    <w:rsid w:val="00B22BB9"/>
    <w:rsid w:val="00B27A0F"/>
    <w:rsid w:val="00B3107B"/>
    <w:rsid w:val="00B316D4"/>
    <w:rsid w:val="00B3292D"/>
    <w:rsid w:val="00B338AF"/>
    <w:rsid w:val="00B37757"/>
    <w:rsid w:val="00B406D2"/>
    <w:rsid w:val="00B41E70"/>
    <w:rsid w:val="00B45DD2"/>
    <w:rsid w:val="00B45FAC"/>
    <w:rsid w:val="00B46A24"/>
    <w:rsid w:val="00B47376"/>
    <w:rsid w:val="00B5273E"/>
    <w:rsid w:val="00B55A3F"/>
    <w:rsid w:val="00B61767"/>
    <w:rsid w:val="00B634BC"/>
    <w:rsid w:val="00B66EF3"/>
    <w:rsid w:val="00B672DD"/>
    <w:rsid w:val="00B71517"/>
    <w:rsid w:val="00B73D8A"/>
    <w:rsid w:val="00B74E6E"/>
    <w:rsid w:val="00B759DC"/>
    <w:rsid w:val="00B777DB"/>
    <w:rsid w:val="00B86605"/>
    <w:rsid w:val="00B9463E"/>
    <w:rsid w:val="00B94C44"/>
    <w:rsid w:val="00BA191A"/>
    <w:rsid w:val="00BA4475"/>
    <w:rsid w:val="00BB0FC4"/>
    <w:rsid w:val="00BB2AC7"/>
    <w:rsid w:val="00BB6453"/>
    <w:rsid w:val="00BC27F3"/>
    <w:rsid w:val="00BC46BE"/>
    <w:rsid w:val="00BC5DCE"/>
    <w:rsid w:val="00BC7ED9"/>
    <w:rsid w:val="00BD2F47"/>
    <w:rsid w:val="00BE22A5"/>
    <w:rsid w:val="00BE37CD"/>
    <w:rsid w:val="00BE4354"/>
    <w:rsid w:val="00BE4701"/>
    <w:rsid w:val="00BE4B22"/>
    <w:rsid w:val="00BE57EE"/>
    <w:rsid w:val="00BE62D2"/>
    <w:rsid w:val="00BF6B88"/>
    <w:rsid w:val="00BF6B8B"/>
    <w:rsid w:val="00BF78DA"/>
    <w:rsid w:val="00C02AF0"/>
    <w:rsid w:val="00C03042"/>
    <w:rsid w:val="00C033D6"/>
    <w:rsid w:val="00C067F2"/>
    <w:rsid w:val="00C10D35"/>
    <w:rsid w:val="00C12FF3"/>
    <w:rsid w:val="00C17571"/>
    <w:rsid w:val="00C2086D"/>
    <w:rsid w:val="00C22583"/>
    <w:rsid w:val="00C23D3A"/>
    <w:rsid w:val="00C26635"/>
    <w:rsid w:val="00C26C87"/>
    <w:rsid w:val="00C31C10"/>
    <w:rsid w:val="00C35DDF"/>
    <w:rsid w:val="00C371F4"/>
    <w:rsid w:val="00C40FEB"/>
    <w:rsid w:val="00C41CDC"/>
    <w:rsid w:val="00C41DD8"/>
    <w:rsid w:val="00C4249A"/>
    <w:rsid w:val="00C45051"/>
    <w:rsid w:val="00C45339"/>
    <w:rsid w:val="00C46491"/>
    <w:rsid w:val="00C50F29"/>
    <w:rsid w:val="00C61FF5"/>
    <w:rsid w:val="00C7566B"/>
    <w:rsid w:val="00C77D25"/>
    <w:rsid w:val="00C81C71"/>
    <w:rsid w:val="00C827D2"/>
    <w:rsid w:val="00C83AFD"/>
    <w:rsid w:val="00C87753"/>
    <w:rsid w:val="00C926AD"/>
    <w:rsid w:val="00C947EE"/>
    <w:rsid w:val="00CA39FD"/>
    <w:rsid w:val="00CA6A92"/>
    <w:rsid w:val="00CA77C7"/>
    <w:rsid w:val="00CB0692"/>
    <w:rsid w:val="00CB6260"/>
    <w:rsid w:val="00CC094B"/>
    <w:rsid w:val="00CC104C"/>
    <w:rsid w:val="00CC7FE9"/>
    <w:rsid w:val="00CD0119"/>
    <w:rsid w:val="00CD0C4F"/>
    <w:rsid w:val="00CD2143"/>
    <w:rsid w:val="00CD31EE"/>
    <w:rsid w:val="00CD3721"/>
    <w:rsid w:val="00CD408C"/>
    <w:rsid w:val="00CD5A9E"/>
    <w:rsid w:val="00CD5E58"/>
    <w:rsid w:val="00CD60B2"/>
    <w:rsid w:val="00CD62D5"/>
    <w:rsid w:val="00CE08B9"/>
    <w:rsid w:val="00CE1C94"/>
    <w:rsid w:val="00CE3161"/>
    <w:rsid w:val="00CE40DF"/>
    <w:rsid w:val="00CF19D8"/>
    <w:rsid w:val="00D024C8"/>
    <w:rsid w:val="00D0409C"/>
    <w:rsid w:val="00D05645"/>
    <w:rsid w:val="00D06202"/>
    <w:rsid w:val="00D0784F"/>
    <w:rsid w:val="00D10308"/>
    <w:rsid w:val="00D144A2"/>
    <w:rsid w:val="00D21D72"/>
    <w:rsid w:val="00D22C6A"/>
    <w:rsid w:val="00D24776"/>
    <w:rsid w:val="00D25827"/>
    <w:rsid w:val="00D275F8"/>
    <w:rsid w:val="00D27AAF"/>
    <w:rsid w:val="00D31C82"/>
    <w:rsid w:val="00D32131"/>
    <w:rsid w:val="00D32C3A"/>
    <w:rsid w:val="00D348FD"/>
    <w:rsid w:val="00D40ACE"/>
    <w:rsid w:val="00D44BFD"/>
    <w:rsid w:val="00D47C2A"/>
    <w:rsid w:val="00D51A02"/>
    <w:rsid w:val="00D548C5"/>
    <w:rsid w:val="00D60B61"/>
    <w:rsid w:val="00D752C9"/>
    <w:rsid w:val="00D76704"/>
    <w:rsid w:val="00D77A77"/>
    <w:rsid w:val="00D801F8"/>
    <w:rsid w:val="00D82197"/>
    <w:rsid w:val="00D86161"/>
    <w:rsid w:val="00D867E3"/>
    <w:rsid w:val="00D93807"/>
    <w:rsid w:val="00D945A2"/>
    <w:rsid w:val="00D97736"/>
    <w:rsid w:val="00DA02C1"/>
    <w:rsid w:val="00DA287A"/>
    <w:rsid w:val="00DB02C4"/>
    <w:rsid w:val="00DB384D"/>
    <w:rsid w:val="00DB7E20"/>
    <w:rsid w:val="00DD05F2"/>
    <w:rsid w:val="00DD1165"/>
    <w:rsid w:val="00DD205A"/>
    <w:rsid w:val="00DD354F"/>
    <w:rsid w:val="00DD4EA7"/>
    <w:rsid w:val="00DD6648"/>
    <w:rsid w:val="00DE2776"/>
    <w:rsid w:val="00DE38B1"/>
    <w:rsid w:val="00DE6350"/>
    <w:rsid w:val="00DE69C7"/>
    <w:rsid w:val="00DF02A5"/>
    <w:rsid w:val="00DF39E2"/>
    <w:rsid w:val="00E03CD0"/>
    <w:rsid w:val="00E1694E"/>
    <w:rsid w:val="00E21B1D"/>
    <w:rsid w:val="00E22155"/>
    <w:rsid w:val="00E2471E"/>
    <w:rsid w:val="00E257AA"/>
    <w:rsid w:val="00E31E66"/>
    <w:rsid w:val="00E42764"/>
    <w:rsid w:val="00E50F22"/>
    <w:rsid w:val="00E52014"/>
    <w:rsid w:val="00E54144"/>
    <w:rsid w:val="00E56A70"/>
    <w:rsid w:val="00E57618"/>
    <w:rsid w:val="00E57C7F"/>
    <w:rsid w:val="00E61107"/>
    <w:rsid w:val="00E612B7"/>
    <w:rsid w:val="00E62820"/>
    <w:rsid w:val="00E7086D"/>
    <w:rsid w:val="00E70D75"/>
    <w:rsid w:val="00E72E37"/>
    <w:rsid w:val="00E75437"/>
    <w:rsid w:val="00E762BE"/>
    <w:rsid w:val="00E822DD"/>
    <w:rsid w:val="00E851CE"/>
    <w:rsid w:val="00E86E25"/>
    <w:rsid w:val="00EA0393"/>
    <w:rsid w:val="00EA08AE"/>
    <w:rsid w:val="00EA6F18"/>
    <w:rsid w:val="00EB3CDE"/>
    <w:rsid w:val="00EC0150"/>
    <w:rsid w:val="00EC2D44"/>
    <w:rsid w:val="00EC35AE"/>
    <w:rsid w:val="00EC54BC"/>
    <w:rsid w:val="00EC60F4"/>
    <w:rsid w:val="00EC67B8"/>
    <w:rsid w:val="00ED03C6"/>
    <w:rsid w:val="00ED03D7"/>
    <w:rsid w:val="00ED40AB"/>
    <w:rsid w:val="00ED4543"/>
    <w:rsid w:val="00EE3F1D"/>
    <w:rsid w:val="00EE58C3"/>
    <w:rsid w:val="00EE6997"/>
    <w:rsid w:val="00EF35A0"/>
    <w:rsid w:val="00EF4280"/>
    <w:rsid w:val="00EF7ACF"/>
    <w:rsid w:val="00EF7D44"/>
    <w:rsid w:val="00EF7EDD"/>
    <w:rsid w:val="00F0384D"/>
    <w:rsid w:val="00F055B8"/>
    <w:rsid w:val="00F12621"/>
    <w:rsid w:val="00F14556"/>
    <w:rsid w:val="00F1624D"/>
    <w:rsid w:val="00F20D27"/>
    <w:rsid w:val="00F226C8"/>
    <w:rsid w:val="00F25686"/>
    <w:rsid w:val="00F25D1D"/>
    <w:rsid w:val="00F279E8"/>
    <w:rsid w:val="00F31B05"/>
    <w:rsid w:val="00F3345A"/>
    <w:rsid w:val="00F3637E"/>
    <w:rsid w:val="00F36B85"/>
    <w:rsid w:val="00F51474"/>
    <w:rsid w:val="00F52AB6"/>
    <w:rsid w:val="00F537EB"/>
    <w:rsid w:val="00F5464D"/>
    <w:rsid w:val="00F549A2"/>
    <w:rsid w:val="00F606A8"/>
    <w:rsid w:val="00F61947"/>
    <w:rsid w:val="00F66AC5"/>
    <w:rsid w:val="00F73C1E"/>
    <w:rsid w:val="00F76E90"/>
    <w:rsid w:val="00F801CF"/>
    <w:rsid w:val="00F81739"/>
    <w:rsid w:val="00F82BD6"/>
    <w:rsid w:val="00F82D47"/>
    <w:rsid w:val="00F85590"/>
    <w:rsid w:val="00F87018"/>
    <w:rsid w:val="00F93088"/>
    <w:rsid w:val="00F971D2"/>
    <w:rsid w:val="00FA1C78"/>
    <w:rsid w:val="00FB1B56"/>
    <w:rsid w:val="00FB1E10"/>
    <w:rsid w:val="00FB2071"/>
    <w:rsid w:val="00FB6DAA"/>
    <w:rsid w:val="00FC147F"/>
    <w:rsid w:val="00FC4BF2"/>
    <w:rsid w:val="00FD3E88"/>
    <w:rsid w:val="00FD45C2"/>
    <w:rsid w:val="00FF0E1A"/>
    <w:rsid w:val="00FF2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10"/>
    <w:link w:val="6"/>
    <w:qFormat/>
    <w:uiPriority w:val="99"/>
    <w:rPr>
      <w:rFonts w:asciiTheme="minorHAnsi" w:hAnsiTheme="minorHAnsi" w:eastAsiaTheme="minorEastAsia" w:cstheme="minorBidi"/>
      <w:kern w:val="2"/>
      <w:sz w:val="18"/>
      <w:szCs w:val="18"/>
    </w:rPr>
  </w:style>
  <w:style w:type="character" w:customStyle="1" w:styleId="14">
    <w:name w:val="页脚 Char"/>
    <w:basedOn w:val="10"/>
    <w:link w:val="5"/>
    <w:qFormat/>
    <w:uiPriority w:val="99"/>
    <w:rPr>
      <w:rFonts w:asciiTheme="minorHAnsi" w:hAnsiTheme="minorHAnsi" w:eastAsiaTheme="minorEastAsia" w:cstheme="minorBidi"/>
      <w:kern w:val="2"/>
      <w:sz w:val="18"/>
      <w:szCs w:val="18"/>
    </w:r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638452-BB0C-456E-8316-4575E8150C4F}">
  <ds:schemaRefs/>
</ds:datastoreItem>
</file>

<file path=docProps/app.xml><?xml version="1.0" encoding="utf-8"?>
<Properties xmlns="http://schemas.openxmlformats.org/officeDocument/2006/extended-properties" xmlns:vt="http://schemas.openxmlformats.org/officeDocument/2006/docPropsVTypes">
  <Template>Normal</Template>
  <Pages>9</Pages>
  <Words>830</Words>
  <Characters>4737</Characters>
  <Lines>39</Lines>
  <Paragraphs>11</Paragraphs>
  <TotalTime>1978</TotalTime>
  <ScaleCrop>false</ScaleCrop>
  <LinksUpToDate>false</LinksUpToDate>
  <CharactersWithSpaces>5556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2024-04-05T05:38:00Z</dcterms:created>
  <dc:creator>Dumpling</dc:creator>
  <cp:lastModifiedBy>Administrator</cp:lastModifiedBy>
  <cp:lastPrinted>2025-03-12T07:52:00Z</cp:lastPrinted>
  <dcterms:modified xsi:type="dcterms:W3CDTF">2025-03-20T02:43:46Z</dcterms:modified>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ies>
</file>