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D11726" w14:textId="77777777" w:rsidR="006C1BE6" w:rsidRPr="00340638" w:rsidRDefault="006C1BE6">
      <w:pPr>
        <w:adjustRightInd w:val="0"/>
        <w:snapToGrid w:val="0"/>
        <w:ind w:right="-156" w:hanging="180"/>
        <w:jc w:val="center"/>
        <w:rPr>
          <w:rFonts w:ascii="公文小标宋简" w:eastAsiaTheme="minorEastAsia" w:hint="eastAsia"/>
          <w:b/>
          <w:bCs/>
          <w:smallCaps/>
          <w:snapToGrid w:val="0"/>
          <w:color w:val="FF0000"/>
          <w:spacing w:val="56"/>
          <w:kern w:val="0"/>
          <w:sz w:val="72"/>
          <w:szCs w:val="72"/>
        </w:rPr>
      </w:pPr>
      <w:bookmarkStart w:id="0" w:name="_GoBack"/>
      <w:bookmarkEnd w:id="0"/>
    </w:p>
    <w:p w14:paraId="20CD6A09" w14:textId="77777777" w:rsidR="006C1BE6" w:rsidRDefault="006D2D34">
      <w:pPr>
        <w:wordWrap w:val="0"/>
        <w:adjustRightInd w:val="0"/>
        <w:snapToGrid w:val="0"/>
        <w:spacing w:line="600" w:lineRule="exact"/>
        <w:ind w:firstLineChars="200" w:firstLine="420"/>
        <w:rPr>
          <w:rFonts w:ascii="仿宋_GB2312"/>
        </w:rPr>
      </w:pPr>
      <w:r>
        <w:rPr>
          <w:rFonts w:ascii="仿宋_GB2312" w:hint="eastAsia"/>
        </w:rPr>
        <w:t xml:space="preserve">                                       </w:t>
      </w:r>
      <w:r>
        <w:rPr>
          <w:rFonts w:ascii="仿宋_GB2312" w:eastAsia="仿宋_GB2312" w:hint="eastAsia"/>
          <w:sz w:val="32"/>
          <w:szCs w:val="32"/>
        </w:rPr>
        <w:t>穗环管影（番）〔</w:t>
      </w:r>
      <w:r>
        <w:rPr>
          <w:rFonts w:ascii="仿宋_GB2312" w:eastAsia="仿宋_GB2312" w:hint="eastAsia"/>
          <w:sz w:val="32"/>
          <w:szCs w:val="32"/>
        </w:rPr>
        <w:t>2025</w:t>
      </w:r>
      <w:r>
        <w:rPr>
          <w:rFonts w:ascii="仿宋_GB2312" w:eastAsia="仿宋_GB2312" w:hint="eastAsia"/>
          <w:sz w:val="32"/>
          <w:szCs w:val="32"/>
        </w:rPr>
        <w:t>〕</w:t>
      </w:r>
      <w:r>
        <w:rPr>
          <w:rFonts w:ascii="仿宋_GB2312" w:eastAsia="仿宋_GB2312" w:hint="eastAsia"/>
          <w:sz w:val="32"/>
          <w:szCs w:val="32"/>
        </w:rPr>
        <w:t>30</w:t>
      </w:r>
      <w:r>
        <w:rPr>
          <w:rFonts w:ascii="仿宋_GB2312" w:eastAsia="仿宋_GB2312" w:hint="eastAsia"/>
          <w:sz w:val="32"/>
          <w:szCs w:val="32"/>
        </w:rPr>
        <w:t>号</w:t>
      </w:r>
    </w:p>
    <w:p w14:paraId="07766E6A" w14:textId="77777777" w:rsidR="006C1BE6" w:rsidRDefault="006C1BE6">
      <w:pPr>
        <w:rPr>
          <w:rFonts w:ascii="黑体" w:eastAsia="黑体"/>
        </w:rPr>
      </w:pPr>
    </w:p>
    <w:p w14:paraId="158030A1" w14:textId="77777777" w:rsidR="006C1BE6" w:rsidRDefault="006C1BE6">
      <w:pPr>
        <w:adjustRightInd w:val="0"/>
        <w:snapToGrid w:val="0"/>
        <w:spacing w:line="600" w:lineRule="exact"/>
        <w:rPr>
          <w:rFonts w:ascii="仿宋_GB2312"/>
        </w:rPr>
      </w:pPr>
    </w:p>
    <w:p w14:paraId="38C238EA" w14:textId="77777777" w:rsidR="006C1BE6" w:rsidRDefault="006D2D34">
      <w:pPr>
        <w:spacing w:line="560" w:lineRule="exact"/>
        <w:jc w:val="center"/>
        <w:rPr>
          <w:rFonts w:ascii="方正小标宋简体" w:eastAsia="方正小标宋简体" w:hAnsi="方正小标宋简体" w:cs="方正小标宋简体"/>
          <w:color w:val="000000" w:themeColor="text1"/>
          <w:sz w:val="44"/>
          <w:szCs w:val="44"/>
          <w:lang w:bidi="ar"/>
        </w:rPr>
      </w:pPr>
      <w:r>
        <w:rPr>
          <w:rFonts w:ascii="方正小标宋简体" w:eastAsia="方正小标宋简体" w:hAnsi="方正小标宋简体" w:cs="方正小标宋简体" w:hint="eastAsia"/>
          <w:color w:val="000000" w:themeColor="text1"/>
          <w:sz w:val="44"/>
          <w:szCs w:val="44"/>
          <w:lang w:bidi="ar"/>
        </w:rPr>
        <w:t>广州市生态环境局关于广东奥莱敏控技术</w:t>
      </w:r>
    </w:p>
    <w:p w14:paraId="5FECBCA0" w14:textId="77777777" w:rsidR="006C1BE6" w:rsidRDefault="006D2D34">
      <w:pPr>
        <w:spacing w:line="560" w:lineRule="exact"/>
        <w:jc w:val="center"/>
        <w:rPr>
          <w:rFonts w:ascii="方正小标宋简体" w:eastAsia="方正小标宋简体" w:hAnsi="方正小标宋简体" w:cs="方正小标宋简体"/>
          <w:color w:val="000000" w:themeColor="text1"/>
          <w:sz w:val="44"/>
          <w:szCs w:val="44"/>
          <w:lang w:bidi="ar"/>
        </w:rPr>
      </w:pPr>
      <w:r>
        <w:rPr>
          <w:rFonts w:ascii="方正小标宋简体" w:eastAsia="方正小标宋简体" w:hAnsi="方正小标宋简体" w:cs="方正小标宋简体" w:hint="eastAsia"/>
          <w:color w:val="000000" w:themeColor="text1"/>
          <w:sz w:val="44"/>
          <w:szCs w:val="44"/>
          <w:lang w:bidi="ar"/>
        </w:rPr>
        <w:t>有限公司年产</w:t>
      </w:r>
      <w:r>
        <w:rPr>
          <w:rFonts w:ascii="方正小标宋简体" w:eastAsia="方正小标宋简体" w:hAnsi="方正小标宋简体" w:cs="方正小标宋简体" w:hint="eastAsia"/>
          <w:color w:val="000000" w:themeColor="text1"/>
          <w:sz w:val="44"/>
          <w:szCs w:val="44"/>
          <w:lang w:bidi="ar"/>
        </w:rPr>
        <w:t>300</w:t>
      </w:r>
      <w:r>
        <w:rPr>
          <w:rFonts w:ascii="方正小标宋简体" w:eastAsia="方正小标宋简体" w:hAnsi="方正小标宋简体" w:cs="方正小标宋简体" w:hint="eastAsia"/>
          <w:color w:val="000000" w:themeColor="text1"/>
          <w:sz w:val="44"/>
          <w:szCs w:val="44"/>
          <w:lang w:bidi="ar"/>
        </w:rPr>
        <w:t>万件灯具开关</w:t>
      </w:r>
    </w:p>
    <w:p w14:paraId="55B8F198" w14:textId="77777777" w:rsidR="006C1BE6" w:rsidRDefault="006D2D34">
      <w:pPr>
        <w:spacing w:line="560" w:lineRule="exact"/>
        <w:jc w:val="center"/>
        <w:rPr>
          <w:rFonts w:ascii="方正小标宋简体" w:eastAsia="方正小标宋简体" w:hAnsi="方正小标宋简体" w:cs="方正小标宋简体"/>
          <w:color w:val="000000" w:themeColor="text1"/>
          <w:sz w:val="44"/>
          <w:szCs w:val="44"/>
        </w:rPr>
      </w:pPr>
      <w:r>
        <w:rPr>
          <w:rFonts w:ascii="方正小标宋简体" w:eastAsia="方正小标宋简体" w:hAnsi="方正小标宋简体" w:cs="方正小标宋简体" w:hint="eastAsia"/>
          <w:color w:val="000000" w:themeColor="text1"/>
          <w:sz w:val="44"/>
          <w:szCs w:val="44"/>
          <w:lang w:bidi="ar"/>
        </w:rPr>
        <w:t>建设项目环境影响报告表的批复</w:t>
      </w:r>
    </w:p>
    <w:p w14:paraId="536BB94E" w14:textId="77777777" w:rsidR="006C1BE6" w:rsidRDefault="006C1BE6">
      <w:pPr>
        <w:rPr>
          <w:rFonts w:ascii="方正小标宋_GBK" w:eastAsia="方正小标宋_GBK"/>
          <w:sz w:val="44"/>
          <w:szCs w:val="44"/>
        </w:rPr>
      </w:pPr>
    </w:p>
    <w:p w14:paraId="26ABEF36" w14:textId="77777777" w:rsidR="006C1BE6" w:rsidRDefault="006D2D34">
      <w:pPr>
        <w:spacing w:line="560" w:lineRule="exact"/>
        <w:rPr>
          <w:rFonts w:ascii="仿宋_GB2312" w:eastAsia="仿宋_GB2312"/>
          <w:color w:val="000000" w:themeColor="text1"/>
          <w:sz w:val="32"/>
          <w:szCs w:val="32"/>
        </w:rPr>
      </w:pPr>
      <w:r>
        <w:rPr>
          <w:rFonts w:ascii="仿宋_GB2312" w:eastAsia="仿宋_GB2312" w:hint="eastAsia"/>
          <w:color w:val="000000" w:themeColor="text1"/>
          <w:sz w:val="32"/>
          <w:szCs w:val="32"/>
        </w:rPr>
        <w:t>广东奥莱敏控技术有限公司（</w:t>
      </w:r>
      <w:r>
        <w:rPr>
          <w:rFonts w:ascii="仿宋_GB2312" w:eastAsia="仿宋_GB2312"/>
          <w:color w:val="000000" w:themeColor="text1"/>
          <w:sz w:val="32"/>
          <w:szCs w:val="32"/>
        </w:rPr>
        <w:t>91440101MA9UNGXF2B</w:t>
      </w:r>
      <w:r>
        <w:rPr>
          <w:rFonts w:ascii="仿宋_GB2312" w:eastAsia="仿宋_GB2312" w:hint="eastAsia"/>
          <w:color w:val="000000" w:themeColor="text1"/>
          <w:sz w:val="32"/>
          <w:szCs w:val="32"/>
        </w:rPr>
        <w:t>）：</w:t>
      </w:r>
    </w:p>
    <w:p w14:paraId="0D59299D" w14:textId="77777777" w:rsidR="006C1BE6" w:rsidRDefault="006D2D34">
      <w:pPr>
        <w:spacing w:line="560" w:lineRule="exact"/>
        <w:ind w:firstLineChars="200" w:firstLine="640"/>
        <w:rPr>
          <w:rFonts w:ascii="仿宋_GB2312" w:eastAsia="仿宋_GB2312"/>
          <w:sz w:val="32"/>
          <w:szCs w:val="32"/>
        </w:rPr>
      </w:pPr>
      <w:r>
        <w:rPr>
          <w:rFonts w:ascii="仿宋_GB2312" w:eastAsia="仿宋_GB2312" w:hint="eastAsia"/>
          <w:sz w:val="32"/>
          <w:szCs w:val="32"/>
        </w:rPr>
        <w:t>你单位报送的《</w:t>
      </w:r>
      <w:r>
        <w:rPr>
          <w:rFonts w:ascii="仿宋_GB2312" w:eastAsia="仿宋_GB2312" w:hint="eastAsia"/>
          <w:color w:val="000000" w:themeColor="text1"/>
          <w:sz w:val="32"/>
          <w:szCs w:val="32"/>
        </w:rPr>
        <w:t>广东奥莱敏控技术有限公司年产</w:t>
      </w:r>
      <w:r>
        <w:rPr>
          <w:rFonts w:ascii="仿宋_GB2312" w:eastAsia="仿宋_GB2312" w:hint="eastAsia"/>
          <w:color w:val="000000" w:themeColor="text1"/>
          <w:sz w:val="32"/>
          <w:szCs w:val="32"/>
        </w:rPr>
        <w:t>300</w:t>
      </w:r>
      <w:r>
        <w:rPr>
          <w:rFonts w:ascii="仿宋_GB2312" w:eastAsia="仿宋_GB2312" w:hint="eastAsia"/>
          <w:color w:val="000000" w:themeColor="text1"/>
          <w:sz w:val="32"/>
          <w:szCs w:val="32"/>
        </w:rPr>
        <w:t>万件灯具开关建设项目</w:t>
      </w:r>
      <w:r>
        <w:rPr>
          <w:rFonts w:ascii="仿宋_GB2312" w:eastAsia="仿宋_GB2312" w:hint="eastAsia"/>
          <w:sz w:val="32"/>
          <w:szCs w:val="32"/>
        </w:rPr>
        <w:t>环境影响报告表》（以下简称《报告表》）及附送资料收悉。经研究，现批复如下：</w:t>
      </w:r>
    </w:p>
    <w:p w14:paraId="134A7677" w14:textId="77777777" w:rsidR="006C1BE6" w:rsidRDefault="006D2D34">
      <w:pPr>
        <w:spacing w:line="560" w:lineRule="exact"/>
        <w:ind w:firstLineChars="200" w:firstLine="640"/>
        <w:rPr>
          <w:rFonts w:ascii="仿宋_GB2312" w:eastAsia="仿宋_GB2312"/>
          <w:sz w:val="32"/>
          <w:szCs w:val="32"/>
        </w:rPr>
      </w:pPr>
      <w:r>
        <w:rPr>
          <w:rFonts w:ascii="仿宋_GB2312" w:eastAsia="仿宋_GB2312" w:hint="eastAsia"/>
          <w:sz w:val="32"/>
          <w:szCs w:val="32"/>
        </w:rPr>
        <w:t>一、</w:t>
      </w:r>
      <w:r>
        <w:rPr>
          <w:rFonts w:ascii="仿宋_GB2312" w:eastAsia="仿宋_GB2312" w:hint="eastAsia"/>
          <w:color w:val="000000" w:themeColor="text1"/>
          <w:sz w:val="32"/>
          <w:szCs w:val="32"/>
        </w:rPr>
        <w:t>广东奥莱敏控技术有限公司年产</w:t>
      </w:r>
      <w:r>
        <w:rPr>
          <w:rFonts w:ascii="仿宋_GB2312" w:eastAsia="仿宋_GB2312" w:hint="eastAsia"/>
          <w:color w:val="000000" w:themeColor="text1"/>
          <w:sz w:val="32"/>
          <w:szCs w:val="32"/>
        </w:rPr>
        <w:t>300</w:t>
      </w:r>
      <w:r>
        <w:rPr>
          <w:rFonts w:ascii="仿宋_GB2312" w:eastAsia="仿宋_GB2312" w:hint="eastAsia"/>
          <w:color w:val="000000" w:themeColor="text1"/>
          <w:sz w:val="32"/>
          <w:szCs w:val="32"/>
        </w:rPr>
        <w:t>万件灯具开关建设项目</w:t>
      </w:r>
      <w:r>
        <w:rPr>
          <w:rFonts w:ascii="仿宋_GB2312" w:eastAsia="仿宋_GB2312" w:hint="eastAsia"/>
          <w:sz w:val="32"/>
          <w:szCs w:val="32"/>
        </w:rPr>
        <w:t>（以下简称“该项目”）位于广州市</w:t>
      </w:r>
      <w:proofErr w:type="gramStart"/>
      <w:r>
        <w:rPr>
          <w:rFonts w:ascii="仿宋_GB2312" w:eastAsia="仿宋_GB2312" w:hint="eastAsia"/>
          <w:sz w:val="32"/>
          <w:szCs w:val="32"/>
        </w:rPr>
        <w:t>番禺区</w:t>
      </w:r>
      <w:proofErr w:type="gramEnd"/>
      <w:r>
        <w:rPr>
          <w:rFonts w:ascii="仿宋_GB2312" w:eastAsia="仿宋_GB2312" w:hint="eastAsia"/>
          <w:sz w:val="32"/>
          <w:szCs w:val="32"/>
        </w:rPr>
        <w:t>化龙</w:t>
      </w:r>
      <w:proofErr w:type="gramStart"/>
      <w:r>
        <w:rPr>
          <w:rFonts w:ascii="仿宋_GB2312" w:eastAsia="仿宋_GB2312" w:hint="eastAsia"/>
          <w:sz w:val="32"/>
          <w:szCs w:val="32"/>
        </w:rPr>
        <w:t>镇金盛一路</w:t>
      </w:r>
      <w:proofErr w:type="gramEnd"/>
      <w:r>
        <w:rPr>
          <w:rFonts w:ascii="仿宋_GB2312" w:eastAsia="仿宋_GB2312" w:hint="eastAsia"/>
          <w:sz w:val="32"/>
          <w:szCs w:val="32"/>
        </w:rPr>
        <w:t>1</w:t>
      </w:r>
      <w:r>
        <w:rPr>
          <w:rFonts w:ascii="仿宋_GB2312" w:eastAsia="仿宋_GB2312" w:hint="eastAsia"/>
          <w:sz w:val="32"/>
          <w:szCs w:val="32"/>
        </w:rPr>
        <w:t>号，申报内容为从事灯具开关的生产，年产量</w:t>
      </w:r>
      <w:r>
        <w:rPr>
          <w:rFonts w:ascii="仿宋_GB2312" w:eastAsia="仿宋_GB2312" w:hint="eastAsia"/>
          <w:sz w:val="32"/>
          <w:szCs w:val="32"/>
        </w:rPr>
        <w:t>300</w:t>
      </w:r>
      <w:r>
        <w:rPr>
          <w:rFonts w:ascii="仿宋_GB2312" w:eastAsia="仿宋_GB2312" w:hint="eastAsia"/>
          <w:sz w:val="32"/>
          <w:szCs w:val="32"/>
        </w:rPr>
        <w:t>万件。该项目占地面积</w:t>
      </w:r>
      <w:r>
        <w:rPr>
          <w:rFonts w:ascii="仿宋_GB2312" w:eastAsia="仿宋_GB2312"/>
          <w:sz w:val="32"/>
          <w:szCs w:val="32"/>
        </w:rPr>
        <w:t>2827.8</w:t>
      </w:r>
      <w:r>
        <w:rPr>
          <w:rFonts w:ascii="仿宋_GB2312" w:eastAsia="仿宋_GB2312" w:hint="eastAsia"/>
          <w:sz w:val="32"/>
          <w:szCs w:val="32"/>
        </w:rPr>
        <w:t>平方米，总建筑面积</w:t>
      </w:r>
      <w:r>
        <w:rPr>
          <w:rFonts w:ascii="仿宋_GB2312" w:eastAsia="仿宋_GB2312"/>
          <w:sz w:val="32"/>
          <w:szCs w:val="32"/>
        </w:rPr>
        <w:t>6967.54</w:t>
      </w:r>
      <w:r>
        <w:rPr>
          <w:rFonts w:ascii="仿宋_GB2312" w:eastAsia="仿宋_GB2312" w:hint="eastAsia"/>
          <w:sz w:val="32"/>
          <w:szCs w:val="32"/>
        </w:rPr>
        <w:t>平方米，租用</w:t>
      </w:r>
      <w:r>
        <w:rPr>
          <w:rFonts w:ascii="仿宋_GB2312" w:eastAsia="仿宋_GB2312" w:hint="eastAsia"/>
          <w:sz w:val="32"/>
          <w:szCs w:val="32"/>
        </w:rPr>
        <w:t>1</w:t>
      </w:r>
      <w:r>
        <w:rPr>
          <w:rFonts w:ascii="仿宋_GB2312" w:eastAsia="仿宋_GB2312" w:hint="eastAsia"/>
          <w:sz w:val="32"/>
          <w:szCs w:val="32"/>
        </w:rPr>
        <w:t>栋</w:t>
      </w:r>
      <w:r>
        <w:rPr>
          <w:rFonts w:ascii="仿宋_GB2312" w:eastAsia="仿宋_GB2312" w:hint="eastAsia"/>
          <w:sz w:val="32"/>
          <w:szCs w:val="32"/>
        </w:rPr>
        <w:t>3</w:t>
      </w:r>
      <w:r>
        <w:rPr>
          <w:rFonts w:ascii="仿宋_GB2312" w:eastAsia="仿宋_GB2312" w:hint="eastAsia"/>
          <w:sz w:val="32"/>
          <w:szCs w:val="32"/>
        </w:rPr>
        <w:t>层厂房的整栋、</w:t>
      </w:r>
      <w:r>
        <w:rPr>
          <w:rFonts w:ascii="仿宋_GB2312" w:eastAsia="仿宋_GB2312" w:hint="eastAsia"/>
          <w:sz w:val="32"/>
          <w:szCs w:val="32"/>
        </w:rPr>
        <w:t>1</w:t>
      </w:r>
      <w:r>
        <w:rPr>
          <w:rFonts w:ascii="仿宋_GB2312" w:eastAsia="仿宋_GB2312" w:hint="eastAsia"/>
          <w:sz w:val="32"/>
          <w:szCs w:val="32"/>
        </w:rPr>
        <w:t>栋</w:t>
      </w:r>
      <w:r>
        <w:rPr>
          <w:rFonts w:ascii="仿宋_GB2312" w:eastAsia="仿宋_GB2312" w:hint="eastAsia"/>
          <w:sz w:val="32"/>
          <w:szCs w:val="32"/>
        </w:rPr>
        <w:t>3</w:t>
      </w:r>
      <w:r>
        <w:rPr>
          <w:rFonts w:ascii="仿宋_GB2312" w:eastAsia="仿宋_GB2312" w:hint="eastAsia"/>
          <w:sz w:val="32"/>
          <w:szCs w:val="32"/>
        </w:rPr>
        <w:t>层厂房的第一、二层和</w:t>
      </w:r>
      <w:r>
        <w:rPr>
          <w:rFonts w:ascii="仿宋_GB2312" w:eastAsia="仿宋_GB2312" w:hint="eastAsia"/>
          <w:sz w:val="32"/>
          <w:szCs w:val="32"/>
        </w:rPr>
        <w:t>1</w:t>
      </w:r>
      <w:r>
        <w:rPr>
          <w:rFonts w:ascii="仿宋_GB2312" w:eastAsia="仿宋_GB2312" w:hint="eastAsia"/>
          <w:sz w:val="32"/>
          <w:szCs w:val="32"/>
        </w:rPr>
        <w:t>栋单层厂房的部分区域；</w:t>
      </w:r>
      <w:r>
        <w:rPr>
          <w:rFonts w:ascii="仿宋_GB2312" w:eastAsia="仿宋_GB2312" w:hint="eastAsia"/>
          <w:color w:val="000000" w:themeColor="text1"/>
          <w:sz w:val="32"/>
          <w:szCs w:val="32"/>
        </w:rPr>
        <w:t>主要设备有回流焊</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台、波峰焊</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台、点焊机</w:t>
      </w:r>
      <w:r>
        <w:rPr>
          <w:rFonts w:ascii="仿宋_GB2312" w:eastAsia="仿宋_GB2312" w:hint="eastAsia"/>
          <w:color w:val="000000" w:themeColor="text1"/>
          <w:sz w:val="32"/>
          <w:szCs w:val="32"/>
        </w:rPr>
        <w:t>5</w:t>
      </w:r>
      <w:r>
        <w:rPr>
          <w:rFonts w:ascii="仿宋_GB2312" w:eastAsia="仿宋_GB2312" w:hint="eastAsia"/>
          <w:color w:val="000000" w:themeColor="text1"/>
          <w:sz w:val="32"/>
          <w:szCs w:val="32"/>
        </w:rPr>
        <w:t>台、移印机</w:t>
      </w:r>
      <w:r>
        <w:rPr>
          <w:rFonts w:ascii="仿宋_GB2312" w:eastAsia="仿宋_GB2312" w:hint="eastAsia"/>
          <w:color w:val="000000" w:themeColor="text1"/>
          <w:sz w:val="32"/>
          <w:szCs w:val="32"/>
        </w:rPr>
        <w:t>5</w:t>
      </w:r>
      <w:r>
        <w:rPr>
          <w:rFonts w:ascii="仿宋_GB2312" w:eastAsia="仿宋_GB2312" w:hint="eastAsia"/>
          <w:color w:val="000000" w:themeColor="text1"/>
          <w:sz w:val="32"/>
          <w:szCs w:val="32"/>
        </w:rPr>
        <w:t>台、超声波焊接机</w:t>
      </w:r>
      <w:r>
        <w:rPr>
          <w:rFonts w:ascii="仿宋_GB2312" w:eastAsia="仿宋_GB2312" w:hint="eastAsia"/>
          <w:color w:val="000000" w:themeColor="text1"/>
          <w:sz w:val="32"/>
          <w:szCs w:val="32"/>
        </w:rPr>
        <w:t>6</w:t>
      </w:r>
      <w:r>
        <w:rPr>
          <w:rFonts w:ascii="仿宋_GB2312" w:eastAsia="仿宋_GB2312" w:hint="eastAsia"/>
          <w:color w:val="000000" w:themeColor="text1"/>
          <w:sz w:val="32"/>
          <w:szCs w:val="32"/>
        </w:rPr>
        <w:t>台、</w:t>
      </w:r>
      <w:proofErr w:type="gramStart"/>
      <w:r>
        <w:rPr>
          <w:rFonts w:ascii="仿宋_GB2312" w:eastAsia="仿宋_GB2312" w:hint="eastAsia"/>
          <w:color w:val="000000" w:themeColor="text1"/>
          <w:sz w:val="32"/>
          <w:szCs w:val="32"/>
        </w:rPr>
        <w:t>点胶机</w:t>
      </w:r>
      <w:proofErr w:type="gramEnd"/>
      <w:r>
        <w:rPr>
          <w:rFonts w:ascii="仿宋_GB2312" w:eastAsia="仿宋_GB2312" w:hint="eastAsia"/>
          <w:color w:val="000000" w:themeColor="text1"/>
          <w:sz w:val="32"/>
          <w:szCs w:val="32"/>
        </w:rPr>
        <w:t>5</w:t>
      </w:r>
      <w:r>
        <w:rPr>
          <w:rFonts w:ascii="仿宋_GB2312" w:eastAsia="仿宋_GB2312" w:hint="eastAsia"/>
          <w:color w:val="000000" w:themeColor="text1"/>
          <w:sz w:val="32"/>
          <w:szCs w:val="32"/>
        </w:rPr>
        <w:t>台、</w:t>
      </w:r>
      <w:proofErr w:type="gramStart"/>
      <w:r>
        <w:rPr>
          <w:rFonts w:ascii="仿宋_GB2312" w:eastAsia="仿宋_GB2312" w:hint="eastAsia"/>
          <w:color w:val="000000" w:themeColor="text1"/>
          <w:sz w:val="32"/>
          <w:szCs w:val="32"/>
        </w:rPr>
        <w:t>浸锡机</w:t>
      </w:r>
      <w:proofErr w:type="gramEnd"/>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台、空压机</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台等</w:t>
      </w:r>
      <w:r>
        <w:rPr>
          <w:rFonts w:ascii="仿宋_GB2312" w:eastAsia="仿宋_GB2312" w:hint="eastAsia"/>
          <w:sz w:val="32"/>
          <w:szCs w:val="32"/>
        </w:rPr>
        <w:t>；员工</w:t>
      </w:r>
      <w:r>
        <w:rPr>
          <w:rFonts w:ascii="仿宋_GB2312" w:eastAsia="仿宋_GB2312"/>
          <w:sz w:val="32"/>
          <w:szCs w:val="32"/>
        </w:rPr>
        <w:t>70</w:t>
      </w:r>
      <w:r>
        <w:rPr>
          <w:rFonts w:ascii="仿宋_GB2312" w:eastAsia="仿宋_GB2312" w:hint="eastAsia"/>
          <w:sz w:val="32"/>
          <w:szCs w:val="32"/>
        </w:rPr>
        <w:t>名，</w:t>
      </w:r>
      <w:r>
        <w:rPr>
          <w:rFonts w:ascii="仿宋_GB2312" w:eastAsia="仿宋_GB2312" w:hint="eastAsia"/>
          <w:color w:val="000000" w:themeColor="text1"/>
          <w:sz w:val="32"/>
          <w:szCs w:val="32"/>
        </w:rPr>
        <w:t>内部不安排食宿</w:t>
      </w:r>
      <w:r>
        <w:rPr>
          <w:rFonts w:ascii="仿宋_GB2312" w:eastAsia="仿宋_GB2312" w:hint="eastAsia"/>
          <w:sz w:val="32"/>
          <w:szCs w:val="32"/>
        </w:rPr>
        <w:t>。</w:t>
      </w:r>
    </w:p>
    <w:p w14:paraId="74DFEEC2" w14:textId="77777777" w:rsidR="006C1BE6" w:rsidRDefault="006D2D34">
      <w:pPr>
        <w:spacing w:line="560" w:lineRule="exact"/>
        <w:ind w:firstLineChars="200" w:firstLine="640"/>
        <w:rPr>
          <w:rFonts w:ascii="仿宋_GB2312" w:eastAsia="仿宋_GB2312"/>
          <w:sz w:val="32"/>
          <w:szCs w:val="32"/>
        </w:rPr>
      </w:pPr>
      <w:r>
        <w:rPr>
          <w:rFonts w:ascii="仿宋_GB2312" w:eastAsia="仿宋_GB2312" w:hint="eastAsia"/>
          <w:sz w:val="32"/>
          <w:szCs w:val="32"/>
        </w:rPr>
        <w:t>按照《报告表》的评价结论，在落实各项环境保护措施后，该项目产生的污染物及不良环境影响能够得到有效控制，从环境保护角度，在</w:t>
      </w:r>
      <w:r>
        <w:rPr>
          <w:rFonts w:ascii="仿宋_GB2312" w:eastAsia="仿宋_GB2312" w:hint="eastAsia"/>
          <w:color w:val="000000" w:themeColor="text1"/>
          <w:sz w:val="32"/>
          <w:szCs w:val="32"/>
        </w:rPr>
        <w:t>现</w:t>
      </w:r>
      <w:r>
        <w:rPr>
          <w:rFonts w:ascii="仿宋_GB2312" w:eastAsia="仿宋_GB2312" w:hint="eastAsia"/>
          <w:sz w:val="32"/>
          <w:szCs w:val="32"/>
        </w:rPr>
        <w:t>选址处建设可行。经审查，我局原则同意《报告</w:t>
      </w:r>
      <w:r>
        <w:rPr>
          <w:rFonts w:ascii="仿宋_GB2312" w:eastAsia="仿宋_GB2312" w:hint="eastAsia"/>
          <w:sz w:val="32"/>
          <w:szCs w:val="32"/>
        </w:rPr>
        <w:lastRenderedPageBreak/>
        <w:t>表》评价结论。该项目应当按照《报告表》所述性质、规模、地点、</w:t>
      </w:r>
      <w:r>
        <w:rPr>
          <w:rFonts w:ascii="仿宋_GB2312" w:eastAsia="仿宋_GB2312" w:hint="eastAsia"/>
          <w:color w:val="000000" w:themeColor="text1"/>
          <w:sz w:val="32"/>
          <w:szCs w:val="32"/>
        </w:rPr>
        <w:t>生产工艺</w:t>
      </w:r>
      <w:r>
        <w:rPr>
          <w:rFonts w:ascii="仿宋_GB2312" w:eastAsia="仿宋_GB2312" w:hint="eastAsia"/>
          <w:sz w:val="32"/>
          <w:szCs w:val="32"/>
        </w:rPr>
        <w:t>和环境保护措施进行建设。</w:t>
      </w:r>
    </w:p>
    <w:p w14:paraId="76EDEA95" w14:textId="77777777" w:rsidR="006C1BE6" w:rsidRDefault="006D2D34">
      <w:pPr>
        <w:spacing w:line="560" w:lineRule="exact"/>
        <w:ind w:firstLineChars="200" w:firstLine="640"/>
        <w:rPr>
          <w:rFonts w:ascii="仿宋_GB2312" w:eastAsia="仿宋_GB2312"/>
          <w:sz w:val="32"/>
          <w:szCs w:val="32"/>
        </w:rPr>
      </w:pPr>
      <w:r>
        <w:rPr>
          <w:rFonts w:ascii="仿宋_GB2312" w:eastAsia="仿宋_GB2312" w:hint="eastAsia"/>
          <w:sz w:val="32"/>
          <w:szCs w:val="32"/>
        </w:rPr>
        <w:t>二、该项目各类污染物排放控制要求如下：</w:t>
      </w:r>
    </w:p>
    <w:p w14:paraId="5EAF19F6" w14:textId="77777777" w:rsidR="006C1BE6" w:rsidRDefault="006D2D34">
      <w:pPr>
        <w:spacing w:line="560" w:lineRule="exact"/>
        <w:ind w:firstLineChars="200" w:firstLine="640"/>
        <w:rPr>
          <w:rFonts w:ascii="仿宋_GB2312" w:eastAsia="仿宋_GB2312"/>
          <w:sz w:val="32"/>
          <w:szCs w:val="32"/>
        </w:rPr>
      </w:pPr>
      <w:r>
        <w:rPr>
          <w:rFonts w:ascii="仿宋_GB2312" w:eastAsia="仿宋_GB2312" w:hint="eastAsia"/>
          <w:sz w:val="32"/>
          <w:szCs w:val="32"/>
        </w:rPr>
        <w:t>（一）水污染物排放执行广东省《水污染物排放限值》（</w:t>
      </w:r>
      <w:r>
        <w:rPr>
          <w:rFonts w:ascii="仿宋_GB2312" w:eastAsia="仿宋_GB2312" w:hint="eastAsia"/>
          <w:sz w:val="32"/>
          <w:szCs w:val="32"/>
        </w:rPr>
        <w:t>DB44/26-2001</w:t>
      </w:r>
      <w:r>
        <w:rPr>
          <w:rFonts w:ascii="仿宋_GB2312" w:eastAsia="仿宋_GB2312" w:hint="eastAsia"/>
          <w:sz w:val="32"/>
          <w:szCs w:val="32"/>
        </w:rPr>
        <w:t>）第二时段三级标准。生活污水排放量不超过</w:t>
      </w:r>
      <w:r>
        <w:rPr>
          <w:rFonts w:ascii="仿宋_GB2312" w:eastAsia="仿宋_GB2312" w:hint="eastAsia"/>
          <w:sz w:val="32"/>
          <w:szCs w:val="32"/>
        </w:rPr>
        <w:t>630</w:t>
      </w:r>
      <w:r>
        <w:rPr>
          <w:rFonts w:ascii="仿宋_GB2312" w:eastAsia="仿宋_GB2312" w:hint="eastAsia"/>
          <w:sz w:val="32"/>
          <w:szCs w:val="32"/>
        </w:rPr>
        <w:t>吨</w:t>
      </w:r>
      <w:r>
        <w:rPr>
          <w:rFonts w:ascii="仿宋_GB2312" w:eastAsia="仿宋_GB2312" w:hint="eastAsia"/>
          <w:sz w:val="32"/>
          <w:szCs w:val="32"/>
        </w:rPr>
        <w:t>/</w:t>
      </w:r>
      <w:r>
        <w:rPr>
          <w:rFonts w:ascii="仿宋_GB2312" w:eastAsia="仿宋_GB2312" w:hint="eastAsia"/>
          <w:sz w:val="32"/>
          <w:szCs w:val="32"/>
        </w:rPr>
        <w:t>年。</w:t>
      </w:r>
    </w:p>
    <w:p w14:paraId="6EED22CA" w14:textId="77777777" w:rsidR="006C1BE6" w:rsidRDefault="006D2D34">
      <w:pPr>
        <w:spacing w:line="560" w:lineRule="exact"/>
        <w:ind w:firstLineChars="200" w:firstLine="640"/>
        <w:rPr>
          <w:rFonts w:ascii="仿宋_GB2312" w:eastAsia="仿宋_GB2312"/>
          <w:sz w:val="32"/>
          <w:szCs w:val="32"/>
        </w:rPr>
      </w:pPr>
      <w:r>
        <w:rPr>
          <w:rFonts w:ascii="仿宋_GB2312" w:eastAsia="仿宋_GB2312" w:hint="eastAsia"/>
          <w:sz w:val="32"/>
          <w:szCs w:val="32"/>
        </w:rPr>
        <w:t>（二）非甲烷总烃有组织排放执行《合成树脂工业污染物排放标准》（</w:t>
      </w:r>
      <w:r>
        <w:rPr>
          <w:rFonts w:ascii="仿宋_GB2312" w:eastAsia="仿宋_GB2312" w:hint="eastAsia"/>
          <w:sz w:val="32"/>
          <w:szCs w:val="32"/>
        </w:rPr>
        <w:t>GB31572-2015</w:t>
      </w:r>
      <w:r>
        <w:rPr>
          <w:rFonts w:ascii="仿宋_GB2312" w:eastAsia="仿宋_GB2312" w:hint="eastAsia"/>
          <w:sz w:val="32"/>
          <w:szCs w:val="32"/>
        </w:rPr>
        <w:t>）及</w:t>
      </w:r>
      <w:r>
        <w:rPr>
          <w:rFonts w:ascii="仿宋_GB2312" w:eastAsia="仿宋_GB2312" w:hint="eastAsia"/>
          <w:sz w:val="32"/>
          <w:szCs w:val="32"/>
        </w:rPr>
        <w:t>2024</w:t>
      </w:r>
      <w:r>
        <w:rPr>
          <w:rFonts w:ascii="仿宋_GB2312" w:eastAsia="仿宋_GB2312" w:hint="eastAsia"/>
          <w:sz w:val="32"/>
          <w:szCs w:val="32"/>
        </w:rPr>
        <w:t>年修改单表</w:t>
      </w:r>
      <w:r>
        <w:rPr>
          <w:rFonts w:ascii="仿宋_GB2312" w:eastAsia="仿宋_GB2312" w:hint="eastAsia"/>
          <w:sz w:val="32"/>
          <w:szCs w:val="32"/>
        </w:rPr>
        <w:t>5</w:t>
      </w:r>
      <w:r>
        <w:rPr>
          <w:rFonts w:ascii="仿宋_GB2312" w:eastAsia="仿宋_GB2312" w:hint="eastAsia"/>
          <w:sz w:val="32"/>
          <w:szCs w:val="32"/>
        </w:rPr>
        <w:t>大气污染</w:t>
      </w:r>
      <w:proofErr w:type="gramStart"/>
      <w:r>
        <w:rPr>
          <w:rFonts w:ascii="仿宋_GB2312" w:eastAsia="仿宋_GB2312" w:hint="eastAsia"/>
          <w:sz w:val="32"/>
          <w:szCs w:val="32"/>
        </w:rPr>
        <w:t>物特别</w:t>
      </w:r>
      <w:proofErr w:type="gramEnd"/>
      <w:r>
        <w:rPr>
          <w:rFonts w:ascii="仿宋_GB2312" w:eastAsia="仿宋_GB2312" w:hint="eastAsia"/>
          <w:sz w:val="32"/>
          <w:szCs w:val="32"/>
        </w:rPr>
        <w:t>排放限值，无组织排放执行广东省《固定污染源挥发性有机物综合排放标准》（</w:t>
      </w:r>
      <w:r>
        <w:rPr>
          <w:rFonts w:ascii="仿宋_GB2312" w:eastAsia="仿宋_GB2312" w:hint="eastAsia"/>
          <w:sz w:val="32"/>
          <w:szCs w:val="32"/>
        </w:rPr>
        <w:t>DB44/2</w:t>
      </w:r>
      <w:r>
        <w:rPr>
          <w:rFonts w:ascii="仿宋_GB2312" w:eastAsia="仿宋_GB2312" w:hint="eastAsia"/>
          <w:sz w:val="32"/>
          <w:szCs w:val="32"/>
        </w:rPr>
        <w:t>367-2022</w:t>
      </w:r>
      <w:r>
        <w:rPr>
          <w:rFonts w:ascii="仿宋_GB2312" w:eastAsia="仿宋_GB2312" w:hint="eastAsia"/>
          <w:sz w:val="32"/>
          <w:szCs w:val="32"/>
        </w:rPr>
        <w:t>）表</w:t>
      </w:r>
      <w:r>
        <w:rPr>
          <w:rFonts w:ascii="仿宋_GB2312" w:eastAsia="仿宋_GB2312" w:hint="eastAsia"/>
          <w:sz w:val="32"/>
          <w:szCs w:val="32"/>
        </w:rPr>
        <w:t>3</w:t>
      </w:r>
      <w:r>
        <w:rPr>
          <w:rFonts w:ascii="仿宋_GB2312" w:eastAsia="仿宋_GB2312" w:hint="eastAsia"/>
          <w:sz w:val="32"/>
          <w:szCs w:val="32"/>
        </w:rPr>
        <w:t>厂区内</w:t>
      </w:r>
      <w:r>
        <w:rPr>
          <w:rFonts w:ascii="仿宋_GB2312" w:eastAsia="仿宋_GB2312" w:hint="eastAsia"/>
          <w:sz w:val="32"/>
          <w:szCs w:val="32"/>
        </w:rPr>
        <w:t>VOCs</w:t>
      </w:r>
      <w:r>
        <w:rPr>
          <w:rFonts w:ascii="仿宋_GB2312" w:eastAsia="仿宋_GB2312" w:hint="eastAsia"/>
          <w:sz w:val="32"/>
          <w:szCs w:val="32"/>
        </w:rPr>
        <w:t>无组织排放限值；</w:t>
      </w:r>
      <w:r>
        <w:rPr>
          <w:rFonts w:ascii="仿宋_GB2312" w:eastAsia="仿宋_GB2312" w:hint="eastAsia"/>
          <w:color w:val="FF0000"/>
          <w:sz w:val="32"/>
          <w:szCs w:val="32"/>
        </w:rPr>
        <w:t xml:space="preserve"> </w:t>
      </w:r>
      <w:r>
        <w:rPr>
          <w:rFonts w:ascii="仿宋_GB2312" w:eastAsia="仿宋_GB2312" w:hint="eastAsia"/>
          <w:sz w:val="32"/>
          <w:szCs w:val="32"/>
        </w:rPr>
        <w:t>TVOC</w:t>
      </w:r>
      <w:r>
        <w:rPr>
          <w:rFonts w:ascii="仿宋_GB2312" w:eastAsia="仿宋_GB2312" w:hint="eastAsia"/>
          <w:sz w:val="32"/>
          <w:szCs w:val="32"/>
        </w:rPr>
        <w:t>排放执行广东省《固定污染源挥发性有机物综合排放标准》（</w:t>
      </w:r>
      <w:r>
        <w:rPr>
          <w:rFonts w:ascii="仿宋_GB2312" w:eastAsia="仿宋_GB2312" w:hint="eastAsia"/>
          <w:sz w:val="32"/>
          <w:szCs w:val="32"/>
        </w:rPr>
        <w:t>DB44/2367-2022</w:t>
      </w:r>
      <w:r>
        <w:rPr>
          <w:rFonts w:ascii="仿宋_GB2312" w:eastAsia="仿宋_GB2312" w:hint="eastAsia"/>
          <w:sz w:val="32"/>
          <w:szCs w:val="32"/>
        </w:rPr>
        <w:t>）表</w:t>
      </w:r>
      <w:r>
        <w:rPr>
          <w:rFonts w:ascii="仿宋_GB2312" w:eastAsia="仿宋_GB2312" w:hint="eastAsia"/>
          <w:sz w:val="32"/>
          <w:szCs w:val="32"/>
        </w:rPr>
        <w:t>1</w:t>
      </w:r>
      <w:r>
        <w:rPr>
          <w:rFonts w:ascii="仿宋_GB2312" w:eastAsia="仿宋_GB2312" w:hint="eastAsia"/>
          <w:sz w:val="32"/>
          <w:szCs w:val="32"/>
        </w:rPr>
        <w:t>挥发性有机物排放限值；总</w:t>
      </w:r>
      <w:r>
        <w:rPr>
          <w:rFonts w:ascii="仿宋_GB2312" w:eastAsia="仿宋_GB2312" w:hint="eastAsia"/>
          <w:sz w:val="32"/>
          <w:szCs w:val="32"/>
        </w:rPr>
        <w:t>VOCs</w:t>
      </w:r>
      <w:r>
        <w:rPr>
          <w:rFonts w:ascii="仿宋_GB2312" w:eastAsia="仿宋_GB2312" w:hint="eastAsia"/>
          <w:sz w:val="32"/>
          <w:szCs w:val="32"/>
        </w:rPr>
        <w:t>排放执行广东省《印刷行业挥发性有机化合物排放标准》（</w:t>
      </w:r>
      <w:r>
        <w:rPr>
          <w:rFonts w:ascii="仿宋_GB2312" w:eastAsia="仿宋_GB2312" w:hint="eastAsia"/>
          <w:sz w:val="32"/>
          <w:szCs w:val="32"/>
        </w:rPr>
        <w:t>DB44/815-2010</w:t>
      </w:r>
      <w:r>
        <w:rPr>
          <w:rFonts w:ascii="仿宋_GB2312" w:eastAsia="仿宋_GB2312" w:hint="eastAsia"/>
          <w:sz w:val="32"/>
          <w:szCs w:val="32"/>
        </w:rPr>
        <w:t>）表</w:t>
      </w:r>
      <w:r>
        <w:rPr>
          <w:rFonts w:ascii="仿宋_GB2312" w:eastAsia="仿宋_GB2312" w:hint="eastAsia"/>
          <w:sz w:val="32"/>
          <w:szCs w:val="32"/>
        </w:rPr>
        <w:t>2</w:t>
      </w:r>
      <w:r>
        <w:rPr>
          <w:rFonts w:ascii="仿宋_GB2312" w:eastAsia="仿宋_GB2312" w:hint="eastAsia"/>
          <w:sz w:val="32"/>
          <w:szCs w:val="32"/>
        </w:rPr>
        <w:t>丝网印刷Ⅱ时段排放限值及表</w:t>
      </w:r>
      <w:r>
        <w:rPr>
          <w:rFonts w:ascii="仿宋_GB2312" w:eastAsia="仿宋_GB2312" w:hint="eastAsia"/>
          <w:sz w:val="32"/>
          <w:szCs w:val="32"/>
        </w:rPr>
        <w:t>3</w:t>
      </w:r>
      <w:r>
        <w:rPr>
          <w:rFonts w:ascii="仿宋_GB2312" w:eastAsia="仿宋_GB2312" w:hint="eastAsia"/>
          <w:sz w:val="32"/>
          <w:szCs w:val="32"/>
        </w:rPr>
        <w:t>无组织排放监控点浓度限值；臭气浓度排放执行《恶臭污染物排放标准》（</w:t>
      </w:r>
      <w:r>
        <w:rPr>
          <w:rFonts w:ascii="仿宋_GB2312" w:eastAsia="仿宋_GB2312" w:hint="eastAsia"/>
          <w:sz w:val="32"/>
          <w:szCs w:val="32"/>
        </w:rPr>
        <w:t>GB14554-93</w:t>
      </w:r>
      <w:r>
        <w:rPr>
          <w:rFonts w:ascii="仿宋_GB2312" w:eastAsia="仿宋_GB2312" w:hint="eastAsia"/>
          <w:sz w:val="32"/>
          <w:szCs w:val="32"/>
        </w:rPr>
        <w:t>）表</w:t>
      </w:r>
      <w:r>
        <w:rPr>
          <w:rFonts w:ascii="仿宋_GB2312" w:eastAsia="仿宋_GB2312" w:hint="eastAsia"/>
          <w:sz w:val="32"/>
          <w:szCs w:val="32"/>
        </w:rPr>
        <w:t>1</w:t>
      </w:r>
      <w:r>
        <w:rPr>
          <w:rFonts w:ascii="仿宋_GB2312" w:eastAsia="仿宋_GB2312" w:hint="eastAsia"/>
          <w:sz w:val="32"/>
          <w:szCs w:val="32"/>
        </w:rPr>
        <w:t>厂界新扩改建二级标准限值和表</w:t>
      </w:r>
      <w:r>
        <w:rPr>
          <w:rFonts w:ascii="仿宋_GB2312" w:eastAsia="仿宋_GB2312" w:hint="eastAsia"/>
          <w:sz w:val="32"/>
          <w:szCs w:val="32"/>
        </w:rPr>
        <w:t>2</w:t>
      </w:r>
      <w:r>
        <w:rPr>
          <w:rFonts w:ascii="仿宋_GB2312" w:eastAsia="仿宋_GB2312" w:hint="eastAsia"/>
          <w:sz w:val="32"/>
          <w:szCs w:val="32"/>
        </w:rPr>
        <w:t>排放标准值；</w:t>
      </w:r>
      <w:r>
        <w:rPr>
          <w:rFonts w:ascii="仿宋_GB2312" w:eastAsia="仿宋_GB2312" w:hint="eastAsia"/>
          <w:color w:val="000000" w:themeColor="text1"/>
          <w:sz w:val="32"/>
          <w:szCs w:val="32"/>
        </w:rPr>
        <w:t>其他大气污染物排放执行广东省《大气污染物排放限值》（</w:t>
      </w:r>
      <w:r>
        <w:rPr>
          <w:rFonts w:ascii="仿宋_GB2312" w:eastAsia="仿宋_GB2312" w:hint="eastAsia"/>
          <w:color w:val="000000" w:themeColor="text1"/>
          <w:sz w:val="32"/>
          <w:szCs w:val="32"/>
        </w:rPr>
        <w:t>DB44/27-2001</w:t>
      </w:r>
      <w:r>
        <w:rPr>
          <w:rFonts w:ascii="仿宋_GB2312" w:eastAsia="仿宋_GB2312" w:hint="eastAsia"/>
          <w:color w:val="000000" w:themeColor="text1"/>
          <w:sz w:val="32"/>
          <w:szCs w:val="32"/>
        </w:rPr>
        <w:t>）第二时</w:t>
      </w:r>
      <w:r>
        <w:rPr>
          <w:rFonts w:ascii="仿宋_GB2312" w:eastAsia="仿宋_GB2312" w:hint="eastAsia"/>
          <w:color w:val="000000" w:themeColor="text1"/>
          <w:sz w:val="32"/>
          <w:szCs w:val="32"/>
        </w:rPr>
        <w:t>段二级标准及无组织排放监控浓度限值</w:t>
      </w:r>
      <w:r>
        <w:rPr>
          <w:rFonts w:ascii="仿宋_GB2312" w:eastAsia="仿宋_GB2312" w:hint="eastAsia"/>
          <w:sz w:val="32"/>
          <w:szCs w:val="32"/>
        </w:rPr>
        <w:t>。</w:t>
      </w:r>
    </w:p>
    <w:p w14:paraId="105A6FEC" w14:textId="77777777" w:rsidR="006C1BE6" w:rsidRDefault="006D2D34">
      <w:pPr>
        <w:spacing w:line="560" w:lineRule="exact"/>
        <w:ind w:firstLineChars="200" w:firstLine="640"/>
        <w:rPr>
          <w:rFonts w:ascii="仿宋_GB2312" w:eastAsia="仿宋_GB2312"/>
          <w:sz w:val="32"/>
          <w:szCs w:val="32"/>
        </w:rPr>
      </w:pPr>
      <w:r>
        <w:rPr>
          <w:rFonts w:ascii="仿宋_GB2312" w:eastAsia="仿宋_GB2312" w:hint="eastAsia"/>
          <w:sz w:val="32"/>
          <w:szCs w:val="32"/>
        </w:rPr>
        <w:t>（三）</w:t>
      </w:r>
      <w:r>
        <w:rPr>
          <w:rFonts w:ascii="仿宋_GB2312" w:eastAsia="仿宋_GB2312" w:hint="eastAsia"/>
          <w:color w:val="000000" w:themeColor="text1"/>
          <w:sz w:val="32"/>
          <w:szCs w:val="32"/>
        </w:rPr>
        <w:t>边界</w:t>
      </w:r>
      <w:r>
        <w:rPr>
          <w:rFonts w:ascii="仿宋_GB2312" w:eastAsia="仿宋_GB2312" w:hint="eastAsia"/>
          <w:sz w:val="32"/>
          <w:szCs w:val="32"/>
        </w:rPr>
        <w:t>噪声排放执行《工业企业厂界环境噪声排放标准》（</w:t>
      </w:r>
      <w:r>
        <w:rPr>
          <w:rFonts w:ascii="仿宋_GB2312" w:eastAsia="仿宋_GB2312" w:hint="eastAsia"/>
          <w:sz w:val="32"/>
          <w:szCs w:val="32"/>
        </w:rPr>
        <w:t>GB12348-2008</w:t>
      </w:r>
      <w:r>
        <w:rPr>
          <w:rFonts w:ascii="仿宋_GB2312" w:eastAsia="仿宋_GB2312" w:hint="eastAsia"/>
          <w:sz w:val="32"/>
          <w:szCs w:val="32"/>
        </w:rPr>
        <w:t>）</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类区限值，即：昼间≤</w:t>
      </w:r>
      <w:r>
        <w:rPr>
          <w:rFonts w:ascii="仿宋_GB2312" w:eastAsia="仿宋_GB2312" w:hint="eastAsia"/>
          <w:color w:val="000000" w:themeColor="text1"/>
          <w:sz w:val="32"/>
          <w:szCs w:val="32"/>
        </w:rPr>
        <w:t>65dB(A)</w:t>
      </w:r>
      <w:r>
        <w:rPr>
          <w:rFonts w:ascii="仿宋_GB2312" w:eastAsia="仿宋_GB2312" w:hint="eastAsia"/>
          <w:color w:val="000000" w:themeColor="text1"/>
          <w:sz w:val="32"/>
          <w:szCs w:val="32"/>
        </w:rPr>
        <w:t>，夜间≤</w:t>
      </w:r>
      <w:r>
        <w:rPr>
          <w:rFonts w:ascii="仿宋_GB2312" w:eastAsia="仿宋_GB2312" w:hint="eastAsia"/>
          <w:color w:val="000000" w:themeColor="text1"/>
          <w:sz w:val="32"/>
          <w:szCs w:val="32"/>
        </w:rPr>
        <w:t>55dB(A)</w:t>
      </w:r>
      <w:r>
        <w:rPr>
          <w:rFonts w:ascii="仿宋_GB2312" w:eastAsia="仿宋_GB2312" w:hint="eastAsia"/>
          <w:sz w:val="32"/>
          <w:szCs w:val="32"/>
        </w:rPr>
        <w:t>。</w:t>
      </w:r>
    </w:p>
    <w:p w14:paraId="579A4D61" w14:textId="77777777" w:rsidR="006C1BE6" w:rsidRDefault="006D2D34">
      <w:pPr>
        <w:spacing w:line="560" w:lineRule="exact"/>
        <w:ind w:firstLineChars="200" w:firstLine="640"/>
        <w:rPr>
          <w:rFonts w:ascii="仿宋_GB2312" w:eastAsia="仿宋_GB2312"/>
          <w:sz w:val="32"/>
          <w:szCs w:val="32"/>
        </w:rPr>
      </w:pPr>
      <w:r>
        <w:rPr>
          <w:rFonts w:ascii="仿宋_GB2312" w:eastAsia="仿宋_GB2312" w:hint="eastAsia"/>
          <w:sz w:val="32"/>
          <w:szCs w:val="32"/>
        </w:rPr>
        <w:t>三、该项目应当认真落实《报告表》提出的各项环境保护措施，重点做好以下工作：</w:t>
      </w:r>
    </w:p>
    <w:p w14:paraId="30E5B9CA" w14:textId="77777777" w:rsidR="006C1BE6" w:rsidRDefault="006D2D34">
      <w:pPr>
        <w:spacing w:line="560" w:lineRule="exact"/>
        <w:ind w:firstLineChars="200" w:firstLine="640"/>
        <w:rPr>
          <w:rFonts w:ascii="仿宋_GB2312" w:eastAsia="仿宋_GB2312"/>
          <w:sz w:val="32"/>
          <w:szCs w:val="32"/>
        </w:rPr>
      </w:pPr>
      <w:r>
        <w:rPr>
          <w:rFonts w:ascii="仿宋_GB2312" w:eastAsia="仿宋_GB2312" w:hint="eastAsia"/>
          <w:sz w:val="32"/>
          <w:szCs w:val="32"/>
        </w:rPr>
        <w:t>（一）排水系统采用雨污分流。生活污水排入市政集污管网，送化龙净水厂集中处理。</w:t>
      </w:r>
      <w:r>
        <w:rPr>
          <w:rFonts w:ascii="仿宋_GB2312" w:eastAsia="仿宋_GB2312" w:hint="eastAsia"/>
          <w:color w:val="000000" w:themeColor="text1"/>
          <w:sz w:val="32"/>
          <w:szCs w:val="32"/>
        </w:rPr>
        <w:t>项目设置生活污水排放口</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w:t>
      </w:r>
    </w:p>
    <w:p w14:paraId="577EE067" w14:textId="77777777" w:rsidR="006C1BE6" w:rsidRDefault="006D2D34">
      <w:pPr>
        <w:ind w:firstLineChars="200" w:firstLine="640"/>
        <w:rPr>
          <w:rFonts w:ascii="仿宋_GB2312" w:eastAsia="仿宋_GB2312"/>
          <w:sz w:val="32"/>
          <w:szCs w:val="32"/>
        </w:rPr>
      </w:pPr>
      <w:r>
        <w:rPr>
          <w:rFonts w:ascii="仿宋_GB2312" w:eastAsia="仿宋_GB2312" w:hint="eastAsia"/>
          <w:sz w:val="32"/>
          <w:szCs w:val="32"/>
        </w:rPr>
        <w:t>（二）</w:t>
      </w:r>
      <w:r>
        <w:rPr>
          <w:rFonts w:ascii="仿宋_GB2312" w:eastAsia="仿宋_GB2312" w:hint="eastAsia"/>
          <w:color w:val="000000" w:themeColor="text1"/>
          <w:sz w:val="32"/>
          <w:szCs w:val="32"/>
        </w:rPr>
        <w:t>按</w:t>
      </w:r>
      <w:r>
        <w:rPr>
          <w:rFonts w:ascii="仿宋_GB2312" w:eastAsia="仿宋_GB2312" w:hint="eastAsia"/>
          <w:sz w:val="32"/>
          <w:szCs w:val="32"/>
        </w:rPr>
        <w:t>照</w:t>
      </w:r>
      <w:r>
        <w:rPr>
          <w:rFonts w:ascii="仿宋_GB2312" w:eastAsia="仿宋_GB2312"/>
          <w:sz w:val="32"/>
          <w:szCs w:val="32"/>
        </w:rPr>
        <w:t>《印刷工业大气污染物排放标准》（</w:t>
      </w:r>
      <w:r>
        <w:rPr>
          <w:rFonts w:ascii="仿宋_GB2312" w:eastAsia="仿宋_GB2312"/>
          <w:sz w:val="32"/>
          <w:szCs w:val="32"/>
        </w:rPr>
        <w:t xml:space="preserve">GB </w:t>
      </w:r>
      <w:r>
        <w:rPr>
          <w:rFonts w:ascii="仿宋_GB2312" w:eastAsia="仿宋_GB2312"/>
          <w:sz w:val="32"/>
          <w:szCs w:val="32"/>
        </w:rPr>
        <w:lastRenderedPageBreak/>
        <w:t>41616-2022</w:t>
      </w:r>
      <w:r>
        <w:rPr>
          <w:rFonts w:ascii="仿宋_GB2312" w:eastAsia="仿宋_GB2312"/>
          <w:sz w:val="32"/>
          <w:szCs w:val="32"/>
        </w:rPr>
        <w:t>）</w:t>
      </w:r>
      <w:r>
        <w:rPr>
          <w:rFonts w:ascii="仿宋_GB2312" w:eastAsia="仿宋_GB2312" w:hint="eastAsia"/>
          <w:sz w:val="32"/>
          <w:szCs w:val="32"/>
        </w:rPr>
        <w:t>、</w:t>
      </w:r>
      <w:r>
        <w:rPr>
          <w:rFonts w:ascii="仿宋_GB2312" w:eastAsia="仿宋_GB2312" w:hint="eastAsia"/>
          <w:sz w:val="32"/>
          <w:szCs w:val="32"/>
        </w:rPr>
        <w:t>广东</w:t>
      </w:r>
      <w:r>
        <w:rPr>
          <w:rFonts w:ascii="仿宋_GB2312" w:eastAsia="仿宋_GB2312" w:hint="eastAsia"/>
          <w:color w:val="000000" w:themeColor="text1"/>
          <w:sz w:val="32"/>
          <w:szCs w:val="32"/>
        </w:rPr>
        <w:t>省《固定污染源挥发性有机物综合排放标准》（</w:t>
      </w:r>
      <w:r>
        <w:rPr>
          <w:rFonts w:ascii="仿宋_GB2312" w:eastAsia="仿宋_GB2312" w:hint="eastAsia"/>
          <w:color w:val="000000" w:themeColor="text1"/>
          <w:sz w:val="32"/>
          <w:szCs w:val="32"/>
        </w:rPr>
        <w:t>DB44/2367-2022</w:t>
      </w:r>
      <w:r>
        <w:rPr>
          <w:rFonts w:ascii="仿宋_GB2312" w:eastAsia="仿宋_GB2312" w:hint="eastAsia"/>
          <w:color w:val="000000" w:themeColor="text1"/>
          <w:sz w:val="32"/>
          <w:szCs w:val="32"/>
        </w:rPr>
        <w:t>）</w:t>
      </w:r>
      <w:r>
        <w:rPr>
          <w:rFonts w:ascii="仿宋_GB2312" w:eastAsia="仿宋_GB2312" w:hint="eastAsia"/>
          <w:sz w:val="32"/>
          <w:szCs w:val="32"/>
        </w:rPr>
        <w:t>等相关排放标准的无组织排放控制要求落实控制措施。工艺废气经收</w:t>
      </w:r>
      <w:r>
        <w:rPr>
          <w:rFonts w:ascii="仿宋_GB2312" w:eastAsia="仿宋_GB2312" w:hint="eastAsia"/>
          <w:sz w:val="32"/>
          <w:szCs w:val="32"/>
        </w:rPr>
        <w:t>集至</w:t>
      </w:r>
      <w:r>
        <w:rPr>
          <w:rFonts w:ascii="仿宋_GB2312" w:eastAsia="仿宋_GB2312" w:hint="eastAsia"/>
          <w:color w:val="000000" w:themeColor="text1"/>
          <w:sz w:val="32"/>
          <w:szCs w:val="32"/>
        </w:rPr>
        <w:t>“水喷淋塔</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除雾器</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二级活性炭吸附装置”处理后引至所在建筑物楼顶高空排放，排放口高度不低于</w:t>
      </w:r>
      <w:r>
        <w:rPr>
          <w:rFonts w:ascii="仿宋_GB2312" w:eastAsia="仿宋_GB2312" w:hint="eastAsia"/>
          <w:color w:val="000000" w:themeColor="text1"/>
          <w:sz w:val="32"/>
          <w:szCs w:val="32"/>
        </w:rPr>
        <w:t>15</w:t>
      </w:r>
      <w:r>
        <w:rPr>
          <w:rFonts w:ascii="仿宋_GB2312" w:eastAsia="仿宋_GB2312" w:hint="eastAsia"/>
          <w:color w:val="000000" w:themeColor="text1"/>
          <w:sz w:val="32"/>
          <w:szCs w:val="32"/>
        </w:rPr>
        <w:t>米</w:t>
      </w:r>
      <w:r>
        <w:rPr>
          <w:rFonts w:ascii="仿宋_GB2312" w:eastAsia="仿宋_GB2312" w:hint="eastAsia"/>
          <w:sz w:val="32"/>
          <w:szCs w:val="32"/>
        </w:rPr>
        <w:t>。项目设置废气排放口</w:t>
      </w:r>
      <w:r>
        <w:rPr>
          <w:rFonts w:ascii="仿宋_GB2312" w:eastAsia="仿宋_GB2312" w:hint="eastAsia"/>
          <w:sz w:val="32"/>
          <w:szCs w:val="32"/>
        </w:rPr>
        <w:t>1</w:t>
      </w:r>
      <w:r>
        <w:rPr>
          <w:rFonts w:ascii="仿宋_GB2312" w:eastAsia="仿宋_GB2312" w:hint="eastAsia"/>
          <w:sz w:val="32"/>
          <w:szCs w:val="32"/>
        </w:rPr>
        <w:t>个。</w:t>
      </w:r>
    </w:p>
    <w:p w14:paraId="70F99F95" w14:textId="77777777" w:rsidR="006C1BE6" w:rsidRDefault="006D2D34">
      <w:pPr>
        <w:spacing w:line="560" w:lineRule="exact"/>
        <w:ind w:firstLineChars="200" w:firstLine="640"/>
        <w:rPr>
          <w:rFonts w:ascii="仿宋_GB2312" w:eastAsia="仿宋_GB2312"/>
          <w:sz w:val="32"/>
          <w:szCs w:val="32"/>
        </w:rPr>
      </w:pPr>
      <w:r>
        <w:rPr>
          <w:rFonts w:ascii="仿宋_GB2312" w:eastAsia="仿宋_GB2312" w:hAnsi="仿宋_GB2312" w:cs="仿宋_GB2312" w:hint="eastAsia"/>
          <w:sz w:val="32"/>
          <w:szCs w:val="32"/>
        </w:rPr>
        <w:t>加强车间边界无组织排放废气的监控，确保车间边界无组织排放监控点的废气达到相应标准限值的要求，监测超标时应加强对无组织排放废气的收集和净化处理。</w:t>
      </w:r>
    </w:p>
    <w:p w14:paraId="619AE5AB" w14:textId="77777777" w:rsidR="006C1BE6" w:rsidRDefault="006D2D34">
      <w:pPr>
        <w:spacing w:line="560" w:lineRule="exact"/>
        <w:ind w:firstLineChars="200" w:firstLine="640"/>
        <w:rPr>
          <w:rFonts w:ascii="仿宋_GB2312" w:eastAsia="仿宋_GB2312"/>
          <w:sz w:val="32"/>
          <w:szCs w:val="32"/>
        </w:rPr>
      </w:pPr>
      <w:r>
        <w:rPr>
          <w:rFonts w:ascii="仿宋_GB2312" w:eastAsia="仿宋_GB2312" w:hint="eastAsia"/>
          <w:sz w:val="32"/>
          <w:szCs w:val="32"/>
        </w:rPr>
        <w:t>（三）选用低噪声设备，合理布设生产车间，高噪声源应采取隔声、减振等措施，定期检修设备。</w:t>
      </w:r>
    </w:p>
    <w:p w14:paraId="517AAFC9" w14:textId="77777777" w:rsidR="006C1BE6" w:rsidRDefault="006D2D34">
      <w:pPr>
        <w:spacing w:line="560" w:lineRule="exact"/>
        <w:ind w:firstLineChars="200" w:firstLine="640"/>
        <w:rPr>
          <w:rFonts w:ascii="仿宋_GB2312" w:eastAsia="仿宋_GB2312"/>
          <w:sz w:val="32"/>
          <w:szCs w:val="32"/>
        </w:rPr>
      </w:pPr>
      <w:r>
        <w:rPr>
          <w:rFonts w:ascii="仿宋_GB2312" w:eastAsia="仿宋_GB2312" w:hint="eastAsia"/>
          <w:sz w:val="32"/>
          <w:szCs w:val="32"/>
        </w:rPr>
        <w:t>（四）</w:t>
      </w:r>
      <w:proofErr w:type="gramStart"/>
      <w:r>
        <w:rPr>
          <w:rFonts w:ascii="仿宋_GB2312" w:eastAsia="仿宋_GB2312" w:hint="eastAsia"/>
          <w:sz w:val="32"/>
          <w:szCs w:val="32"/>
        </w:rPr>
        <w:t>废原料桶</w:t>
      </w:r>
      <w:proofErr w:type="gramEnd"/>
      <w:r>
        <w:rPr>
          <w:rFonts w:ascii="仿宋_GB2312" w:eastAsia="仿宋_GB2312" w:hint="eastAsia"/>
          <w:sz w:val="32"/>
          <w:szCs w:val="32"/>
        </w:rPr>
        <w:t>、废</w:t>
      </w:r>
      <w:r>
        <w:rPr>
          <w:rFonts w:ascii="仿宋_GB2312" w:eastAsia="仿宋_GB2312" w:hint="eastAsia"/>
          <w:sz w:val="32"/>
          <w:szCs w:val="32"/>
        </w:rPr>
        <w:t>PCB</w:t>
      </w:r>
      <w:r>
        <w:rPr>
          <w:rFonts w:ascii="仿宋_GB2312" w:eastAsia="仿宋_GB2312" w:hint="eastAsia"/>
          <w:sz w:val="32"/>
          <w:szCs w:val="32"/>
        </w:rPr>
        <w:t>板、废机油、废抹布及手套、水喷淋处理废液、废过滤棉、废活性炭等属于危险废物的</w:t>
      </w:r>
      <w:proofErr w:type="gramStart"/>
      <w:r>
        <w:rPr>
          <w:rFonts w:ascii="仿宋_GB2312" w:eastAsia="仿宋_GB2312" w:hint="eastAsia"/>
          <w:sz w:val="32"/>
          <w:szCs w:val="32"/>
        </w:rPr>
        <w:t>须设置</w:t>
      </w:r>
      <w:proofErr w:type="gramEnd"/>
      <w:r>
        <w:rPr>
          <w:rFonts w:ascii="仿宋_GB2312" w:eastAsia="仿宋_GB2312" w:hint="eastAsia"/>
          <w:sz w:val="32"/>
          <w:szCs w:val="32"/>
        </w:rPr>
        <w:t>符合《危险废物贮存污染控制标准》（</w:t>
      </w:r>
      <w:r>
        <w:rPr>
          <w:rFonts w:ascii="仿宋_GB2312" w:eastAsia="仿宋_GB2312" w:hint="eastAsia"/>
          <w:sz w:val="32"/>
          <w:szCs w:val="32"/>
        </w:rPr>
        <w:t>GB18597-2023</w:t>
      </w:r>
      <w:r>
        <w:rPr>
          <w:rFonts w:ascii="仿宋_GB2312" w:eastAsia="仿宋_GB2312" w:hint="eastAsia"/>
          <w:sz w:val="32"/>
          <w:szCs w:val="32"/>
        </w:rPr>
        <w:t>）要求的专用贮存场所存放并委托具备危险废物处理资质的机构处理。</w:t>
      </w:r>
    </w:p>
    <w:p w14:paraId="4968BCE8" w14:textId="77777777" w:rsidR="006C1BE6" w:rsidRDefault="006D2D34">
      <w:pPr>
        <w:spacing w:line="560" w:lineRule="exact"/>
        <w:ind w:firstLineChars="200" w:firstLine="640"/>
        <w:rPr>
          <w:rFonts w:ascii="仿宋_GB2312" w:eastAsia="仿宋_GB2312"/>
          <w:sz w:val="32"/>
          <w:szCs w:val="32"/>
        </w:rPr>
      </w:pPr>
      <w:r>
        <w:rPr>
          <w:rFonts w:ascii="仿宋_GB2312" w:eastAsia="仿宋_GB2312" w:hint="eastAsia"/>
          <w:sz w:val="32"/>
          <w:szCs w:val="32"/>
        </w:rPr>
        <w:t>四、该项目的性质、规模、地点、采用的</w:t>
      </w:r>
      <w:r>
        <w:rPr>
          <w:rFonts w:ascii="仿宋_GB2312" w:eastAsia="仿宋_GB2312" w:hint="eastAsia"/>
          <w:color w:val="000000" w:themeColor="text1"/>
          <w:sz w:val="32"/>
          <w:szCs w:val="32"/>
        </w:rPr>
        <w:t>生产工艺</w:t>
      </w:r>
      <w:r>
        <w:rPr>
          <w:rFonts w:ascii="仿宋_GB2312" w:eastAsia="仿宋_GB2312" w:hint="eastAsia"/>
          <w:sz w:val="32"/>
          <w:szCs w:val="32"/>
        </w:rPr>
        <w:t>或者防治污染、防止生态破坏的措施发生重大变动的，你单位应当重新报批环境影响评价文件。</w:t>
      </w:r>
    </w:p>
    <w:p w14:paraId="3F2CFC36" w14:textId="77777777" w:rsidR="006C1BE6" w:rsidRDefault="006D2D34">
      <w:pPr>
        <w:spacing w:line="560" w:lineRule="exact"/>
        <w:ind w:firstLineChars="200" w:firstLine="640"/>
        <w:rPr>
          <w:rFonts w:ascii="仿宋_GB2312" w:eastAsia="仿宋_GB2312"/>
          <w:sz w:val="32"/>
          <w:szCs w:val="32"/>
        </w:rPr>
      </w:pPr>
      <w:r>
        <w:rPr>
          <w:rFonts w:ascii="仿宋_GB2312" w:eastAsia="仿宋_GB2312" w:hint="eastAsia"/>
          <w:sz w:val="32"/>
          <w:szCs w:val="32"/>
        </w:rPr>
        <w:t>五、该项目建设应严格执行配套建设的环境保护设施与主体工程同时设计、同时施工、同时投产使用的环境保护“三同时”制度，具体要求如下：</w:t>
      </w:r>
    </w:p>
    <w:p w14:paraId="3818AD77" w14:textId="77777777" w:rsidR="006C1BE6" w:rsidRDefault="006D2D34">
      <w:pPr>
        <w:widowControl/>
        <w:tabs>
          <w:tab w:val="left" w:pos="1418"/>
        </w:tabs>
        <w:spacing w:line="560" w:lineRule="exact"/>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（一）项目竣工后</w:t>
      </w:r>
      <w:r>
        <w:rPr>
          <w:rFonts w:ascii="仿宋_GB2312" w:eastAsia="仿宋_GB2312" w:hint="eastAsia"/>
          <w:sz w:val="32"/>
          <w:szCs w:val="32"/>
        </w:rPr>
        <w:t>，你单位应按规定申请取得排污许可证或填报排污登记表，并按照规定的标准、程序和时限，对配套建设的环境保护设施进行验收，编制验收报告，依法向社会公开。</w:t>
      </w:r>
    </w:p>
    <w:p w14:paraId="119C9994" w14:textId="77777777" w:rsidR="006C1BE6" w:rsidRDefault="006D2D34">
      <w:pPr>
        <w:spacing w:line="560" w:lineRule="exact"/>
        <w:ind w:firstLineChars="200" w:firstLine="640"/>
        <w:rPr>
          <w:rFonts w:ascii="仿宋_GB2312" w:eastAsia="仿宋_GB2312"/>
          <w:sz w:val="32"/>
          <w:szCs w:val="32"/>
        </w:rPr>
      </w:pPr>
      <w:r>
        <w:rPr>
          <w:rFonts w:ascii="仿宋_GB2312" w:eastAsia="仿宋_GB2312" w:hint="eastAsia"/>
          <w:sz w:val="32"/>
          <w:szCs w:val="32"/>
        </w:rPr>
        <w:t>（二）项目配套建设的环境保护设施经验收合格后，方可投</w:t>
      </w:r>
      <w:r>
        <w:rPr>
          <w:rFonts w:ascii="仿宋_GB2312" w:eastAsia="仿宋_GB2312" w:hint="eastAsia"/>
          <w:sz w:val="32"/>
          <w:szCs w:val="32"/>
        </w:rPr>
        <w:lastRenderedPageBreak/>
        <w:t>入生产或者使用。</w:t>
      </w:r>
    </w:p>
    <w:p w14:paraId="6A663F69" w14:textId="77777777" w:rsidR="006C1BE6" w:rsidRDefault="006D2D34">
      <w:pPr>
        <w:spacing w:line="560" w:lineRule="exact"/>
        <w:ind w:firstLineChars="200" w:firstLine="640"/>
        <w:rPr>
          <w:rFonts w:ascii="仿宋_GB2312" w:eastAsia="仿宋_GB2312"/>
          <w:sz w:val="32"/>
          <w:szCs w:val="32"/>
        </w:rPr>
      </w:pPr>
      <w:r>
        <w:rPr>
          <w:rFonts w:ascii="仿宋_GB2312" w:eastAsia="仿宋_GB2312" w:hint="eastAsia"/>
          <w:sz w:val="32"/>
          <w:szCs w:val="32"/>
        </w:rPr>
        <w:t>六、该项目建设和运行过程中如涉及规划、土地利用、建设、水务、消防、安全等问题，应遵照相关法律法规要求到相应的行政主管部门办理有关手续。</w:t>
      </w:r>
    </w:p>
    <w:p w14:paraId="15A68576" w14:textId="77777777" w:rsidR="006C1BE6" w:rsidRDefault="006D2D34">
      <w:pPr>
        <w:pStyle w:val="New"/>
        <w:spacing w:line="560" w:lineRule="exact"/>
        <w:ind w:firstLine="636"/>
        <w:rPr>
          <w:rFonts w:eastAsia="仿宋_GB2312"/>
          <w:sz w:val="32"/>
          <w:szCs w:val="32"/>
        </w:rPr>
      </w:pPr>
      <w:r>
        <w:rPr>
          <w:rFonts w:ascii="仿宋_GB2312" w:eastAsia="仿宋_GB2312" w:hint="eastAsia"/>
          <w:sz w:val="32"/>
          <w:szCs w:val="32"/>
        </w:rPr>
        <w:t>七、</w:t>
      </w:r>
      <w:r>
        <w:rPr>
          <w:rFonts w:ascii="仿宋_GB2312" w:eastAsia="仿宋_GB2312" w:hAnsi="仿宋" w:hint="eastAsia"/>
          <w:color w:val="000000" w:themeColor="text1"/>
          <w:sz w:val="32"/>
        </w:rPr>
        <w:t>当事人如不服本决定，可在收到文书之日起</w:t>
      </w:r>
      <w:r>
        <w:rPr>
          <w:rFonts w:ascii="仿宋_GB2312" w:eastAsia="仿宋_GB2312" w:hAnsi="仿宋" w:hint="eastAsia"/>
          <w:color w:val="000000" w:themeColor="text1"/>
          <w:sz w:val="32"/>
        </w:rPr>
        <w:t>60</w:t>
      </w:r>
      <w:r>
        <w:rPr>
          <w:rFonts w:ascii="仿宋_GB2312" w:eastAsia="仿宋_GB2312" w:hAnsi="仿宋" w:hint="eastAsia"/>
          <w:color w:val="000000" w:themeColor="text1"/>
          <w:sz w:val="32"/>
        </w:rPr>
        <w:t>日内向广州市人民政府行政复议机构广州市政府行政复议办公室窗口（地址：广州市越秀区小北路</w:t>
      </w:r>
      <w:r>
        <w:rPr>
          <w:rFonts w:ascii="仿宋_GB2312" w:eastAsia="仿宋_GB2312" w:hAnsi="仿宋" w:hint="eastAsia"/>
          <w:color w:val="000000" w:themeColor="text1"/>
          <w:sz w:val="32"/>
        </w:rPr>
        <w:t>183</w:t>
      </w:r>
      <w:r>
        <w:rPr>
          <w:rFonts w:ascii="仿宋_GB2312" w:eastAsia="仿宋_GB2312" w:hAnsi="仿宋" w:hint="eastAsia"/>
          <w:color w:val="000000" w:themeColor="text1"/>
          <w:sz w:val="32"/>
        </w:rPr>
        <w:t>号金和大厦</w:t>
      </w:r>
      <w:r>
        <w:rPr>
          <w:rFonts w:ascii="仿宋_GB2312" w:eastAsia="仿宋_GB2312" w:hAnsi="仿宋" w:hint="eastAsia"/>
          <w:color w:val="000000" w:themeColor="text1"/>
          <w:sz w:val="32"/>
        </w:rPr>
        <w:t>2</w:t>
      </w:r>
      <w:r>
        <w:rPr>
          <w:rFonts w:ascii="仿宋_GB2312" w:eastAsia="仿宋_GB2312" w:hAnsi="仿宋" w:hint="eastAsia"/>
          <w:color w:val="000000" w:themeColor="text1"/>
          <w:sz w:val="32"/>
        </w:rPr>
        <w:t>楼，电话</w:t>
      </w:r>
      <w:r>
        <w:rPr>
          <w:rFonts w:ascii="仿宋_GB2312" w:eastAsia="仿宋_GB2312" w:hAnsi="仿宋" w:hint="eastAsia"/>
          <w:color w:val="000000" w:themeColor="text1"/>
          <w:sz w:val="32"/>
        </w:rPr>
        <w:t>：</w:t>
      </w:r>
      <w:r>
        <w:rPr>
          <w:rFonts w:ascii="仿宋_GB2312" w:eastAsia="仿宋_GB2312" w:hAnsi="仿宋" w:hint="eastAsia"/>
          <w:color w:val="000000" w:themeColor="text1"/>
          <w:sz w:val="32"/>
        </w:rPr>
        <w:t>020-83555988</w:t>
      </w:r>
      <w:r>
        <w:rPr>
          <w:rFonts w:ascii="仿宋_GB2312" w:eastAsia="仿宋_GB2312" w:hAnsi="仿宋" w:hint="eastAsia"/>
          <w:color w:val="000000" w:themeColor="text1"/>
          <w:sz w:val="32"/>
        </w:rPr>
        <w:t>）提出行政复议申请；或者在收到文书之日起</w:t>
      </w:r>
      <w:r>
        <w:rPr>
          <w:rFonts w:ascii="仿宋_GB2312" w:eastAsia="仿宋_GB2312" w:hAnsi="仿宋" w:hint="eastAsia"/>
          <w:color w:val="000000" w:themeColor="text1"/>
          <w:sz w:val="32"/>
        </w:rPr>
        <w:t>6</w:t>
      </w:r>
      <w:r>
        <w:rPr>
          <w:rFonts w:ascii="仿宋_GB2312" w:eastAsia="仿宋_GB2312" w:hAnsi="仿宋" w:hint="eastAsia"/>
          <w:color w:val="000000" w:themeColor="text1"/>
          <w:sz w:val="32"/>
        </w:rPr>
        <w:t>个月内直接向广州铁路运输法院提起行政诉讼。申请行政复议或提起行政诉讼的，不停止本决定的执行</w:t>
      </w:r>
      <w:r>
        <w:rPr>
          <w:rFonts w:ascii="仿宋_GB2312" w:eastAsia="仿宋_GB2312" w:hint="eastAsia"/>
          <w:color w:val="000000" w:themeColor="text1"/>
          <w:sz w:val="32"/>
          <w:szCs w:val="32"/>
        </w:rPr>
        <w:t>。</w:t>
      </w:r>
    </w:p>
    <w:p w14:paraId="13BF7FBB" w14:textId="77777777" w:rsidR="006C1BE6" w:rsidRDefault="006C1BE6">
      <w:pPr>
        <w:ind w:firstLineChars="200" w:firstLine="640"/>
        <w:rPr>
          <w:rFonts w:ascii="仿宋_GB2312" w:eastAsia="仿宋_GB2312"/>
          <w:color w:val="FF0000"/>
          <w:sz w:val="32"/>
          <w:szCs w:val="32"/>
        </w:rPr>
      </w:pPr>
    </w:p>
    <w:p w14:paraId="58C6C207" w14:textId="77777777" w:rsidR="006C1BE6" w:rsidRDefault="006C1BE6">
      <w:pPr>
        <w:ind w:firstLineChars="1400" w:firstLine="4480"/>
        <w:rPr>
          <w:rFonts w:ascii="仿宋_GB2312" w:eastAsia="仿宋_GB2312"/>
          <w:sz w:val="32"/>
          <w:szCs w:val="32"/>
        </w:rPr>
      </w:pPr>
    </w:p>
    <w:p w14:paraId="24188470" w14:textId="77777777" w:rsidR="006C1BE6" w:rsidRDefault="006C1BE6">
      <w:pPr>
        <w:ind w:firstLineChars="1400" w:firstLine="4480"/>
        <w:rPr>
          <w:rFonts w:ascii="仿宋_GB2312" w:eastAsia="仿宋_GB2312"/>
          <w:sz w:val="32"/>
          <w:szCs w:val="32"/>
        </w:rPr>
      </w:pPr>
    </w:p>
    <w:p w14:paraId="6D1B6036" w14:textId="77777777" w:rsidR="006C1BE6" w:rsidRDefault="006D2D34">
      <w:pPr>
        <w:ind w:firstLineChars="1400" w:firstLine="4480"/>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广州市生态环境局</w:t>
      </w:r>
    </w:p>
    <w:p w14:paraId="663C9155" w14:textId="77777777" w:rsidR="006C1BE6" w:rsidRDefault="006D2D34">
      <w:pPr>
        <w:tabs>
          <w:tab w:val="left" w:pos="7371"/>
          <w:tab w:val="left" w:pos="7655"/>
          <w:tab w:val="left" w:pos="7797"/>
        </w:tabs>
        <w:ind w:firstLineChars="1400" w:firstLine="4480"/>
        <w:rPr>
          <w:rFonts w:ascii="仿宋_GB2312" w:eastAsia="仿宋_GB2312"/>
          <w:sz w:val="32"/>
          <w:szCs w:val="32"/>
        </w:rPr>
      </w:pPr>
      <w:r>
        <w:rPr>
          <w:rFonts w:ascii="仿宋_GB2312" w:eastAsia="仿宋_GB2312" w:hint="eastAsia"/>
          <w:sz w:val="32"/>
          <w:szCs w:val="32"/>
        </w:rPr>
        <w:t xml:space="preserve">     2025</w:t>
      </w:r>
      <w:r>
        <w:rPr>
          <w:rFonts w:ascii="仿宋_GB2312" w:eastAsia="仿宋_GB2312" w:hint="eastAsia"/>
          <w:sz w:val="32"/>
          <w:szCs w:val="32"/>
        </w:rPr>
        <w:t>年×月×日</w:t>
      </w:r>
    </w:p>
    <w:p w14:paraId="5964FD07" w14:textId="77777777" w:rsidR="006C1BE6" w:rsidRDefault="006C1BE6">
      <w:pPr>
        <w:rPr>
          <w:rFonts w:ascii="黑体" w:eastAsia="黑体"/>
          <w:sz w:val="32"/>
          <w:szCs w:val="32"/>
        </w:rPr>
      </w:pPr>
    </w:p>
    <w:p w14:paraId="7BCB51F3" w14:textId="77777777" w:rsidR="006C1BE6" w:rsidRDefault="006C1BE6">
      <w:pPr>
        <w:rPr>
          <w:rFonts w:ascii="黑体" w:eastAsia="黑体"/>
          <w:sz w:val="32"/>
          <w:szCs w:val="32"/>
        </w:rPr>
      </w:pPr>
    </w:p>
    <w:p w14:paraId="0B0B5C8E" w14:textId="77777777" w:rsidR="006C1BE6" w:rsidRDefault="006C1BE6">
      <w:pPr>
        <w:rPr>
          <w:rFonts w:ascii="黑体" w:eastAsia="黑体"/>
          <w:sz w:val="32"/>
          <w:szCs w:val="32"/>
        </w:rPr>
      </w:pPr>
    </w:p>
    <w:p w14:paraId="4A8384D9" w14:textId="77777777" w:rsidR="006C1BE6" w:rsidRDefault="006C1BE6">
      <w:pPr>
        <w:rPr>
          <w:rFonts w:ascii="黑体" w:eastAsia="黑体"/>
          <w:sz w:val="32"/>
          <w:szCs w:val="32"/>
        </w:rPr>
      </w:pPr>
    </w:p>
    <w:p w14:paraId="31088F42" w14:textId="77777777" w:rsidR="006C1BE6" w:rsidRDefault="006C1BE6">
      <w:pPr>
        <w:rPr>
          <w:rFonts w:ascii="黑体" w:eastAsia="黑体"/>
          <w:sz w:val="32"/>
          <w:szCs w:val="32"/>
        </w:rPr>
      </w:pPr>
    </w:p>
    <w:p w14:paraId="6C5984AE" w14:textId="77777777" w:rsidR="006C1BE6" w:rsidRDefault="006D2D34">
      <w:pPr>
        <w:rPr>
          <w:rFonts w:ascii="仿宋_GB2312" w:eastAsia="仿宋_GB2312"/>
          <w:sz w:val="32"/>
          <w:szCs w:val="32"/>
        </w:rPr>
      </w:pPr>
      <w:r>
        <w:rPr>
          <w:rFonts w:ascii="黑体" w:eastAsia="黑体" w:hint="eastAsia"/>
          <w:sz w:val="32"/>
          <w:szCs w:val="32"/>
        </w:rPr>
        <w:t>公开方式：</w:t>
      </w:r>
      <w:r>
        <w:rPr>
          <w:rFonts w:ascii="仿宋_GB2312" w:eastAsia="仿宋_GB2312" w:hint="eastAsia"/>
          <w:sz w:val="32"/>
          <w:szCs w:val="32"/>
        </w:rPr>
        <w:t>主动公开</w:t>
      </w:r>
    </w:p>
    <w:p w14:paraId="71EFF73D" w14:textId="77777777" w:rsidR="006C1BE6" w:rsidRDefault="006C1BE6">
      <w:pPr>
        <w:rPr>
          <w:rFonts w:ascii="仿宋_GB2312" w:eastAsia="仿宋_GB2312"/>
          <w:sz w:val="32"/>
          <w:szCs w:val="32"/>
        </w:rPr>
      </w:pPr>
    </w:p>
    <w:p w14:paraId="1097C727" w14:textId="77777777" w:rsidR="006C1BE6" w:rsidRDefault="006D2D34">
      <w:pPr>
        <w:ind w:leftChars="201" w:left="1133" w:hangingChars="254" w:hanging="711"/>
        <w:rPr>
          <w:rFonts w:ascii="仿宋_GB2312" w:eastAsia="仿宋_GB2312"/>
          <w:sz w:val="28"/>
          <w:szCs w:val="28"/>
        </w:rPr>
      </w:pPr>
      <w:r>
        <w:rPr>
          <w:rFonts w:ascii="仿宋_GB2312" w:eastAsia="仿宋_GB2312" w:hint="eastAsia"/>
          <w:sz w:val="28"/>
          <w:szCs w:val="28"/>
        </w:rPr>
        <w:t>抄送：广州市生态环境局番禺分局执法三科、番禺第三环保所，</w:t>
      </w:r>
      <w:proofErr w:type="gramStart"/>
      <w:r>
        <w:rPr>
          <w:rFonts w:ascii="仿宋_GB2312" w:eastAsia="仿宋_GB2312" w:hint="eastAsia"/>
          <w:sz w:val="28"/>
          <w:szCs w:val="28"/>
        </w:rPr>
        <w:t>广州市碧航环保</w:t>
      </w:r>
      <w:proofErr w:type="gramEnd"/>
      <w:r>
        <w:rPr>
          <w:rFonts w:ascii="仿宋_GB2312" w:eastAsia="仿宋_GB2312" w:hint="eastAsia"/>
          <w:sz w:val="28"/>
          <w:szCs w:val="28"/>
        </w:rPr>
        <w:t>技术有限公司。</w:t>
      </w:r>
    </w:p>
    <w:sectPr w:rsidR="006C1BE6">
      <w:footerReference w:type="even" r:id="rId7"/>
      <w:footerReference w:type="default" r:id="rId8"/>
      <w:pgSz w:w="11906" w:h="16838"/>
      <w:pgMar w:top="1588" w:right="1474" w:bottom="1134" w:left="1588" w:header="851" w:footer="624" w:gutter="0"/>
      <w:cols w:space="720"/>
      <w:titlePg/>
      <w:docGrid w:type="lines" w:linePitch="613" w:charSpace="2167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1611CE" w14:textId="77777777" w:rsidR="006D2D34" w:rsidRDefault="006D2D34">
      <w:r>
        <w:separator/>
      </w:r>
    </w:p>
  </w:endnote>
  <w:endnote w:type="continuationSeparator" w:id="0">
    <w:p w14:paraId="64B9C72B" w14:textId="77777777" w:rsidR="006D2D34" w:rsidRDefault="006D2D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公文小标宋简">
    <w:altName w:val="MS Gothic"/>
    <w:charset w:val="86"/>
    <w:family w:val="modern"/>
    <w:pitch w:val="default"/>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C2ECE7" w14:textId="77777777" w:rsidR="006C1BE6" w:rsidRDefault="006D2D34">
    <w:pPr>
      <w:pStyle w:val="a5"/>
      <w:framePr w:wrap="around" w:vAnchor="text" w:hAnchor="margin" w:xAlign="outside" w:y="1"/>
      <w:rPr>
        <w:rStyle w:val="a8"/>
      </w:rPr>
    </w:pPr>
    <w:r>
      <w:fldChar w:fldCharType="begin"/>
    </w:r>
    <w:r>
      <w:rPr>
        <w:rStyle w:val="a8"/>
      </w:rPr>
      <w:instrText xml:space="preserve">PAGE  </w:instrText>
    </w:r>
    <w:r>
      <w:fldChar w:fldCharType="end"/>
    </w:r>
  </w:p>
  <w:p w14:paraId="15D02061" w14:textId="77777777" w:rsidR="006C1BE6" w:rsidRDefault="006C1BE6">
    <w:pPr>
      <w:pStyle w:val="a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DBC30E" w14:textId="77777777" w:rsidR="006C1BE6" w:rsidRDefault="006D2D34">
    <w:pPr>
      <w:pStyle w:val="a5"/>
      <w:framePr w:wrap="around" w:vAnchor="text" w:hAnchor="margin" w:xAlign="outside" w:y="1"/>
      <w:rPr>
        <w:rStyle w:val="a8"/>
        <w:rFonts w:ascii="宋体" w:hAnsi="宋体"/>
        <w:sz w:val="28"/>
        <w:szCs w:val="28"/>
      </w:rPr>
    </w:pPr>
    <w:r>
      <w:rPr>
        <w:rStyle w:val="a8"/>
        <w:rFonts w:ascii="宋体" w:hAnsi="宋体" w:hint="eastAsia"/>
        <w:sz w:val="28"/>
        <w:szCs w:val="28"/>
      </w:rPr>
      <w:t>—</w:t>
    </w:r>
    <w:r>
      <w:rPr>
        <w:rStyle w:val="a8"/>
        <w:rFonts w:ascii="宋体" w:hAnsi="宋体" w:hint="eastAsia"/>
        <w:sz w:val="28"/>
        <w:szCs w:val="28"/>
      </w:rPr>
      <w:t xml:space="preserve"> </w:t>
    </w:r>
    <w:r>
      <w:rPr>
        <w:rFonts w:ascii="宋体" w:hAnsi="宋体"/>
        <w:sz w:val="28"/>
        <w:szCs w:val="28"/>
      </w:rPr>
      <w:fldChar w:fldCharType="begin"/>
    </w:r>
    <w:r>
      <w:rPr>
        <w:rStyle w:val="a8"/>
        <w:rFonts w:ascii="宋体" w:hAnsi="宋体"/>
        <w:sz w:val="28"/>
        <w:szCs w:val="28"/>
      </w:rPr>
      <w:instrText xml:space="preserve">PAGE  </w:instrText>
    </w:r>
    <w:r>
      <w:rPr>
        <w:rFonts w:ascii="宋体" w:hAnsi="宋体"/>
        <w:sz w:val="28"/>
        <w:szCs w:val="28"/>
      </w:rPr>
      <w:fldChar w:fldCharType="separate"/>
    </w:r>
    <w:r w:rsidR="00340638">
      <w:rPr>
        <w:rStyle w:val="a8"/>
        <w:rFonts w:ascii="宋体" w:hAnsi="宋体"/>
        <w:noProof/>
        <w:sz w:val="28"/>
        <w:szCs w:val="28"/>
      </w:rPr>
      <w:t>2</w:t>
    </w:r>
    <w:r>
      <w:rPr>
        <w:rFonts w:ascii="宋体" w:hAnsi="宋体"/>
        <w:sz w:val="28"/>
        <w:szCs w:val="28"/>
      </w:rPr>
      <w:fldChar w:fldCharType="end"/>
    </w:r>
    <w:r>
      <w:rPr>
        <w:rStyle w:val="a8"/>
        <w:rFonts w:ascii="宋体" w:hAnsi="宋体" w:hint="eastAsia"/>
        <w:sz w:val="28"/>
        <w:szCs w:val="28"/>
      </w:rPr>
      <w:t xml:space="preserve"> </w:t>
    </w:r>
    <w:r>
      <w:rPr>
        <w:rStyle w:val="a8"/>
        <w:rFonts w:ascii="宋体" w:hAnsi="宋体" w:hint="eastAsia"/>
        <w:sz w:val="28"/>
        <w:szCs w:val="28"/>
      </w:rPr>
      <w:t>—</w:t>
    </w:r>
  </w:p>
  <w:p w14:paraId="3C8DF8CF" w14:textId="77777777" w:rsidR="006C1BE6" w:rsidRDefault="006C1BE6">
    <w:pPr>
      <w:pStyle w:val="a5"/>
      <w:ind w:right="360" w:firstLine="360"/>
      <w:jc w:val="center"/>
      <w:rPr>
        <w:sz w:val="28"/>
        <w:szCs w:val="28"/>
      </w:rPr>
    </w:pPr>
  </w:p>
  <w:p w14:paraId="46BD1CE1" w14:textId="77777777" w:rsidR="006C1BE6" w:rsidRDefault="006C1BE6">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39E9B7A" w14:textId="77777777" w:rsidR="006D2D34" w:rsidRDefault="006D2D34">
      <w:r>
        <w:separator/>
      </w:r>
    </w:p>
  </w:footnote>
  <w:footnote w:type="continuationSeparator" w:id="0">
    <w:p w14:paraId="0E4A4B2F" w14:textId="77777777" w:rsidR="006D2D34" w:rsidRDefault="006D2D3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attachedTemplate r:id="rId1"/>
  <w:defaultTabStop w:val="420"/>
  <w:drawingGridHorizontalSpacing w:val="158"/>
  <w:drawingGridVerticalSpacing w:val="613"/>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5996"/>
    <w:rsid w:val="00001C85"/>
    <w:rsid w:val="00022225"/>
    <w:rsid w:val="00024A47"/>
    <w:rsid w:val="00041AB4"/>
    <w:rsid w:val="00047670"/>
    <w:rsid w:val="00047F69"/>
    <w:rsid w:val="00054A9E"/>
    <w:rsid w:val="000600A3"/>
    <w:rsid w:val="00081938"/>
    <w:rsid w:val="00082A5C"/>
    <w:rsid w:val="000832FD"/>
    <w:rsid w:val="000852F9"/>
    <w:rsid w:val="00090CE7"/>
    <w:rsid w:val="00091F5C"/>
    <w:rsid w:val="00097289"/>
    <w:rsid w:val="000B070F"/>
    <w:rsid w:val="000B4C18"/>
    <w:rsid w:val="000C301C"/>
    <w:rsid w:val="000C3889"/>
    <w:rsid w:val="000C3CB8"/>
    <w:rsid w:val="000D56D5"/>
    <w:rsid w:val="000D6A43"/>
    <w:rsid w:val="001020A2"/>
    <w:rsid w:val="00104C9C"/>
    <w:rsid w:val="0012593F"/>
    <w:rsid w:val="00145974"/>
    <w:rsid w:val="00151CBA"/>
    <w:rsid w:val="00163612"/>
    <w:rsid w:val="00171DBD"/>
    <w:rsid w:val="00173803"/>
    <w:rsid w:val="00185235"/>
    <w:rsid w:val="001C347F"/>
    <w:rsid w:val="001E17DB"/>
    <w:rsid w:val="001F12B9"/>
    <w:rsid w:val="001F1FC3"/>
    <w:rsid w:val="001F60AA"/>
    <w:rsid w:val="001F7ECF"/>
    <w:rsid w:val="00207F01"/>
    <w:rsid w:val="00212861"/>
    <w:rsid w:val="00212DD9"/>
    <w:rsid w:val="00213A61"/>
    <w:rsid w:val="00214473"/>
    <w:rsid w:val="00225893"/>
    <w:rsid w:val="002513F3"/>
    <w:rsid w:val="0027017E"/>
    <w:rsid w:val="0027079B"/>
    <w:rsid w:val="00271C08"/>
    <w:rsid w:val="0027369D"/>
    <w:rsid w:val="00280957"/>
    <w:rsid w:val="00283EC7"/>
    <w:rsid w:val="002840F5"/>
    <w:rsid w:val="00290A95"/>
    <w:rsid w:val="002915FD"/>
    <w:rsid w:val="002A0B4F"/>
    <w:rsid w:val="002A78A2"/>
    <w:rsid w:val="002B3756"/>
    <w:rsid w:val="002C0C0E"/>
    <w:rsid w:val="002C13BB"/>
    <w:rsid w:val="002C5286"/>
    <w:rsid w:val="002D01F1"/>
    <w:rsid w:val="002D444A"/>
    <w:rsid w:val="002D6E72"/>
    <w:rsid w:val="002F222A"/>
    <w:rsid w:val="003016C4"/>
    <w:rsid w:val="00323D70"/>
    <w:rsid w:val="003275AA"/>
    <w:rsid w:val="00334F3A"/>
    <w:rsid w:val="00340638"/>
    <w:rsid w:val="00347973"/>
    <w:rsid w:val="003551D8"/>
    <w:rsid w:val="003804CF"/>
    <w:rsid w:val="0039061B"/>
    <w:rsid w:val="003952D0"/>
    <w:rsid w:val="00396136"/>
    <w:rsid w:val="003A52FB"/>
    <w:rsid w:val="003D6927"/>
    <w:rsid w:val="003E6957"/>
    <w:rsid w:val="003F1D2D"/>
    <w:rsid w:val="0042675C"/>
    <w:rsid w:val="004366AD"/>
    <w:rsid w:val="00436E68"/>
    <w:rsid w:val="004422C8"/>
    <w:rsid w:val="00464587"/>
    <w:rsid w:val="00466E9D"/>
    <w:rsid w:val="0047490D"/>
    <w:rsid w:val="00481214"/>
    <w:rsid w:val="0048602A"/>
    <w:rsid w:val="004A1CB8"/>
    <w:rsid w:val="004A38CF"/>
    <w:rsid w:val="004A5E23"/>
    <w:rsid w:val="004A62BA"/>
    <w:rsid w:val="004C5EFD"/>
    <w:rsid w:val="004D0859"/>
    <w:rsid w:val="004D586D"/>
    <w:rsid w:val="004E13C9"/>
    <w:rsid w:val="004E567A"/>
    <w:rsid w:val="00511456"/>
    <w:rsid w:val="00521A96"/>
    <w:rsid w:val="00527C59"/>
    <w:rsid w:val="0053095F"/>
    <w:rsid w:val="0053590B"/>
    <w:rsid w:val="005374E2"/>
    <w:rsid w:val="005429FF"/>
    <w:rsid w:val="00564EB8"/>
    <w:rsid w:val="00566920"/>
    <w:rsid w:val="0059052A"/>
    <w:rsid w:val="005A149B"/>
    <w:rsid w:val="005B12AD"/>
    <w:rsid w:val="005B6D04"/>
    <w:rsid w:val="005C24D6"/>
    <w:rsid w:val="005C69AB"/>
    <w:rsid w:val="005C6B0C"/>
    <w:rsid w:val="005D060E"/>
    <w:rsid w:val="005D092A"/>
    <w:rsid w:val="005D6126"/>
    <w:rsid w:val="005E3B4A"/>
    <w:rsid w:val="005E5891"/>
    <w:rsid w:val="005F76D5"/>
    <w:rsid w:val="006001BB"/>
    <w:rsid w:val="006054AA"/>
    <w:rsid w:val="0062245C"/>
    <w:rsid w:val="006351A7"/>
    <w:rsid w:val="00640DE7"/>
    <w:rsid w:val="00641192"/>
    <w:rsid w:val="00642B9B"/>
    <w:rsid w:val="00652804"/>
    <w:rsid w:val="006576FA"/>
    <w:rsid w:val="00675205"/>
    <w:rsid w:val="00677228"/>
    <w:rsid w:val="00693BD5"/>
    <w:rsid w:val="006A28F5"/>
    <w:rsid w:val="006A6881"/>
    <w:rsid w:val="006A6965"/>
    <w:rsid w:val="006B2BAD"/>
    <w:rsid w:val="006C1BE6"/>
    <w:rsid w:val="006C3A36"/>
    <w:rsid w:val="006D0170"/>
    <w:rsid w:val="006D2D34"/>
    <w:rsid w:val="006D7C57"/>
    <w:rsid w:val="006E5889"/>
    <w:rsid w:val="006F15BA"/>
    <w:rsid w:val="006F29B5"/>
    <w:rsid w:val="006F469A"/>
    <w:rsid w:val="00707832"/>
    <w:rsid w:val="007158E4"/>
    <w:rsid w:val="00716C4E"/>
    <w:rsid w:val="00720BC0"/>
    <w:rsid w:val="00723B6D"/>
    <w:rsid w:val="00730C65"/>
    <w:rsid w:val="007443DC"/>
    <w:rsid w:val="00750DBF"/>
    <w:rsid w:val="00753DD4"/>
    <w:rsid w:val="00753DDF"/>
    <w:rsid w:val="007847A3"/>
    <w:rsid w:val="007855D9"/>
    <w:rsid w:val="00790E97"/>
    <w:rsid w:val="00796606"/>
    <w:rsid w:val="007A2E3E"/>
    <w:rsid w:val="007B29D0"/>
    <w:rsid w:val="007B438D"/>
    <w:rsid w:val="007B5088"/>
    <w:rsid w:val="007C5CB3"/>
    <w:rsid w:val="007C748F"/>
    <w:rsid w:val="00802F15"/>
    <w:rsid w:val="008078D7"/>
    <w:rsid w:val="00810C90"/>
    <w:rsid w:val="008170AC"/>
    <w:rsid w:val="008372CA"/>
    <w:rsid w:val="0086236D"/>
    <w:rsid w:val="0088035D"/>
    <w:rsid w:val="00882B8E"/>
    <w:rsid w:val="00884916"/>
    <w:rsid w:val="008865F4"/>
    <w:rsid w:val="0089687C"/>
    <w:rsid w:val="008B3BE3"/>
    <w:rsid w:val="008B3E8D"/>
    <w:rsid w:val="008B48EC"/>
    <w:rsid w:val="008C31B7"/>
    <w:rsid w:val="008D701C"/>
    <w:rsid w:val="008E07FB"/>
    <w:rsid w:val="008F3EEB"/>
    <w:rsid w:val="008F580D"/>
    <w:rsid w:val="008F7A44"/>
    <w:rsid w:val="00902B79"/>
    <w:rsid w:val="00902C55"/>
    <w:rsid w:val="00926C10"/>
    <w:rsid w:val="00932FC7"/>
    <w:rsid w:val="0093611D"/>
    <w:rsid w:val="00944630"/>
    <w:rsid w:val="009473C5"/>
    <w:rsid w:val="00950D79"/>
    <w:rsid w:val="00950FC2"/>
    <w:rsid w:val="0095161A"/>
    <w:rsid w:val="009544A8"/>
    <w:rsid w:val="0096566C"/>
    <w:rsid w:val="00972A29"/>
    <w:rsid w:val="00974609"/>
    <w:rsid w:val="00974E8C"/>
    <w:rsid w:val="00982E78"/>
    <w:rsid w:val="009A3DB2"/>
    <w:rsid w:val="009C5976"/>
    <w:rsid w:val="009C5EB5"/>
    <w:rsid w:val="009C790D"/>
    <w:rsid w:val="009D272F"/>
    <w:rsid w:val="009D34AC"/>
    <w:rsid w:val="009E0D72"/>
    <w:rsid w:val="009E1AD4"/>
    <w:rsid w:val="009E5416"/>
    <w:rsid w:val="009F222B"/>
    <w:rsid w:val="00A11794"/>
    <w:rsid w:val="00A36142"/>
    <w:rsid w:val="00A40AFA"/>
    <w:rsid w:val="00A416FF"/>
    <w:rsid w:val="00A56A9B"/>
    <w:rsid w:val="00AA1759"/>
    <w:rsid w:val="00AC047D"/>
    <w:rsid w:val="00AC648A"/>
    <w:rsid w:val="00AC7BAA"/>
    <w:rsid w:val="00AD33EF"/>
    <w:rsid w:val="00AD6B4C"/>
    <w:rsid w:val="00AE0762"/>
    <w:rsid w:val="00AE5E03"/>
    <w:rsid w:val="00AF7F2C"/>
    <w:rsid w:val="00B012B5"/>
    <w:rsid w:val="00B10676"/>
    <w:rsid w:val="00B15884"/>
    <w:rsid w:val="00B30042"/>
    <w:rsid w:val="00B31FB2"/>
    <w:rsid w:val="00B42B25"/>
    <w:rsid w:val="00B45736"/>
    <w:rsid w:val="00B5742B"/>
    <w:rsid w:val="00B62BB2"/>
    <w:rsid w:val="00B650E2"/>
    <w:rsid w:val="00B71F4F"/>
    <w:rsid w:val="00B805AF"/>
    <w:rsid w:val="00B837BD"/>
    <w:rsid w:val="00B83F72"/>
    <w:rsid w:val="00B95160"/>
    <w:rsid w:val="00B95EC7"/>
    <w:rsid w:val="00BB16F4"/>
    <w:rsid w:val="00BB1C8A"/>
    <w:rsid w:val="00BB73EF"/>
    <w:rsid w:val="00BF31A6"/>
    <w:rsid w:val="00BF6FA5"/>
    <w:rsid w:val="00C013B9"/>
    <w:rsid w:val="00C046AB"/>
    <w:rsid w:val="00C07DD8"/>
    <w:rsid w:val="00C12A22"/>
    <w:rsid w:val="00C1575A"/>
    <w:rsid w:val="00C2000C"/>
    <w:rsid w:val="00C25D4D"/>
    <w:rsid w:val="00C331EC"/>
    <w:rsid w:val="00C35028"/>
    <w:rsid w:val="00C41EC5"/>
    <w:rsid w:val="00C45C92"/>
    <w:rsid w:val="00C47559"/>
    <w:rsid w:val="00C50129"/>
    <w:rsid w:val="00C577CF"/>
    <w:rsid w:val="00C61143"/>
    <w:rsid w:val="00C74EA0"/>
    <w:rsid w:val="00C76BD4"/>
    <w:rsid w:val="00C773E9"/>
    <w:rsid w:val="00C850D2"/>
    <w:rsid w:val="00C8740F"/>
    <w:rsid w:val="00CC70BC"/>
    <w:rsid w:val="00CD225F"/>
    <w:rsid w:val="00CF1B16"/>
    <w:rsid w:val="00CF2E9E"/>
    <w:rsid w:val="00D01DA0"/>
    <w:rsid w:val="00D02618"/>
    <w:rsid w:val="00D0455B"/>
    <w:rsid w:val="00D051BE"/>
    <w:rsid w:val="00D203F1"/>
    <w:rsid w:val="00D205FC"/>
    <w:rsid w:val="00D37BB0"/>
    <w:rsid w:val="00D55BFA"/>
    <w:rsid w:val="00D670D5"/>
    <w:rsid w:val="00D70C73"/>
    <w:rsid w:val="00D74A06"/>
    <w:rsid w:val="00D76AC3"/>
    <w:rsid w:val="00D85A00"/>
    <w:rsid w:val="00D87223"/>
    <w:rsid w:val="00DB438D"/>
    <w:rsid w:val="00DD3F0C"/>
    <w:rsid w:val="00DF26FF"/>
    <w:rsid w:val="00DF7771"/>
    <w:rsid w:val="00E23AD5"/>
    <w:rsid w:val="00E3785A"/>
    <w:rsid w:val="00E44B98"/>
    <w:rsid w:val="00E52C18"/>
    <w:rsid w:val="00E70184"/>
    <w:rsid w:val="00E76CD1"/>
    <w:rsid w:val="00E9508B"/>
    <w:rsid w:val="00E95F22"/>
    <w:rsid w:val="00EB0FC1"/>
    <w:rsid w:val="00ED426B"/>
    <w:rsid w:val="00ED656B"/>
    <w:rsid w:val="00EE0C36"/>
    <w:rsid w:val="00EE5C65"/>
    <w:rsid w:val="00EE5F9D"/>
    <w:rsid w:val="00F02188"/>
    <w:rsid w:val="00F030B9"/>
    <w:rsid w:val="00F05A97"/>
    <w:rsid w:val="00F1261C"/>
    <w:rsid w:val="00F27B34"/>
    <w:rsid w:val="00F5469E"/>
    <w:rsid w:val="00F55C29"/>
    <w:rsid w:val="00F8191D"/>
    <w:rsid w:val="00FB1867"/>
    <w:rsid w:val="00FB5B94"/>
    <w:rsid w:val="00FB674A"/>
    <w:rsid w:val="00FC2FF1"/>
    <w:rsid w:val="00FD2DA9"/>
    <w:rsid w:val="00FD7864"/>
    <w:rsid w:val="00FF05C9"/>
    <w:rsid w:val="00FF121F"/>
    <w:rsid w:val="00FF5FC5"/>
    <w:rsid w:val="01825996"/>
    <w:rsid w:val="20733A7D"/>
    <w:rsid w:val="47D61CA3"/>
    <w:rsid w:val="6176180D"/>
    <w:rsid w:val="7F3353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qFormat="1"/>
    <w:lsdException w:name="header" w:uiPriority="99" w:unhideWhenUsed="1" w:qFormat="1"/>
    <w:lsdException w:name="footer" w:uiPriority="99" w:unhideWhenUsed="1" w:qFormat="1"/>
    <w:lsdException w:name="caption" w:semiHidden="1" w:unhideWhenUsed="1" w:qFormat="1"/>
    <w:lsdException w:name="annotation reference" w:uiPriority="99" w:unhideWhenUsed="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Balloon Text"/>
    <w:basedOn w:val="a"/>
    <w:link w:val="Char0"/>
    <w:uiPriority w:val="99"/>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qFormat/>
    <w:rPr>
      <w:b/>
      <w:bCs/>
    </w:rPr>
  </w:style>
  <w:style w:type="character" w:styleId="a8">
    <w:name w:val="page number"/>
    <w:basedOn w:val="a0"/>
    <w:qFormat/>
  </w:style>
  <w:style w:type="character" w:styleId="a9">
    <w:name w:val="annotation reference"/>
    <w:uiPriority w:val="99"/>
    <w:unhideWhenUsed/>
    <w:rPr>
      <w:sz w:val="21"/>
      <w:szCs w:val="21"/>
    </w:rPr>
  </w:style>
  <w:style w:type="character" w:customStyle="1" w:styleId="Char1">
    <w:name w:val="页脚 Char"/>
    <w:link w:val="a5"/>
    <w:uiPriority w:val="99"/>
    <w:qFormat/>
    <w:rPr>
      <w:kern w:val="2"/>
      <w:sz w:val="18"/>
      <w:szCs w:val="18"/>
    </w:rPr>
  </w:style>
  <w:style w:type="character" w:customStyle="1" w:styleId="Char2">
    <w:name w:val="页眉 Char"/>
    <w:link w:val="a6"/>
    <w:uiPriority w:val="99"/>
    <w:semiHidden/>
    <w:qFormat/>
    <w:rPr>
      <w:kern w:val="2"/>
      <w:sz w:val="18"/>
      <w:szCs w:val="18"/>
    </w:rPr>
  </w:style>
  <w:style w:type="character" w:customStyle="1" w:styleId="Char0">
    <w:name w:val="批注框文本 Char"/>
    <w:link w:val="a4"/>
    <w:uiPriority w:val="99"/>
    <w:semiHidden/>
    <w:qFormat/>
    <w:rPr>
      <w:kern w:val="2"/>
      <w:sz w:val="18"/>
      <w:szCs w:val="18"/>
    </w:rPr>
  </w:style>
  <w:style w:type="character" w:customStyle="1" w:styleId="Char3">
    <w:name w:val="批注主题 Char"/>
    <w:link w:val="a7"/>
    <w:uiPriority w:val="99"/>
    <w:semiHidden/>
    <w:qFormat/>
    <w:rPr>
      <w:b/>
      <w:bCs/>
      <w:kern w:val="2"/>
      <w:sz w:val="21"/>
      <w:szCs w:val="22"/>
    </w:rPr>
  </w:style>
  <w:style w:type="character" w:customStyle="1" w:styleId="Char">
    <w:name w:val="批注文字 Char"/>
    <w:link w:val="a3"/>
    <w:uiPriority w:val="99"/>
    <w:semiHidden/>
    <w:qFormat/>
    <w:rPr>
      <w:kern w:val="2"/>
      <w:sz w:val="21"/>
      <w:szCs w:val="22"/>
    </w:rPr>
  </w:style>
  <w:style w:type="paragraph" w:customStyle="1" w:styleId="Char10">
    <w:name w:val="Char1"/>
    <w:basedOn w:val="a"/>
    <w:qFormat/>
    <w:pPr>
      <w:tabs>
        <w:tab w:val="left" w:pos="840"/>
      </w:tabs>
      <w:ind w:left="840" w:hanging="420"/>
    </w:pPr>
    <w:rPr>
      <w:sz w:val="24"/>
      <w:szCs w:val="24"/>
    </w:rPr>
  </w:style>
  <w:style w:type="paragraph" w:customStyle="1" w:styleId="Style16">
    <w:name w:val="_Style 16"/>
    <w:uiPriority w:val="99"/>
    <w:semiHidden/>
    <w:qFormat/>
    <w:rPr>
      <w:kern w:val="2"/>
      <w:sz w:val="21"/>
      <w:szCs w:val="22"/>
    </w:rPr>
  </w:style>
  <w:style w:type="paragraph" w:customStyle="1" w:styleId="New">
    <w:name w:val="正文 New"/>
    <w:qFormat/>
    <w:pPr>
      <w:widowControl w:val="0"/>
      <w:jc w:val="both"/>
    </w:pPr>
    <w:rPr>
      <w:kern w:val="2"/>
      <w:sz w:val="21"/>
      <w:szCs w:val="24"/>
    </w:rPr>
  </w:style>
  <w:style w:type="paragraph" w:styleId="aa">
    <w:name w:val="List Paragraph"/>
    <w:basedOn w:val="a"/>
    <w:uiPriority w:val="99"/>
    <w:unhideWhenUsed/>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qFormat="1"/>
    <w:lsdException w:name="header" w:uiPriority="99" w:unhideWhenUsed="1" w:qFormat="1"/>
    <w:lsdException w:name="footer" w:uiPriority="99" w:unhideWhenUsed="1" w:qFormat="1"/>
    <w:lsdException w:name="caption" w:semiHidden="1" w:unhideWhenUsed="1" w:qFormat="1"/>
    <w:lsdException w:name="annotation reference" w:uiPriority="99" w:unhideWhenUsed="1"/>
    <w:lsdException w:name="page number"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style>
  <w:style w:type="paragraph" w:styleId="a4">
    <w:name w:val="Balloon Text"/>
    <w:basedOn w:val="a"/>
    <w:link w:val="Char0"/>
    <w:uiPriority w:val="99"/>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qFormat/>
    <w:rPr>
      <w:b/>
      <w:bCs/>
    </w:rPr>
  </w:style>
  <w:style w:type="character" w:styleId="a8">
    <w:name w:val="page number"/>
    <w:basedOn w:val="a0"/>
    <w:qFormat/>
  </w:style>
  <w:style w:type="character" w:styleId="a9">
    <w:name w:val="annotation reference"/>
    <w:uiPriority w:val="99"/>
    <w:unhideWhenUsed/>
    <w:rPr>
      <w:sz w:val="21"/>
      <w:szCs w:val="21"/>
    </w:rPr>
  </w:style>
  <w:style w:type="character" w:customStyle="1" w:styleId="Char1">
    <w:name w:val="页脚 Char"/>
    <w:link w:val="a5"/>
    <w:uiPriority w:val="99"/>
    <w:qFormat/>
    <w:rPr>
      <w:kern w:val="2"/>
      <w:sz w:val="18"/>
      <w:szCs w:val="18"/>
    </w:rPr>
  </w:style>
  <w:style w:type="character" w:customStyle="1" w:styleId="Char2">
    <w:name w:val="页眉 Char"/>
    <w:link w:val="a6"/>
    <w:uiPriority w:val="99"/>
    <w:semiHidden/>
    <w:qFormat/>
    <w:rPr>
      <w:kern w:val="2"/>
      <w:sz w:val="18"/>
      <w:szCs w:val="18"/>
    </w:rPr>
  </w:style>
  <w:style w:type="character" w:customStyle="1" w:styleId="Char0">
    <w:name w:val="批注框文本 Char"/>
    <w:link w:val="a4"/>
    <w:uiPriority w:val="99"/>
    <w:semiHidden/>
    <w:qFormat/>
    <w:rPr>
      <w:kern w:val="2"/>
      <w:sz w:val="18"/>
      <w:szCs w:val="18"/>
    </w:rPr>
  </w:style>
  <w:style w:type="character" w:customStyle="1" w:styleId="Char3">
    <w:name w:val="批注主题 Char"/>
    <w:link w:val="a7"/>
    <w:uiPriority w:val="99"/>
    <w:semiHidden/>
    <w:qFormat/>
    <w:rPr>
      <w:b/>
      <w:bCs/>
      <w:kern w:val="2"/>
      <w:sz w:val="21"/>
      <w:szCs w:val="22"/>
    </w:rPr>
  </w:style>
  <w:style w:type="character" w:customStyle="1" w:styleId="Char">
    <w:name w:val="批注文字 Char"/>
    <w:link w:val="a3"/>
    <w:uiPriority w:val="99"/>
    <w:semiHidden/>
    <w:qFormat/>
    <w:rPr>
      <w:kern w:val="2"/>
      <w:sz w:val="21"/>
      <w:szCs w:val="22"/>
    </w:rPr>
  </w:style>
  <w:style w:type="paragraph" w:customStyle="1" w:styleId="Char10">
    <w:name w:val="Char1"/>
    <w:basedOn w:val="a"/>
    <w:qFormat/>
    <w:pPr>
      <w:tabs>
        <w:tab w:val="left" w:pos="840"/>
      </w:tabs>
      <w:ind w:left="840" w:hanging="420"/>
    </w:pPr>
    <w:rPr>
      <w:sz w:val="24"/>
      <w:szCs w:val="24"/>
    </w:rPr>
  </w:style>
  <w:style w:type="paragraph" w:customStyle="1" w:styleId="Style16">
    <w:name w:val="_Style 16"/>
    <w:uiPriority w:val="99"/>
    <w:semiHidden/>
    <w:qFormat/>
    <w:rPr>
      <w:kern w:val="2"/>
      <w:sz w:val="21"/>
      <w:szCs w:val="22"/>
    </w:rPr>
  </w:style>
  <w:style w:type="paragraph" w:customStyle="1" w:styleId="New">
    <w:name w:val="正文 New"/>
    <w:qFormat/>
    <w:pPr>
      <w:widowControl w:val="0"/>
      <w:jc w:val="both"/>
    </w:pPr>
    <w:rPr>
      <w:kern w:val="2"/>
      <w:sz w:val="21"/>
      <w:szCs w:val="24"/>
    </w:rPr>
  </w:style>
  <w:style w:type="paragraph" w:styleId="aa">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29616;&#26377;&#36164;&#26009;\&#35780;&#20272;\&#30058;&#31162;&#23616;&#35201;&#27714;\&#12304;&#31319;&#65288;&#30058;&#65289;&#29615;&#31649;&#24433;&#12308;2021&#12309;&#215;&#21495;&#12305;&#29615;&#35780;&#25209;&#22797;&#27169;&#26495;-&#29615;&#35780;&#25253;&#21578;&#34920;&#65288;2021&#24180;6&#26376;&#29256;&#26032;&#65289;-&#20313;&#2403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【穗（番）环管影〔2021〕×号】环评批复模板-环评报告表（2021年6月版新）-余工.dot</Template>
  <TotalTime>301</TotalTime>
  <Pages>4</Pages>
  <Words>322</Words>
  <Characters>1841</Characters>
  <Application>Microsoft Office Word</Application>
  <DocSecurity>0</DocSecurity>
  <Lines>15</Lines>
  <Paragraphs>4</Paragraphs>
  <ScaleCrop>false</ScaleCrop>
  <Company>微软中国</Company>
  <LinksUpToDate>false</LinksUpToDate>
  <CharactersWithSpaces>2159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75</cp:revision>
  <cp:lastPrinted>2025-03-18T09:27:00Z</cp:lastPrinted>
  <dcterms:created xsi:type="dcterms:W3CDTF">2021-06-10T06:25:00Z</dcterms:created>
  <dcterms:modified xsi:type="dcterms:W3CDTF">2025-03-19T07:47:00Z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2052-12.1.0.19770</vt:lpwstr>
  </property>
  <property fmtid="{D5CDD505-2E9C-101B-9397-08002B2CF9AE}" pid="4" name="ICV">
    <vt:lpwstr>D94425E37B1A4D348FD2B111F16A41FB_13</vt:lpwstr>
  </property>
  <property fmtid="{D5CDD505-2E9C-101B-9397-08002B2CF9AE}" pid="5" name="KSOTemplateDocerSaveRecord">
    <vt:lpwstr>eyJoZGlkIjoiNDU3NTVhOGM1MjA1MmQ1OWM0MmMyOGQyN2ZlOGY5OGMiLCJ1c2VySWQiOiIyNDQ3Mzk4NDAifQ==</vt:lpwstr>
  </property>
</Properties>
</file>