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keepNext/>
        <w:keepLines/>
        <w:spacing w:before="0" w:after="0" w:line="560" w:lineRule="exact"/>
        <w:rPr>
          <w:rFonts w:ascii="方正小标宋简体" w:eastAsia="方正小标宋简体"/>
          <w:color w:val="auto"/>
          <w:lang w:val="en-US"/>
        </w:rPr>
      </w:pPr>
      <w:bookmarkStart w:id="58" w:name="_GoBack"/>
      <w:bookmarkEnd w:id="58"/>
      <w:bookmarkStart w:id="0" w:name="bookmark2"/>
      <w:bookmarkStart w:id="1" w:name="bookmark0"/>
      <w:bookmarkStart w:id="2" w:name="bookmark1"/>
    </w:p>
    <w:p>
      <w:pPr>
        <w:pStyle w:val="10"/>
        <w:keepNext/>
        <w:keepLines/>
        <w:spacing w:before="0" w:after="0" w:line="560" w:lineRule="exact"/>
        <w:rPr>
          <w:rFonts w:ascii="方正小标宋简体" w:eastAsia="PMingLiU"/>
          <w:color w:val="auto"/>
          <w:lang w:val="en-US"/>
        </w:rPr>
      </w:pPr>
    </w:p>
    <w:p>
      <w:pPr>
        <w:pStyle w:val="10"/>
        <w:keepNext/>
        <w:keepLines/>
        <w:spacing w:before="0" w:after="0" w:line="560" w:lineRule="exact"/>
        <w:rPr>
          <w:rFonts w:ascii="方正小标宋简体" w:eastAsia="PMingLiU"/>
          <w:color w:val="auto"/>
          <w:lang w:val="en-US"/>
        </w:rPr>
      </w:pPr>
    </w:p>
    <w:p>
      <w:pPr>
        <w:pStyle w:val="10"/>
        <w:keepNext/>
        <w:keepLines/>
        <w:spacing w:before="0" w:after="0" w:line="560" w:lineRule="exact"/>
        <w:rPr>
          <w:rFonts w:ascii="方正小标宋简体" w:eastAsia="方正小标宋简体"/>
          <w:b/>
          <w:bCs/>
          <w:color w:val="auto"/>
          <w:sz w:val="44"/>
          <w:szCs w:val="44"/>
        </w:rPr>
      </w:pPr>
      <w:r>
        <w:rPr>
          <w:rFonts w:hint="eastAsia" w:ascii="方正小标宋简体" w:eastAsia="方正小标宋简体"/>
          <w:b/>
          <w:bCs/>
          <w:color w:val="auto"/>
          <w:sz w:val="44"/>
          <w:szCs w:val="44"/>
          <w:lang w:val="en-US" w:eastAsia="zh-CN"/>
        </w:rPr>
        <w:t>化龙镇</w:t>
      </w:r>
      <w:r>
        <w:rPr>
          <w:rFonts w:hint="eastAsia" w:ascii="方正小标宋简体" w:eastAsia="方正小标宋简体"/>
          <w:b/>
          <w:bCs/>
          <w:color w:val="auto"/>
          <w:sz w:val="44"/>
          <w:szCs w:val="44"/>
          <w:lang w:val="en-US"/>
        </w:rPr>
        <w:t>社工</w:t>
      </w:r>
      <w:r>
        <w:rPr>
          <w:rFonts w:hint="eastAsia" w:ascii="方正小标宋简体" w:eastAsia="方正小标宋简体"/>
          <w:b/>
          <w:bCs/>
          <w:color w:val="auto"/>
          <w:sz w:val="44"/>
          <w:szCs w:val="44"/>
        </w:rPr>
        <w:t>服务站</w:t>
      </w:r>
      <w:r>
        <w:rPr>
          <w:rFonts w:hint="eastAsia" w:ascii="方正小标宋简体" w:eastAsia="方正小标宋简体"/>
          <w:b/>
          <w:bCs/>
          <w:color w:val="auto"/>
          <w:sz w:val="44"/>
          <w:szCs w:val="44"/>
          <w:lang w:eastAsia="zh-CN"/>
        </w:rPr>
        <w:t>中期</w:t>
      </w:r>
      <w:r>
        <w:rPr>
          <w:rFonts w:hint="eastAsia" w:ascii="方正小标宋简体" w:eastAsia="方正小标宋简体"/>
          <w:b/>
          <w:bCs/>
          <w:color w:val="auto"/>
          <w:sz w:val="44"/>
          <w:szCs w:val="44"/>
        </w:rPr>
        <w:t>评估报告</w:t>
      </w:r>
      <w:bookmarkEnd w:id="0"/>
      <w:bookmarkEnd w:id="1"/>
      <w:bookmarkEnd w:id="2"/>
    </w:p>
    <w:p>
      <w:pPr>
        <w:pStyle w:val="10"/>
        <w:keepNext/>
        <w:keepLines/>
        <w:spacing w:before="0" w:after="0" w:line="560" w:lineRule="exact"/>
        <w:rPr>
          <w:rFonts w:ascii="方正小标宋简体" w:eastAsia="方正小标宋简体"/>
          <w:b/>
          <w:bCs/>
          <w:color w:val="auto"/>
          <w:sz w:val="44"/>
          <w:szCs w:val="44"/>
          <w:lang w:eastAsia="zh-CN"/>
        </w:rPr>
      </w:pPr>
      <w:r>
        <w:rPr>
          <w:rFonts w:hint="eastAsia" w:ascii="方正小标宋简体" w:eastAsia="方正小标宋简体"/>
          <w:b/>
          <w:bCs/>
          <w:color w:val="auto"/>
          <w:sz w:val="44"/>
          <w:szCs w:val="44"/>
          <w:lang w:eastAsia="zh-CN"/>
        </w:rPr>
        <w:t>（202</w:t>
      </w:r>
      <w:r>
        <w:rPr>
          <w:rFonts w:hint="eastAsia" w:ascii="方正小标宋简体" w:eastAsia="方正小标宋简体"/>
          <w:b/>
          <w:bCs/>
          <w:color w:val="auto"/>
          <w:sz w:val="44"/>
          <w:szCs w:val="44"/>
          <w:lang w:val="en-US" w:eastAsia="zh-CN"/>
        </w:rPr>
        <w:t>4</w:t>
      </w:r>
      <w:r>
        <w:rPr>
          <w:rFonts w:hint="eastAsia" w:ascii="方正小标宋简体" w:eastAsia="方正小标宋简体"/>
          <w:b/>
          <w:bCs/>
          <w:color w:val="auto"/>
          <w:sz w:val="44"/>
          <w:szCs w:val="44"/>
          <w:lang w:eastAsia="zh-CN"/>
        </w:rPr>
        <w:t>年8月</w:t>
      </w:r>
      <w:r>
        <w:rPr>
          <w:rFonts w:hint="eastAsia" w:ascii="方正小标宋简体" w:eastAsia="方正小标宋简体"/>
          <w:b/>
          <w:bCs/>
          <w:color w:val="auto"/>
          <w:sz w:val="44"/>
          <w:szCs w:val="44"/>
          <w:lang w:val="en-US" w:eastAsia="zh-CN"/>
        </w:rPr>
        <w:t>9</w:t>
      </w:r>
      <w:r>
        <w:rPr>
          <w:rFonts w:hint="eastAsia" w:ascii="方正小标宋简体" w:eastAsia="方正小标宋简体"/>
          <w:b/>
          <w:bCs/>
          <w:color w:val="auto"/>
          <w:sz w:val="44"/>
          <w:szCs w:val="44"/>
          <w:lang w:eastAsia="zh-CN"/>
        </w:rPr>
        <w:t>日—202</w:t>
      </w:r>
      <w:r>
        <w:rPr>
          <w:rFonts w:hint="eastAsia" w:ascii="方正小标宋简体" w:eastAsia="方正小标宋简体"/>
          <w:b/>
          <w:bCs/>
          <w:color w:val="auto"/>
          <w:sz w:val="44"/>
          <w:szCs w:val="44"/>
          <w:lang w:val="en-US" w:eastAsia="zh-CN"/>
        </w:rPr>
        <w:t>5</w:t>
      </w:r>
      <w:r>
        <w:rPr>
          <w:rFonts w:hint="eastAsia" w:ascii="方正小标宋简体" w:eastAsia="方正小标宋简体"/>
          <w:b/>
          <w:bCs/>
          <w:color w:val="auto"/>
          <w:sz w:val="44"/>
          <w:szCs w:val="44"/>
          <w:lang w:eastAsia="zh-CN"/>
        </w:rPr>
        <w:t>年8月</w:t>
      </w:r>
      <w:r>
        <w:rPr>
          <w:rFonts w:hint="eastAsia" w:ascii="方正小标宋简体" w:eastAsia="方正小标宋简体"/>
          <w:b/>
          <w:bCs/>
          <w:color w:val="auto"/>
          <w:sz w:val="44"/>
          <w:szCs w:val="44"/>
          <w:lang w:val="en-US" w:eastAsia="zh-CN"/>
        </w:rPr>
        <w:t>8</w:t>
      </w:r>
      <w:r>
        <w:rPr>
          <w:rFonts w:hint="eastAsia" w:ascii="方正小标宋简体" w:eastAsia="方正小标宋简体"/>
          <w:b/>
          <w:bCs/>
          <w:color w:val="auto"/>
          <w:sz w:val="44"/>
          <w:szCs w:val="44"/>
          <w:lang w:eastAsia="zh-CN"/>
        </w:rPr>
        <w:t>日）</w:t>
      </w:r>
    </w:p>
    <w:p>
      <w:pPr>
        <w:pStyle w:val="12"/>
        <w:spacing w:after="0" w:line="560" w:lineRule="exact"/>
        <w:ind w:firstLine="2529" w:firstLineChars="900"/>
        <w:jc w:val="both"/>
        <w:rPr>
          <w:rFonts w:ascii="仿宋_GB2312" w:eastAsia="PMingLiU"/>
          <w:b/>
          <w:color w:val="auto"/>
        </w:rPr>
      </w:pPr>
      <w:bookmarkStart w:id="3" w:name="bookmark3"/>
      <w:bookmarkStart w:id="4" w:name="bookmark5"/>
      <w:bookmarkStart w:id="5" w:name="bookmark4"/>
    </w:p>
    <w:p>
      <w:pPr>
        <w:pStyle w:val="12"/>
        <w:spacing w:after="0" w:line="560" w:lineRule="exact"/>
        <w:ind w:firstLine="2529" w:firstLineChars="900"/>
        <w:jc w:val="both"/>
        <w:rPr>
          <w:rFonts w:ascii="仿宋_GB2312" w:eastAsia="PMingLiU"/>
          <w:b/>
          <w:color w:val="auto"/>
        </w:rPr>
      </w:pPr>
    </w:p>
    <w:p>
      <w:pPr>
        <w:pStyle w:val="12"/>
        <w:spacing w:after="0" w:line="560" w:lineRule="exact"/>
        <w:ind w:firstLine="2529" w:firstLineChars="900"/>
        <w:jc w:val="both"/>
        <w:rPr>
          <w:rFonts w:ascii="仿宋_GB2312" w:eastAsia="PMingLiU"/>
          <w:b/>
          <w:color w:val="auto"/>
        </w:rPr>
      </w:pPr>
    </w:p>
    <w:p>
      <w:pPr>
        <w:pStyle w:val="12"/>
        <w:spacing w:after="0" w:line="560" w:lineRule="exact"/>
        <w:ind w:firstLine="2529" w:firstLineChars="900"/>
        <w:jc w:val="both"/>
        <w:rPr>
          <w:rFonts w:ascii="仿宋_GB2312" w:eastAsia="PMingLiU"/>
          <w:b/>
          <w:color w:val="auto"/>
        </w:rPr>
      </w:pPr>
    </w:p>
    <w:p>
      <w:pPr>
        <w:pStyle w:val="12"/>
        <w:spacing w:after="0" w:line="560" w:lineRule="exact"/>
        <w:ind w:firstLine="2529" w:firstLineChars="900"/>
        <w:jc w:val="both"/>
        <w:rPr>
          <w:rFonts w:ascii="仿宋_GB2312" w:eastAsia="PMingLiU"/>
          <w:b/>
          <w:color w:val="auto"/>
        </w:rPr>
      </w:pPr>
    </w:p>
    <w:p>
      <w:pPr>
        <w:pStyle w:val="12"/>
        <w:spacing w:after="0" w:line="560" w:lineRule="exact"/>
        <w:ind w:firstLine="2529" w:firstLineChars="900"/>
        <w:jc w:val="both"/>
        <w:rPr>
          <w:rFonts w:ascii="仿宋_GB2312" w:eastAsia="PMingLiU"/>
          <w:b/>
          <w:color w:val="auto"/>
        </w:rPr>
      </w:pPr>
    </w:p>
    <w:p>
      <w:pPr>
        <w:pStyle w:val="12"/>
        <w:spacing w:after="0" w:line="560" w:lineRule="exact"/>
        <w:ind w:firstLine="2529" w:firstLineChars="900"/>
        <w:jc w:val="both"/>
        <w:rPr>
          <w:rFonts w:ascii="仿宋_GB2312" w:eastAsia="PMingLiU"/>
          <w:b/>
          <w:color w:val="auto"/>
        </w:rPr>
      </w:pPr>
    </w:p>
    <w:p>
      <w:pPr>
        <w:pStyle w:val="12"/>
        <w:spacing w:after="0" w:line="560" w:lineRule="exact"/>
        <w:ind w:firstLine="2529" w:firstLineChars="900"/>
        <w:jc w:val="both"/>
        <w:rPr>
          <w:rFonts w:ascii="仿宋_GB2312" w:eastAsia="PMingLiU"/>
          <w:b/>
          <w:color w:val="auto"/>
        </w:rPr>
      </w:pPr>
    </w:p>
    <w:p>
      <w:pPr>
        <w:pStyle w:val="12"/>
        <w:spacing w:after="0" w:line="560" w:lineRule="exact"/>
        <w:ind w:firstLine="2529" w:firstLineChars="900"/>
        <w:jc w:val="both"/>
        <w:rPr>
          <w:rFonts w:ascii="仿宋_GB2312" w:eastAsia="PMingLiU"/>
          <w:b/>
          <w:color w:val="auto"/>
        </w:rPr>
      </w:pPr>
    </w:p>
    <w:p>
      <w:pPr>
        <w:pStyle w:val="12"/>
        <w:spacing w:after="0" w:line="560" w:lineRule="exact"/>
        <w:ind w:firstLine="2529" w:firstLineChars="900"/>
        <w:jc w:val="both"/>
        <w:rPr>
          <w:rFonts w:ascii="仿宋_GB2312" w:eastAsia="PMingLiU"/>
          <w:b/>
          <w:color w:val="auto"/>
        </w:rPr>
      </w:pPr>
    </w:p>
    <w:p>
      <w:pPr>
        <w:pStyle w:val="12"/>
        <w:spacing w:after="0" w:line="560" w:lineRule="exact"/>
        <w:ind w:firstLine="2085" w:firstLineChars="742"/>
        <w:jc w:val="both"/>
        <w:rPr>
          <w:rFonts w:ascii="仿宋_GB2312" w:eastAsia="仿宋_GB2312"/>
          <w:b/>
          <w:color w:val="auto"/>
        </w:rPr>
      </w:pPr>
      <w:r>
        <w:rPr>
          <w:rFonts w:hint="eastAsia" w:ascii="仿宋_GB2312" w:eastAsia="仿宋_GB2312"/>
          <w:b/>
          <w:color w:val="auto"/>
        </w:rPr>
        <w:t>评估委托方：广州市</w:t>
      </w:r>
      <w:r>
        <w:rPr>
          <w:rFonts w:hint="eastAsia" w:ascii="仿宋_GB2312" w:eastAsia="仿宋_GB2312"/>
          <w:b/>
          <w:color w:val="auto"/>
          <w:lang w:val="en-US"/>
        </w:rPr>
        <w:t>番禺</w:t>
      </w:r>
      <w:r>
        <w:rPr>
          <w:rFonts w:hint="eastAsia" w:ascii="仿宋_GB2312" w:eastAsia="仿宋_GB2312"/>
          <w:b/>
          <w:color w:val="auto"/>
        </w:rPr>
        <w:t>区民政局</w:t>
      </w:r>
    </w:p>
    <w:p>
      <w:pPr>
        <w:pStyle w:val="12"/>
        <w:spacing w:after="0" w:line="560" w:lineRule="exact"/>
        <w:ind w:firstLine="2085" w:firstLineChars="742"/>
        <w:jc w:val="both"/>
        <w:rPr>
          <w:rFonts w:hint="default" w:ascii="仿宋_GB2312" w:eastAsia="仿宋_GB2312"/>
          <w:b/>
          <w:color w:val="auto"/>
          <w:lang w:val="en-US"/>
        </w:rPr>
      </w:pPr>
      <w:r>
        <w:rPr>
          <w:rFonts w:hint="eastAsia" w:ascii="仿宋_GB2312" w:eastAsia="仿宋_GB2312"/>
          <w:b/>
          <w:color w:val="auto"/>
        </w:rPr>
        <w:t>项目购买方：广州市</w:t>
      </w:r>
      <w:r>
        <w:rPr>
          <w:rFonts w:hint="eastAsia" w:ascii="仿宋_GB2312" w:eastAsia="仿宋_GB2312"/>
          <w:b/>
          <w:color w:val="auto"/>
          <w:lang w:val="en-US"/>
        </w:rPr>
        <w:t>番禺区</w:t>
      </w:r>
      <w:r>
        <w:rPr>
          <w:rFonts w:hint="eastAsia" w:ascii="仿宋_GB2312" w:eastAsia="仿宋_GB2312"/>
          <w:b/>
          <w:color w:val="auto"/>
          <w:lang w:val="en-US" w:eastAsia="zh-CN"/>
        </w:rPr>
        <w:t>化龙镇人民政府</w:t>
      </w:r>
    </w:p>
    <w:p>
      <w:pPr>
        <w:pStyle w:val="12"/>
        <w:spacing w:after="0" w:line="560" w:lineRule="exact"/>
        <w:ind w:firstLine="2085" w:firstLineChars="742"/>
        <w:jc w:val="both"/>
        <w:rPr>
          <w:rFonts w:hint="default" w:ascii="仿宋_GB2312" w:eastAsia="仿宋_GB2312"/>
          <w:b/>
          <w:color w:val="auto"/>
          <w:lang w:val="en-US" w:eastAsia="zh-CN"/>
        </w:rPr>
      </w:pPr>
      <w:r>
        <w:rPr>
          <w:rFonts w:hint="eastAsia" w:ascii="仿宋_GB2312" w:eastAsia="仿宋_GB2312"/>
          <w:b/>
          <w:color w:val="auto"/>
        </w:rPr>
        <w:t>项目承办方：广州市番禺区普爱社会工作服务社</w:t>
      </w:r>
    </w:p>
    <w:p>
      <w:pPr>
        <w:pStyle w:val="12"/>
        <w:spacing w:after="0" w:line="560" w:lineRule="exact"/>
        <w:ind w:firstLine="2085" w:firstLineChars="742"/>
        <w:jc w:val="both"/>
        <w:rPr>
          <w:rFonts w:ascii="仿宋_GB2312" w:eastAsia="仿宋_GB2312"/>
          <w:b/>
          <w:color w:val="auto"/>
        </w:rPr>
      </w:pPr>
      <w:r>
        <w:rPr>
          <w:rFonts w:hint="eastAsia" w:ascii="仿宋_GB2312" w:eastAsia="仿宋_GB2312"/>
          <w:b/>
          <w:color w:val="auto"/>
        </w:rPr>
        <w:t>项目评估方：</w:t>
      </w:r>
      <w:r>
        <w:rPr>
          <w:rFonts w:hint="eastAsia" w:ascii="仿宋_GB2312" w:eastAsia="仿宋_GB2312"/>
          <w:b/>
          <w:color w:val="auto"/>
          <w:lang w:val="en-US"/>
        </w:rPr>
        <w:t>广州市番禺区</w:t>
      </w:r>
      <w:r>
        <w:rPr>
          <w:rFonts w:hint="eastAsia" w:ascii="仿宋_GB2312" w:eastAsia="仿宋_GB2312"/>
          <w:b/>
          <w:color w:val="auto"/>
        </w:rPr>
        <w:t>社会组织联合会</w:t>
      </w:r>
    </w:p>
    <w:p>
      <w:pPr>
        <w:pStyle w:val="12"/>
        <w:spacing w:after="0" w:line="560" w:lineRule="exact"/>
        <w:ind w:firstLine="2085" w:firstLineChars="742"/>
        <w:jc w:val="both"/>
        <w:rPr>
          <w:rFonts w:ascii="仿宋_GB2312" w:eastAsia="仿宋_GB2312"/>
          <w:b/>
          <w:color w:val="auto"/>
        </w:rPr>
      </w:pPr>
      <w:r>
        <w:rPr>
          <w:rFonts w:hint="eastAsia" w:ascii="仿宋_GB2312" w:eastAsia="仿宋_GB2312"/>
          <w:b/>
          <w:color w:val="auto"/>
        </w:rPr>
        <w:t>评估日期：</w:t>
      </w:r>
      <w:r>
        <w:rPr>
          <w:rFonts w:hint="eastAsia" w:ascii="仿宋_GB2312" w:eastAsia="仿宋_GB2312"/>
          <w:b/>
          <w:color w:val="auto"/>
          <w:lang w:val="en-US" w:eastAsia="zh-CN"/>
        </w:rPr>
        <w:t>2025年2</w:t>
      </w:r>
      <w:r>
        <w:rPr>
          <w:rFonts w:hint="eastAsia" w:ascii="仿宋_GB2312" w:eastAsia="仿宋_GB2312"/>
          <w:b/>
          <w:color w:val="auto"/>
          <w:lang w:val="en-US"/>
        </w:rPr>
        <w:t>月</w:t>
      </w:r>
      <w:r>
        <w:rPr>
          <w:rFonts w:hint="eastAsia" w:ascii="仿宋_GB2312" w:eastAsia="仿宋_GB2312"/>
          <w:b/>
          <w:color w:val="auto"/>
          <w:lang w:val="en-US" w:eastAsia="zh-CN"/>
        </w:rPr>
        <w:t>25</w:t>
      </w:r>
      <w:r>
        <w:rPr>
          <w:rFonts w:hint="eastAsia" w:ascii="仿宋_GB2312" w:eastAsia="仿宋_GB2312"/>
          <w:b/>
          <w:color w:val="auto"/>
          <w:lang w:val="en-US"/>
        </w:rPr>
        <w:t>日</w:t>
      </w:r>
    </w:p>
    <w:p>
      <w:pPr>
        <w:pStyle w:val="12"/>
        <w:spacing w:after="0" w:line="240" w:lineRule="auto"/>
        <w:ind w:firstLine="0"/>
        <w:rPr>
          <w:color w:val="auto"/>
        </w:rPr>
      </w:pPr>
    </w:p>
    <w:p>
      <w:pPr>
        <w:pStyle w:val="12"/>
        <w:spacing w:after="0" w:line="240" w:lineRule="auto"/>
        <w:ind w:firstLine="0"/>
        <w:rPr>
          <w:color w:val="auto"/>
        </w:rPr>
      </w:pPr>
    </w:p>
    <w:p>
      <w:pPr>
        <w:pStyle w:val="12"/>
        <w:spacing w:after="0" w:line="240" w:lineRule="auto"/>
        <w:ind w:firstLine="0"/>
        <w:rPr>
          <w:color w:val="auto"/>
        </w:rPr>
      </w:pPr>
    </w:p>
    <w:p>
      <w:pPr>
        <w:pStyle w:val="12"/>
        <w:spacing w:after="0" w:line="240" w:lineRule="auto"/>
        <w:ind w:firstLine="0"/>
        <w:rPr>
          <w:color w:val="auto"/>
        </w:rPr>
      </w:pPr>
    </w:p>
    <w:p>
      <w:pPr>
        <w:pStyle w:val="12"/>
        <w:spacing w:after="0" w:line="240" w:lineRule="auto"/>
        <w:ind w:firstLine="0"/>
        <w:rPr>
          <w:rFonts w:eastAsia="PMingLiU"/>
          <w:color w:val="auto"/>
        </w:rPr>
        <w:sectPr>
          <w:pgSz w:w="11900" w:h="16840"/>
          <w:pgMar w:top="1301" w:right="876" w:bottom="1373" w:left="885" w:header="457" w:footer="448" w:gutter="0"/>
          <w:cols w:space="720" w:num="1"/>
          <w:docGrid w:linePitch="360" w:charSpace="0"/>
        </w:sectPr>
      </w:pPr>
    </w:p>
    <w:p>
      <w:pPr>
        <w:pStyle w:val="12"/>
        <w:spacing w:after="0" w:line="240" w:lineRule="auto"/>
        <w:ind w:firstLine="0"/>
        <w:rPr>
          <w:color w:val="auto"/>
        </w:rPr>
      </w:pPr>
    </w:p>
    <w:bookmarkEnd w:id="3"/>
    <w:bookmarkEnd w:id="4"/>
    <w:bookmarkEnd w:id="5"/>
    <w:p>
      <w:pPr>
        <w:pStyle w:val="10"/>
        <w:keepNext/>
        <w:keepLines/>
        <w:spacing w:before="0" w:after="0" w:line="560" w:lineRule="exact"/>
        <w:rPr>
          <w:rFonts w:ascii="方正小标宋简体" w:eastAsia="方正小标宋简体"/>
          <w:b/>
          <w:bCs/>
          <w:color w:val="auto"/>
          <w:sz w:val="44"/>
          <w:szCs w:val="44"/>
        </w:rPr>
      </w:pPr>
      <w:r>
        <w:rPr>
          <w:rFonts w:hint="eastAsia" w:ascii="方正小标宋简体" w:eastAsia="方正小标宋简体"/>
          <w:b/>
          <w:bCs/>
          <w:color w:val="auto"/>
          <w:sz w:val="44"/>
          <w:szCs w:val="44"/>
          <w:lang w:val="en-US" w:eastAsia="zh-CN"/>
        </w:rPr>
        <w:t>化龙镇</w:t>
      </w:r>
      <w:r>
        <w:rPr>
          <w:rFonts w:hint="eastAsia" w:ascii="方正小标宋简体" w:eastAsia="方正小标宋简体"/>
          <w:b/>
          <w:bCs/>
          <w:color w:val="auto"/>
          <w:sz w:val="44"/>
          <w:szCs w:val="44"/>
          <w:lang w:val="en-US"/>
        </w:rPr>
        <w:t>社工</w:t>
      </w:r>
      <w:r>
        <w:rPr>
          <w:rFonts w:hint="eastAsia" w:ascii="方正小标宋简体" w:eastAsia="方正小标宋简体"/>
          <w:b/>
          <w:bCs/>
          <w:color w:val="auto"/>
          <w:sz w:val="44"/>
          <w:szCs w:val="44"/>
        </w:rPr>
        <w:t>服务站</w:t>
      </w:r>
      <w:r>
        <w:rPr>
          <w:rFonts w:hint="eastAsia" w:ascii="方正小标宋简体" w:eastAsia="方正小标宋简体"/>
          <w:b/>
          <w:bCs/>
          <w:color w:val="auto"/>
          <w:sz w:val="44"/>
          <w:szCs w:val="44"/>
          <w:lang w:eastAsia="zh-CN"/>
        </w:rPr>
        <w:t>中期</w:t>
      </w:r>
      <w:r>
        <w:rPr>
          <w:rFonts w:hint="eastAsia" w:ascii="方正小标宋简体" w:eastAsia="方正小标宋简体"/>
          <w:b/>
          <w:bCs/>
          <w:color w:val="auto"/>
          <w:sz w:val="44"/>
          <w:szCs w:val="44"/>
        </w:rPr>
        <w:t>评估报告</w:t>
      </w:r>
    </w:p>
    <w:p>
      <w:pPr>
        <w:pStyle w:val="10"/>
        <w:keepNext/>
        <w:keepLines/>
        <w:spacing w:before="0" w:after="0" w:line="560" w:lineRule="exact"/>
        <w:rPr>
          <w:rFonts w:ascii="方正小标宋简体" w:eastAsia="方正小标宋简体"/>
          <w:b/>
          <w:bCs/>
          <w:color w:val="auto"/>
          <w:sz w:val="44"/>
          <w:szCs w:val="44"/>
          <w:lang w:eastAsia="zh-CN"/>
        </w:rPr>
      </w:pPr>
      <w:r>
        <w:rPr>
          <w:rFonts w:hint="eastAsia" w:ascii="方正小标宋简体" w:eastAsia="方正小标宋简体"/>
          <w:b/>
          <w:bCs/>
          <w:color w:val="auto"/>
          <w:sz w:val="44"/>
          <w:szCs w:val="44"/>
          <w:lang w:eastAsia="zh-CN"/>
        </w:rPr>
        <w:t>（202</w:t>
      </w:r>
      <w:r>
        <w:rPr>
          <w:rFonts w:hint="eastAsia" w:ascii="方正小标宋简体" w:eastAsia="方正小标宋简体"/>
          <w:b/>
          <w:bCs/>
          <w:color w:val="auto"/>
          <w:sz w:val="44"/>
          <w:szCs w:val="44"/>
          <w:lang w:val="en-US" w:eastAsia="zh-CN"/>
        </w:rPr>
        <w:t>4</w:t>
      </w:r>
      <w:r>
        <w:rPr>
          <w:rFonts w:hint="eastAsia" w:ascii="方正小标宋简体" w:eastAsia="方正小标宋简体"/>
          <w:b/>
          <w:bCs/>
          <w:color w:val="auto"/>
          <w:sz w:val="44"/>
          <w:szCs w:val="44"/>
          <w:lang w:eastAsia="zh-CN"/>
        </w:rPr>
        <w:t>年8月</w:t>
      </w:r>
      <w:r>
        <w:rPr>
          <w:rFonts w:hint="eastAsia" w:ascii="方正小标宋简体" w:eastAsia="方正小标宋简体"/>
          <w:b/>
          <w:bCs/>
          <w:color w:val="auto"/>
          <w:sz w:val="44"/>
          <w:szCs w:val="44"/>
          <w:lang w:val="en-US" w:eastAsia="zh-CN"/>
        </w:rPr>
        <w:t>9</w:t>
      </w:r>
      <w:r>
        <w:rPr>
          <w:rFonts w:hint="eastAsia" w:ascii="方正小标宋简体" w:eastAsia="方正小标宋简体"/>
          <w:b/>
          <w:bCs/>
          <w:color w:val="auto"/>
          <w:sz w:val="44"/>
          <w:szCs w:val="44"/>
          <w:lang w:eastAsia="zh-CN"/>
        </w:rPr>
        <w:t>日—202</w:t>
      </w:r>
      <w:r>
        <w:rPr>
          <w:rFonts w:hint="eastAsia" w:ascii="方正小标宋简体" w:eastAsia="方正小标宋简体"/>
          <w:b/>
          <w:bCs/>
          <w:color w:val="auto"/>
          <w:sz w:val="44"/>
          <w:szCs w:val="44"/>
          <w:lang w:val="en-US" w:eastAsia="zh-CN"/>
        </w:rPr>
        <w:t>5</w:t>
      </w:r>
      <w:r>
        <w:rPr>
          <w:rFonts w:hint="eastAsia" w:ascii="方正小标宋简体" w:eastAsia="方正小标宋简体"/>
          <w:b/>
          <w:bCs/>
          <w:color w:val="auto"/>
          <w:sz w:val="44"/>
          <w:szCs w:val="44"/>
          <w:lang w:eastAsia="zh-CN"/>
        </w:rPr>
        <w:t>年8月</w:t>
      </w:r>
      <w:r>
        <w:rPr>
          <w:rFonts w:hint="eastAsia" w:ascii="方正小标宋简体" w:eastAsia="方正小标宋简体"/>
          <w:b/>
          <w:bCs/>
          <w:color w:val="auto"/>
          <w:sz w:val="44"/>
          <w:szCs w:val="44"/>
          <w:lang w:val="en-US" w:eastAsia="zh-CN"/>
        </w:rPr>
        <w:t>8</w:t>
      </w:r>
      <w:r>
        <w:rPr>
          <w:rFonts w:hint="eastAsia" w:ascii="方正小标宋简体" w:eastAsia="方正小标宋简体"/>
          <w:b/>
          <w:bCs/>
          <w:color w:val="auto"/>
          <w:sz w:val="44"/>
          <w:szCs w:val="44"/>
          <w:lang w:eastAsia="zh-CN"/>
        </w:rPr>
        <w:t>日）</w:t>
      </w:r>
    </w:p>
    <w:p>
      <w:pPr>
        <w:pStyle w:val="12"/>
        <w:spacing w:after="0" w:line="560" w:lineRule="exact"/>
        <w:ind w:firstLine="0"/>
        <w:rPr>
          <w:rFonts w:hint="eastAsia" w:ascii="方正小标宋简体" w:eastAsia="方正小标宋简体"/>
          <w:b/>
          <w:bCs/>
          <w:color w:val="auto"/>
          <w:sz w:val="44"/>
          <w:szCs w:val="44"/>
          <w:lang w:val="en-US" w:eastAsia="zh-CN"/>
        </w:rPr>
      </w:pPr>
    </w:p>
    <w:p>
      <w:pPr>
        <w:pStyle w:val="12"/>
        <w:pageBreakBefore w:val="0"/>
        <w:widowControl w:val="0"/>
        <w:kinsoku/>
        <w:wordWrap/>
        <w:overflowPunct/>
        <w:topLinePunct w:val="0"/>
        <w:autoSpaceDE/>
        <w:autoSpaceDN/>
        <w:bidi w:val="0"/>
        <w:adjustRightInd/>
        <w:snapToGrid/>
        <w:spacing w:after="0" w:line="540" w:lineRule="exact"/>
        <w:ind w:firstLine="578"/>
        <w:jc w:val="both"/>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化龙镇社工服务站</w:t>
      </w:r>
      <w:r>
        <w:rPr>
          <w:rFonts w:hint="eastAsia" w:ascii="仿宋_GB2312" w:eastAsia="仿宋_GB2312"/>
          <w:color w:val="auto"/>
          <w:sz w:val="32"/>
          <w:szCs w:val="32"/>
        </w:rPr>
        <w:t>（简称</w:t>
      </w:r>
      <w:r>
        <w:rPr>
          <w:rFonts w:hint="eastAsia" w:ascii="仿宋_GB2312" w:eastAsia="仿宋_GB2312"/>
          <w:color w:val="auto"/>
          <w:sz w:val="32"/>
          <w:szCs w:val="32"/>
          <w:lang w:val="en-US" w:eastAsia="zh-CN"/>
        </w:rPr>
        <w:t>化龙镇</w:t>
      </w:r>
      <w:r>
        <w:rPr>
          <w:rFonts w:hint="eastAsia" w:ascii="仿宋_GB2312" w:eastAsia="仿宋_GB2312"/>
          <w:color w:val="auto"/>
          <w:sz w:val="32"/>
          <w:szCs w:val="32"/>
        </w:rPr>
        <w:t>社工站）</w:t>
      </w:r>
      <w:r>
        <w:rPr>
          <w:rFonts w:hint="eastAsia" w:ascii="仿宋_GB2312" w:eastAsia="仿宋_GB2312"/>
          <w:color w:val="auto"/>
          <w:sz w:val="32"/>
          <w:szCs w:val="32"/>
          <w:lang w:eastAsia="zh-CN"/>
        </w:rPr>
        <w:t>中期</w:t>
      </w:r>
      <w:r>
        <w:rPr>
          <w:rFonts w:hint="eastAsia" w:ascii="仿宋_GB2312" w:eastAsia="仿宋_GB2312"/>
          <w:color w:val="auto"/>
          <w:sz w:val="32"/>
          <w:szCs w:val="32"/>
        </w:rPr>
        <w:t>报告，是专业评估人员通过对</w:t>
      </w:r>
      <w:r>
        <w:rPr>
          <w:rFonts w:hint="eastAsia" w:ascii="仿宋_GB2312" w:eastAsia="仿宋_GB2312"/>
          <w:color w:val="auto"/>
          <w:sz w:val="32"/>
          <w:szCs w:val="32"/>
          <w:lang w:val="en-US" w:eastAsia="zh-CN"/>
        </w:rPr>
        <w:t>化龙镇</w:t>
      </w:r>
      <w:r>
        <w:rPr>
          <w:rFonts w:hint="eastAsia" w:ascii="仿宋_GB2312" w:eastAsia="仿宋_GB2312"/>
          <w:color w:val="auto"/>
          <w:sz w:val="32"/>
          <w:szCs w:val="32"/>
        </w:rPr>
        <w:t>社工站项目阶段性服务的全面调查、综合分析和科学判断，确定目标是否可行，总结服务开展情况，以及服务成效体现的总结文书。经过</w:t>
      </w:r>
      <w:r>
        <w:rPr>
          <w:rFonts w:hint="eastAsia" w:ascii="仿宋_GB2312" w:hAnsi="Times New Roman" w:eastAsia="仿宋_GB2312" w:cs="Times New Roman"/>
          <w:color w:val="auto"/>
          <w:sz w:val="32"/>
          <w:szCs w:val="32"/>
        </w:rPr>
        <w:t>5</w:t>
      </w:r>
      <w:r>
        <w:rPr>
          <w:rFonts w:hint="eastAsia" w:ascii="仿宋_GB2312" w:eastAsia="仿宋_GB2312"/>
          <w:color w:val="auto"/>
          <w:sz w:val="32"/>
          <w:szCs w:val="32"/>
        </w:rPr>
        <w:t>位专家及</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名工作人员</w:t>
      </w:r>
      <w:r>
        <w:rPr>
          <w:rFonts w:hint="eastAsia" w:ascii="仿宋_GB2312" w:eastAsia="仿宋_GB2312"/>
          <w:color w:val="auto"/>
          <w:sz w:val="32"/>
          <w:szCs w:val="32"/>
          <w:lang w:val="en-US"/>
        </w:rPr>
        <w:t>对</w:t>
      </w:r>
      <w:r>
        <w:rPr>
          <w:rFonts w:hint="eastAsia" w:ascii="仿宋_GB2312" w:eastAsia="仿宋_GB2312"/>
          <w:color w:val="auto"/>
          <w:sz w:val="32"/>
          <w:szCs w:val="32"/>
        </w:rPr>
        <w:t>社工站展开为期一天的实地考察、访谈、查阅资料等形式的评估，形成此报告。</w:t>
      </w:r>
      <w:r>
        <w:rPr>
          <w:rFonts w:hint="eastAsia" w:ascii="仿宋_GB2312" w:eastAsia="仿宋_GB2312"/>
          <w:color w:val="auto"/>
          <w:sz w:val="32"/>
          <w:szCs w:val="32"/>
          <w:lang w:val="en-US" w:eastAsia="zh-CN"/>
        </w:rPr>
        <w:t>化龙镇</w:t>
      </w:r>
      <w:r>
        <w:rPr>
          <w:rFonts w:hint="eastAsia" w:ascii="仿宋_GB2312" w:eastAsia="仿宋_GB2312"/>
          <w:color w:val="auto"/>
          <w:sz w:val="32"/>
          <w:szCs w:val="32"/>
        </w:rPr>
        <w:t>社工站可以将此报告作为参考，进行服务完善和提升，从多方面</w:t>
      </w:r>
      <w:r>
        <w:rPr>
          <w:rFonts w:hint="eastAsia" w:ascii="仿宋_GB2312" w:eastAsia="仿宋_GB2312"/>
          <w:color w:val="auto"/>
          <w:sz w:val="32"/>
          <w:szCs w:val="32"/>
          <w:lang w:eastAsia="zh-CN"/>
        </w:rPr>
        <w:t>夯实</w:t>
      </w:r>
      <w:r>
        <w:rPr>
          <w:rFonts w:hint="eastAsia" w:ascii="仿宋_GB2312" w:eastAsia="仿宋_GB2312"/>
          <w:color w:val="auto"/>
          <w:sz w:val="32"/>
          <w:szCs w:val="32"/>
        </w:rPr>
        <w:t>服务基础，拓展服务面，提升服务的专业化水平。本报告尽量呈现社工站的实际情况，因评估时间较短的关系，社工站部分服务成效不完全体现在报告</w:t>
      </w:r>
      <w:r>
        <w:rPr>
          <w:rFonts w:hint="eastAsia" w:ascii="仿宋_GB2312" w:eastAsia="仿宋_GB2312"/>
          <w:color w:val="auto"/>
          <w:sz w:val="32"/>
          <w:szCs w:val="32"/>
          <w:lang w:eastAsia="zh-CN"/>
        </w:rPr>
        <w:t>中</w:t>
      </w:r>
      <w:r>
        <w:rPr>
          <w:rFonts w:hint="eastAsia" w:ascii="仿宋_GB2312" w:eastAsia="仿宋_GB2312"/>
          <w:color w:val="auto"/>
          <w:sz w:val="32"/>
          <w:szCs w:val="32"/>
        </w:rPr>
        <w:t>。</w:t>
      </w:r>
    </w:p>
    <w:p>
      <w:pPr>
        <w:pStyle w:val="10"/>
        <w:keepNext/>
        <w:keepLines/>
        <w:pageBreakBefore w:val="0"/>
        <w:widowControl w:val="0"/>
        <w:kinsoku/>
        <w:wordWrap/>
        <w:overflowPunct/>
        <w:topLinePunct w:val="0"/>
        <w:autoSpaceDE/>
        <w:autoSpaceDN/>
        <w:bidi w:val="0"/>
        <w:adjustRightInd/>
        <w:snapToGrid/>
        <w:spacing w:before="0" w:after="0" w:line="540" w:lineRule="exact"/>
        <w:ind w:firstLine="642"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一、</w:t>
      </w:r>
      <w:r>
        <w:rPr>
          <w:rFonts w:hint="eastAsia" w:ascii="方正小标宋简体" w:eastAsia="方正小标宋简体"/>
          <w:b/>
          <w:bCs/>
          <w:color w:val="auto"/>
          <w:sz w:val="32"/>
          <w:szCs w:val="28"/>
          <w:lang w:val="en-US" w:eastAsia="zh-CN"/>
        </w:rPr>
        <w:t>中期</w:t>
      </w:r>
      <w:r>
        <w:rPr>
          <w:rFonts w:hint="eastAsia" w:ascii="方正小标宋简体" w:eastAsia="方正小标宋简体"/>
          <w:b/>
          <w:bCs/>
          <w:color w:val="auto"/>
          <w:sz w:val="32"/>
          <w:szCs w:val="28"/>
          <w:lang w:val="en-US"/>
        </w:rPr>
        <w:t>评估背景</w:t>
      </w:r>
    </w:p>
    <w:p>
      <w:pPr>
        <w:pStyle w:val="12"/>
        <w:pageBreakBefore w:val="0"/>
        <w:widowControl w:val="0"/>
        <w:kinsoku/>
        <w:wordWrap/>
        <w:overflowPunct/>
        <w:topLinePunct w:val="0"/>
        <w:autoSpaceDE/>
        <w:autoSpaceDN/>
        <w:bidi w:val="0"/>
        <w:adjustRightInd/>
        <w:snapToGrid/>
        <w:spacing w:after="0" w:line="540" w:lineRule="exact"/>
        <w:ind w:firstLine="578"/>
        <w:jc w:val="both"/>
        <w:textAlignment w:val="auto"/>
        <w:rPr>
          <w:rFonts w:ascii="仿宋_GB2312" w:eastAsia="仿宋_GB2312"/>
          <w:color w:val="auto"/>
          <w:sz w:val="32"/>
          <w:szCs w:val="32"/>
          <w:lang w:val="en-US" w:eastAsia="zh-CN"/>
        </w:rPr>
      </w:pPr>
      <w:r>
        <w:rPr>
          <w:rFonts w:hint="eastAsia" w:ascii="仿宋_GB2312" w:eastAsia="仿宋_GB2312"/>
          <w:color w:val="auto"/>
          <w:sz w:val="32"/>
          <w:szCs w:val="32"/>
          <w:lang w:val="en-US" w:eastAsia="zh-CN"/>
        </w:rPr>
        <w:t>2025年2月25日，番禺区社会组织联合会5位评委及2名工作人员对化龙镇社工站展开了中期评估工作。评估为期1天，主要通过听取社工站介绍、实地考察、查阅资料、面谈（访谈）、填写问卷、入户困难群众询问等形式，对化龙镇社工站的项目管理、服务开展情况以及项目成效等方面进行评估。评估团队主要完成了以下几方面的工作：</w:t>
      </w:r>
    </w:p>
    <w:p>
      <w:pPr>
        <w:pStyle w:val="12"/>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sz w:val="32"/>
          <w:szCs w:val="32"/>
        </w:rPr>
      </w:pPr>
      <w:bookmarkStart w:id="6" w:name="bookmark6"/>
      <w:bookmarkEnd w:id="6"/>
      <w:r>
        <w:rPr>
          <w:rFonts w:hint="eastAsia" w:ascii="仿宋_GB2312" w:hAnsi="仿宋_GB2312" w:eastAsia="仿宋_GB2312" w:cs="仿宋_GB2312"/>
          <w:b/>
          <w:sz w:val="32"/>
          <w:szCs w:val="32"/>
          <w:lang w:val="en-US"/>
        </w:rPr>
        <w:t>1.</w:t>
      </w:r>
      <w:r>
        <w:rPr>
          <w:rFonts w:hint="eastAsia" w:ascii="仿宋_GB2312" w:hAnsi="仿宋_GB2312" w:eastAsia="仿宋_GB2312" w:cs="仿宋_GB2312"/>
          <w:b/>
          <w:sz w:val="32"/>
          <w:szCs w:val="32"/>
        </w:rPr>
        <w:t>听取介绍。</w:t>
      </w:r>
      <w:r>
        <w:rPr>
          <w:rFonts w:hint="eastAsia" w:ascii="仿宋_GB2312" w:hAnsi="仿宋_GB2312" w:eastAsia="仿宋_GB2312" w:cs="仿宋_GB2312"/>
          <w:sz w:val="32"/>
          <w:szCs w:val="32"/>
        </w:rPr>
        <w:t>由社工站负责人介绍社工站的运营及服务情况、各项指标完成情况。</w:t>
      </w:r>
    </w:p>
    <w:p>
      <w:pPr>
        <w:pStyle w:val="12"/>
        <w:pageBreakBefore w:val="0"/>
        <w:widowControl w:val="0"/>
        <w:tabs>
          <w:tab w:val="left" w:pos="981"/>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sz w:val="32"/>
          <w:szCs w:val="32"/>
        </w:rPr>
      </w:pPr>
      <w:bookmarkStart w:id="7" w:name="bookmark7"/>
      <w:bookmarkEnd w:id="7"/>
      <w:r>
        <w:rPr>
          <w:rFonts w:hint="eastAsia" w:ascii="仿宋_GB2312" w:hAnsi="仿宋_GB2312" w:eastAsia="仿宋_GB2312" w:cs="仿宋_GB2312"/>
          <w:b/>
          <w:sz w:val="32"/>
          <w:szCs w:val="32"/>
          <w:lang w:val="en-US"/>
        </w:rPr>
        <w:t>2.</w:t>
      </w:r>
      <w:r>
        <w:rPr>
          <w:rFonts w:hint="eastAsia" w:ascii="仿宋_GB2312" w:hAnsi="仿宋_GB2312" w:eastAsia="仿宋_GB2312" w:cs="仿宋_GB2312"/>
          <w:b/>
          <w:sz w:val="32"/>
          <w:szCs w:val="32"/>
        </w:rPr>
        <w:t>实地观察。</w:t>
      </w:r>
      <w:r>
        <w:rPr>
          <w:rFonts w:hint="eastAsia" w:ascii="仿宋_GB2312" w:hAnsi="仿宋_GB2312" w:eastAsia="仿宋_GB2312" w:cs="仿宋_GB2312"/>
          <w:sz w:val="32"/>
          <w:szCs w:val="32"/>
        </w:rPr>
        <w:t>主要针对社工站硬件建设情况方面进行观察，以评估其设施开展专业服务的适宜性。</w:t>
      </w:r>
    </w:p>
    <w:p>
      <w:pPr>
        <w:pStyle w:val="12"/>
        <w:pageBreakBefore w:val="0"/>
        <w:widowControl w:val="0"/>
        <w:tabs>
          <w:tab w:val="left" w:pos="976"/>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sz w:val="32"/>
          <w:szCs w:val="32"/>
        </w:rPr>
      </w:pPr>
      <w:bookmarkStart w:id="8" w:name="bookmark8"/>
      <w:bookmarkEnd w:id="8"/>
      <w:r>
        <w:rPr>
          <w:rFonts w:hint="eastAsia" w:ascii="仿宋_GB2312" w:hAnsi="仿宋_GB2312" w:eastAsia="仿宋_GB2312" w:cs="仿宋_GB2312"/>
          <w:b/>
          <w:sz w:val="32"/>
          <w:szCs w:val="32"/>
          <w:lang w:val="en-US"/>
        </w:rPr>
        <w:t>3.</w:t>
      </w:r>
      <w:r>
        <w:rPr>
          <w:rFonts w:hint="eastAsia" w:ascii="仿宋_GB2312" w:hAnsi="仿宋_GB2312" w:eastAsia="仿宋_GB2312" w:cs="仿宋_GB2312"/>
          <w:b/>
          <w:sz w:val="32"/>
          <w:szCs w:val="32"/>
        </w:rPr>
        <w:t>查阅资料。</w:t>
      </w:r>
      <w:r>
        <w:rPr>
          <w:rFonts w:hint="eastAsia" w:ascii="仿宋_GB2312" w:hAnsi="仿宋_GB2312" w:eastAsia="仿宋_GB2312" w:cs="仿宋_GB2312"/>
          <w:sz w:val="32"/>
          <w:szCs w:val="32"/>
        </w:rPr>
        <w:t>查阅社工站</w:t>
      </w:r>
      <w:r>
        <w:rPr>
          <w:rFonts w:hint="eastAsia" w:ascii="仿宋_GB2312" w:hAnsi="仿宋_GB2312" w:eastAsia="仿宋_GB2312" w:cs="仿宋_GB2312"/>
          <w:sz w:val="32"/>
          <w:szCs w:val="32"/>
          <w:lang w:eastAsia="zh-CN"/>
        </w:rPr>
        <w:t>运营</w:t>
      </w:r>
      <w:r>
        <w:rPr>
          <w:rFonts w:hint="eastAsia" w:ascii="仿宋_GB2312" w:hAnsi="仿宋_GB2312" w:eastAsia="仿宋_GB2312" w:cs="仿宋_GB2312"/>
          <w:sz w:val="32"/>
          <w:szCs w:val="32"/>
        </w:rPr>
        <w:t>、人事管理制度及专业服务记录等方面的资料。</w:t>
      </w:r>
    </w:p>
    <w:p>
      <w:pPr>
        <w:pStyle w:val="12"/>
        <w:pageBreakBefore w:val="0"/>
        <w:widowControl w:val="0"/>
        <w:tabs>
          <w:tab w:val="left" w:pos="986"/>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sz w:val="32"/>
          <w:szCs w:val="32"/>
        </w:rPr>
      </w:pPr>
      <w:bookmarkStart w:id="9" w:name="bookmark9"/>
      <w:bookmarkEnd w:id="9"/>
      <w:r>
        <w:rPr>
          <w:rFonts w:hint="eastAsia" w:ascii="仿宋_GB2312" w:hAnsi="仿宋_GB2312" w:eastAsia="仿宋_GB2312" w:cs="仿宋_GB2312"/>
          <w:b/>
          <w:sz w:val="32"/>
          <w:szCs w:val="32"/>
          <w:lang w:val="en-US"/>
        </w:rPr>
        <w:t>4.</w:t>
      </w:r>
      <w:r>
        <w:rPr>
          <w:rFonts w:hint="eastAsia" w:ascii="仿宋_GB2312" w:hAnsi="仿宋_GB2312" w:eastAsia="仿宋_GB2312" w:cs="仿宋_GB2312"/>
          <w:b/>
          <w:sz w:val="32"/>
          <w:szCs w:val="32"/>
          <w:lang w:eastAsia="zh-CN"/>
        </w:rPr>
        <w:t>分组</w:t>
      </w:r>
      <w:r>
        <w:rPr>
          <w:rFonts w:hint="eastAsia" w:ascii="仿宋_GB2312" w:hAnsi="仿宋_GB2312" w:eastAsia="仿宋_GB2312" w:cs="仿宋_GB2312"/>
          <w:b/>
          <w:sz w:val="32"/>
          <w:szCs w:val="32"/>
        </w:rPr>
        <w:t>评估访谈。</w:t>
      </w:r>
      <w:r>
        <w:rPr>
          <w:rFonts w:hint="eastAsia" w:ascii="仿宋_GB2312" w:hAnsi="仿宋_GB2312" w:eastAsia="仿宋_GB2312" w:cs="仿宋_GB2312"/>
          <w:sz w:val="32"/>
          <w:szCs w:val="32"/>
        </w:rPr>
        <w:t>评委与社工进行访谈，了解社工服务推进情况，了解社工对服务的理解，以及开展服务的总结反思。</w:t>
      </w:r>
    </w:p>
    <w:p>
      <w:pPr>
        <w:pStyle w:val="12"/>
        <w:pageBreakBefore w:val="0"/>
        <w:widowControl w:val="0"/>
        <w:tabs>
          <w:tab w:val="left" w:pos="986"/>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sz w:val="32"/>
          <w:szCs w:val="32"/>
        </w:rPr>
      </w:pPr>
      <w:bookmarkStart w:id="10" w:name="bookmark10"/>
      <w:bookmarkEnd w:id="10"/>
      <w:r>
        <w:rPr>
          <w:rFonts w:hint="eastAsia" w:ascii="仿宋_GB2312" w:hAnsi="仿宋_GB2312" w:eastAsia="仿宋_GB2312" w:cs="仿宋_GB2312"/>
          <w:b/>
          <w:sz w:val="32"/>
          <w:szCs w:val="32"/>
          <w:lang w:val="en-US"/>
        </w:rPr>
        <w:t>5.</w:t>
      </w:r>
      <w:bookmarkStart w:id="11" w:name="bookmark12"/>
      <w:bookmarkEnd w:id="11"/>
      <w:r>
        <w:rPr>
          <w:rFonts w:hint="eastAsia" w:ascii="仿宋_GB2312" w:hAnsi="仿宋_GB2312" w:eastAsia="仿宋_GB2312" w:cs="仿宋_GB2312"/>
          <w:b/>
          <w:sz w:val="32"/>
          <w:szCs w:val="32"/>
        </w:rPr>
        <w:t>总结反馈。</w:t>
      </w:r>
      <w:r>
        <w:rPr>
          <w:rFonts w:hint="eastAsia" w:ascii="仿宋_GB2312" w:hAnsi="仿宋_GB2312" w:eastAsia="仿宋_GB2312" w:cs="仿宋_GB2312"/>
          <w:sz w:val="32"/>
          <w:szCs w:val="32"/>
        </w:rPr>
        <w:t>由评委团队对评估进行总结，与社工站社工进行反馈，听取街道购买方对社工站工作开展的意见和建议，了解社工站同事对本次活动的反馈。</w:t>
      </w:r>
    </w:p>
    <w:p>
      <w:pPr>
        <w:pStyle w:val="12"/>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b/>
          <w:sz w:val="32"/>
          <w:szCs w:val="32"/>
        </w:rPr>
      </w:pPr>
      <w:bookmarkStart w:id="12" w:name="bookmark13"/>
      <w:r>
        <w:rPr>
          <w:rFonts w:hint="eastAsia" w:ascii="仿宋_GB2312" w:hAnsi="仿宋_GB2312" w:eastAsia="仿宋_GB2312" w:cs="仿宋_GB2312"/>
          <w:b/>
          <w:sz w:val="32"/>
          <w:szCs w:val="32"/>
        </w:rPr>
        <w:t>（</w:t>
      </w:r>
      <w:bookmarkEnd w:id="12"/>
      <w:r>
        <w:rPr>
          <w:rFonts w:hint="eastAsia" w:ascii="仿宋_GB2312" w:hAnsi="仿宋_GB2312" w:eastAsia="仿宋_GB2312" w:cs="仿宋_GB2312"/>
          <w:b/>
          <w:sz w:val="32"/>
          <w:szCs w:val="32"/>
        </w:rPr>
        <w:t>一）评估依据</w:t>
      </w:r>
    </w:p>
    <w:p>
      <w:pPr>
        <w:pStyle w:val="12"/>
        <w:pageBreakBefore w:val="0"/>
        <w:widowControl w:val="0"/>
        <w:numPr>
          <w:ilvl w:val="0"/>
          <w:numId w:val="1"/>
        </w:numPr>
        <w:tabs>
          <w:tab w:val="left" w:pos="981"/>
        </w:tabs>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rPr>
      </w:pPr>
      <w:bookmarkStart w:id="13" w:name="bookmark14"/>
      <w:bookmarkEnd w:id="13"/>
      <w:r>
        <w:rPr>
          <w:rFonts w:hint="eastAsia" w:ascii="仿宋_GB2312" w:hAnsi="仿宋_GB2312" w:eastAsia="仿宋_GB2312" w:cs="仿宋_GB2312"/>
          <w:sz w:val="32"/>
          <w:szCs w:val="32"/>
        </w:rPr>
        <w:t>政策依据：《广州市社工服务站管理办法》《广州市社工站购买服务项目评估办法》《广州市社工站岗位职责》《政府购买服务管理办法》《广州市社会工作服务条例》及《民政部办公厅关于加快乡镇（街道）社工站建设的通知》、省民政厅等五部门关于实施“双百工程”的通知、方案以及省“双百工程”社工站业务工作指引等。</w:t>
      </w:r>
    </w:p>
    <w:p>
      <w:pPr>
        <w:pStyle w:val="12"/>
        <w:pageBreakBefore w:val="0"/>
        <w:widowControl w:val="0"/>
        <w:numPr>
          <w:ilvl w:val="0"/>
          <w:numId w:val="1"/>
        </w:numPr>
        <w:tabs>
          <w:tab w:val="left" w:pos="981"/>
        </w:tabs>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rPr>
      </w:pPr>
      <w:bookmarkStart w:id="14" w:name="bookmark15"/>
      <w:bookmarkEnd w:id="14"/>
      <w:r>
        <w:rPr>
          <w:rFonts w:hint="eastAsia" w:ascii="仿宋_GB2312" w:hAnsi="仿宋_GB2312" w:eastAsia="仿宋_GB2312" w:cs="仿宋_GB2312"/>
          <w:sz w:val="32"/>
          <w:szCs w:val="32"/>
        </w:rPr>
        <w:t>评估标准依据：《广州市社工站购买服务项目评估指标体系》《广州市社工站购买服务项目协议》。</w:t>
      </w:r>
    </w:p>
    <w:p>
      <w:pPr>
        <w:pStyle w:val="12"/>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b/>
          <w:sz w:val="32"/>
          <w:szCs w:val="32"/>
        </w:rPr>
      </w:pPr>
      <w:bookmarkStart w:id="15" w:name="bookmark16"/>
      <w:r>
        <w:rPr>
          <w:rFonts w:hint="eastAsia" w:ascii="仿宋_GB2312" w:hAnsi="仿宋_GB2312" w:eastAsia="仿宋_GB2312" w:cs="仿宋_GB2312"/>
          <w:b/>
          <w:sz w:val="32"/>
          <w:szCs w:val="32"/>
        </w:rPr>
        <w:t>（</w:t>
      </w:r>
      <w:bookmarkEnd w:id="15"/>
      <w:r>
        <w:rPr>
          <w:rFonts w:hint="eastAsia" w:ascii="仿宋_GB2312" w:hAnsi="仿宋_GB2312" w:eastAsia="仿宋_GB2312" w:cs="仿宋_GB2312"/>
          <w:b/>
          <w:sz w:val="32"/>
          <w:szCs w:val="32"/>
        </w:rPr>
        <w:t>二）评估原则</w:t>
      </w:r>
    </w:p>
    <w:p>
      <w:pPr>
        <w:pStyle w:val="12"/>
        <w:pageBreakBefore w:val="0"/>
        <w:widowControl w:val="0"/>
        <w:numPr>
          <w:ilvl w:val="0"/>
          <w:numId w:val="2"/>
        </w:numPr>
        <w:tabs>
          <w:tab w:val="left" w:pos="986"/>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sz w:val="32"/>
          <w:szCs w:val="32"/>
        </w:rPr>
      </w:pPr>
      <w:bookmarkStart w:id="16" w:name="bookmark17"/>
      <w:bookmarkEnd w:id="16"/>
      <w:r>
        <w:rPr>
          <w:rFonts w:hint="eastAsia" w:ascii="仿宋_GB2312" w:hAnsi="仿宋_GB2312" w:eastAsia="仿宋_GB2312" w:cs="仿宋_GB2312"/>
          <w:b/>
          <w:sz w:val="32"/>
          <w:szCs w:val="32"/>
        </w:rPr>
        <w:t>真实诚信原则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评估要求项目运营方必须以实事求是的态度对待评估，本着诚实守信的原则，提供和展示能够真实、客观反映其项目运营状况的依据和有效资料，以供评估小组考察。</w:t>
      </w:r>
    </w:p>
    <w:p>
      <w:pPr>
        <w:pStyle w:val="12"/>
        <w:pageBreakBefore w:val="0"/>
        <w:widowControl w:val="0"/>
        <w:numPr>
          <w:ilvl w:val="0"/>
          <w:numId w:val="2"/>
        </w:numPr>
        <w:tabs>
          <w:tab w:val="left" w:pos="991"/>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sz w:val="32"/>
          <w:szCs w:val="32"/>
        </w:rPr>
      </w:pPr>
      <w:bookmarkStart w:id="17" w:name="bookmark18"/>
      <w:bookmarkEnd w:id="17"/>
      <w:r>
        <w:rPr>
          <w:rFonts w:hint="eastAsia" w:ascii="仿宋_GB2312" w:hAnsi="仿宋_GB2312" w:eastAsia="仿宋_GB2312" w:cs="仿宋_GB2312"/>
          <w:b/>
          <w:sz w:val="32"/>
          <w:szCs w:val="32"/>
        </w:rPr>
        <w:t>客观公正原则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评估要求所有评委恪守</w:t>
      </w:r>
      <w:r>
        <w:rPr>
          <w:rFonts w:hint="eastAsia" w:ascii="仿宋_GB2312" w:hAnsi="仿宋_GB2312" w:eastAsia="仿宋_GB2312" w:cs="仿宋_GB2312"/>
          <w:sz w:val="32"/>
          <w:szCs w:val="32"/>
          <w:lang w:val="zh-CN" w:eastAsia="zh-CN" w:bidi="zh-CN"/>
        </w:rPr>
        <w:t>“客</w:t>
      </w:r>
      <w:r>
        <w:rPr>
          <w:rFonts w:hint="eastAsia" w:ascii="仿宋_GB2312" w:hAnsi="仿宋_GB2312" w:eastAsia="仿宋_GB2312" w:cs="仿宋_GB2312"/>
          <w:sz w:val="32"/>
          <w:szCs w:val="32"/>
        </w:rPr>
        <w:t>观公正的第三方”评估者角色，依据事实和真实情况给出客观、中肯评价意见或结论。</w:t>
      </w:r>
    </w:p>
    <w:p>
      <w:pPr>
        <w:pStyle w:val="12"/>
        <w:pageBreakBefore w:val="0"/>
        <w:widowControl w:val="0"/>
        <w:numPr>
          <w:ilvl w:val="0"/>
          <w:numId w:val="2"/>
        </w:numPr>
        <w:tabs>
          <w:tab w:val="left" w:pos="976"/>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sz w:val="32"/>
          <w:szCs w:val="32"/>
        </w:rPr>
      </w:pPr>
      <w:bookmarkStart w:id="18" w:name="bookmark19"/>
      <w:bookmarkEnd w:id="18"/>
      <w:r>
        <w:rPr>
          <w:rFonts w:hint="eastAsia" w:ascii="仿宋_GB2312" w:hAnsi="仿宋_GB2312" w:eastAsia="仿宋_GB2312" w:cs="仿宋_GB2312"/>
          <w:b/>
          <w:sz w:val="32"/>
          <w:szCs w:val="32"/>
        </w:rPr>
        <w:t>证据为本原则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评估要求项目运营方应提供有事实依据的证明资料或记录，来展示其项目运营的真实状况和成效；同时，评估要求所有评委以真实有效的工作痕迹记录为依据，做出客观公正的专业评估分析和判断。</w:t>
      </w:r>
    </w:p>
    <w:p>
      <w:pPr>
        <w:pStyle w:val="12"/>
        <w:pageBreakBefore w:val="0"/>
        <w:widowControl w:val="0"/>
        <w:numPr>
          <w:ilvl w:val="0"/>
          <w:numId w:val="2"/>
        </w:numPr>
        <w:tabs>
          <w:tab w:val="left" w:pos="981"/>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sz w:val="32"/>
          <w:szCs w:val="32"/>
        </w:rPr>
      </w:pPr>
      <w:bookmarkStart w:id="19" w:name="bookmark20"/>
      <w:bookmarkEnd w:id="19"/>
      <w:r>
        <w:rPr>
          <w:rFonts w:hint="eastAsia" w:ascii="仿宋_GB2312" w:hAnsi="仿宋_GB2312" w:eastAsia="仿宋_GB2312" w:cs="仿宋_GB2312"/>
          <w:b/>
          <w:sz w:val="32"/>
          <w:szCs w:val="32"/>
        </w:rPr>
        <w:t>以评促进原则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评估要求评委要本着促进项目运营质量和成效的目标原则实施评估活动，给出评估指导意见，评估意见应具体、清晰、可行，能够切实指导项目运营团队持续改善服务成效和质量。</w:t>
      </w:r>
    </w:p>
    <w:p>
      <w:pPr>
        <w:pStyle w:val="12"/>
        <w:pageBreakBefore w:val="0"/>
        <w:widowControl w:val="0"/>
        <w:numPr>
          <w:ilvl w:val="0"/>
          <w:numId w:val="2"/>
        </w:numPr>
        <w:tabs>
          <w:tab w:val="left" w:pos="991"/>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sz w:val="32"/>
          <w:szCs w:val="32"/>
        </w:rPr>
      </w:pPr>
      <w:bookmarkStart w:id="20" w:name="bookmark21"/>
      <w:bookmarkEnd w:id="20"/>
      <w:r>
        <w:rPr>
          <w:rFonts w:hint="eastAsia" w:ascii="仿宋_GB2312" w:hAnsi="仿宋_GB2312" w:eastAsia="仿宋_GB2312" w:cs="仿宋_GB2312"/>
          <w:b/>
          <w:sz w:val="32"/>
          <w:szCs w:val="32"/>
        </w:rPr>
        <w:t>回避监督原则：</w:t>
      </w:r>
      <w:r>
        <w:rPr>
          <w:rFonts w:hint="eastAsia" w:ascii="仿宋_GB2312" w:hAnsi="仿宋_GB2312" w:eastAsia="仿宋_GB2312" w:cs="仿宋_GB2312"/>
          <w:sz w:val="32"/>
          <w:szCs w:val="32"/>
        </w:rPr>
        <w:t>评估要求评委在评估前与被评估方有单独接触、有利益关系或冲突的，均应回避；被评估方有权监督评估团队的评估工作，并有权提出合理异议或回避要求，以免评估失去公正性和可信度。</w:t>
      </w:r>
    </w:p>
    <w:p>
      <w:pPr>
        <w:pStyle w:val="12"/>
        <w:pageBreakBefore w:val="0"/>
        <w:widowControl w:val="0"/>
        <w:numPr>
          <w:ilvl w:val="0"/>
          <w:numId w:val="2"/>
        </w:numPr>
        <w:tabs>
          <w:tab w:val="left" w:pos="991"/>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sz w:val="32"/>
          <w:szCs w:val="32"/>
        </w:rPr>
      </w:pPr>
      <w:bookmarkStart w:id="21" w:name="bookmark22"/>
      <w:bookmarkEnd w:id="21"/>
      <w:r>
        <w:rPr>
          <w:rFonts w:hint="eastAsia" w:ascii="仿宋_GB2312" w:hAnsi="仿宋_GB2312" w:eastAsia="仿宋_GB2312" w:cs="仿宋_GB2312"/>
          <w:b/>
          <w:sz w:val="32"/>
          <w:szCs w:val="32"/>
        </w:rPr>
        <w:t>保密尊重原则：</w:t>
      </w:r>
      <w:r>
        <w:rPr>
          <w:rFonts w:hint="eastAsia" w:ascii="仿宋_GB2312" w:hAnsi="仿宋_GB2312" w:eastAsia="仿宋_GB2312" w:cs="仿宋_GB2312"/>
          <w:sz w:val="32"/>
          <w:szCs w:val="32"/>
        </w:rPr>
        <w:t>评估要求评委应尊重和保护其工作中所接触、发现或遇到的涉及服务对象隐私权等所有受法律保护的事项，并依法负有保密职责；评估要求评委在评估过程中应尊重被评估方的所有原创性专业技术、方法等成果，并依法负有保密职责。</w:t>
      </w:r>
    </w:p>
    <w:p>
      <w:pPr>
        <w:pStyle w:val="12"/>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b/>
          <w:sz w:val="32"/>
          <w:szCs w:val="32"/>
        </w:rPr>
      </w:pPr>
      <w:bookmarkStart w:id="22" w:name="bookmark23"/>
      <w:r>
        <w:rPr>
          <w:rFonts w:hint="eastAsia" w:ascii="仿宋_GB2312" w:hAnsi="仿宋_GB2312" w:eastAsia="仿宋_GB2312" w:cs="仿宋_GB2312"/>
          <w:b/>
          <w:sz w:val="32"/>
          <w:szCs w:val="32"/>
        </w:rPr>
        <w:t>（</w:t>
      </w:r>
      <w:bookmarkEnd w:id="22"/>
      <w:r>
        <w:rPr>
          <w:rFonts w:hint="eastAsia" w:ascii="仿宋_GB2312" w:hAnsi="仿宋_GB2312" w:eastAsia="仿宋_GB2312" w:cs="仿宋_GB2312"/>
          <w:b/>
          <w:sz w:val="32"/>
          <w:szCs w:val="32"/>
        </w:rPr>
        <w:t>三）评估阶段</w:t>
      </w:r>
    </w:p>
    <w:p>
      <w:pPr>
        <w:pStyle w:val="12"/>
        <w:pageBreakBefore w:val="0"/>
        <w:widowControl w:val="0"/>
        <w:numPr>
          <w:ilvl w:val="0"/>
          <w:numId w:val="3"/>
        </w:numPr>
        <w:tabs>
          <w:tab w:val="left" w:pos="992"/>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b/>
          <w:sz w:val="32"/>
          <w:szCs w:val="32"/>
        </w:rPr>
      </w:pPr>
      <w:bookmarkStart w:id="23" w:name="bookmark24"/>
      <w:bookmarkEnd w:id="23"/>
      <w:r>
        <w:rPr>
          <w:rFonts w:hint="eastAsia" w:ascii="仿宋_GB2312" w:hAnsi="仿宋_GB2312" w:eastAsia="仿宋_GB2312" w:cs="仿宋_GB2312"/>
          <w:b/>
          <w:sz w:val="32"/>
          <w:szCs w:val="32"/>
          <w:lang w:eastAsia="zh-CN"/>
        </w:rPr>
        <w:t>制定评估计划</w:t>
      </w:r>
    </w:p>
    <w:p>
      <w:pPr>
        <w:pStyle w:val="12"/>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番禺区民政局会同</w:t>
      </w:r>
      <w:r>
        <w:rPr>
          <w:rFonts w:hint="eastAsia" w:ascii="仿宋_GB2312" w:hAnsi="仿宋_GB2312" w:eastAsia="仿宋_GB2312" w:cs="仿宋_GB2312"/>
          <w:sz w:val="32"/>
          <w:szCs w:val="32"/>
          <w:lang w:val="en-US"/>
        </w:rPr>
        <w:t>番禺区社会组织联合会</w:t>
      </w:r>
      <w:r>
        <w:rPr>
          <w:rFonts w:hint="eastAsia" w:ascii="仿宋_GB2312" w:hAnsi="仿宋_GB2312" w:eastAsia="仿宋_GB2312" w:cs="仿宋_GB2312"/>
          <w:sz w:val="32"/>
          <w:szCs w:val="32"/>
          <w:lang w:eastAsia="zh-CN"/>
        </w:rPr>
        <w:t>根据最新管理办法要求及化龙镇社工站项目合同期限确定评估时间，制定好评估计划和评估通知。</w:t>
      </w:r>
    </w:p>
    <w:p>
      <w:pPr>
        <w:pStyle w:val="12"/>
        <w:pageBreakBefore w:val="0"/>
        <w:widowControl w:val="0"/>
        <w:numPr>
          <w:ilvl w:val="0"/>
          <w:numId w:val="3"/>
        </w:numPr>
        <w:tabs>
          <w:tab w:val="left" w:pos="992"/>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自我评审阶段</w:t>
      </w:r>
    </w:p>
    <w:p>
      <w:pPr>
        <w:pStyle w:val="12"/>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化龙镇</w:t>
      </w:r>
      <w:r>
        <w:rPr>
          <w:rFonts w:hint="eastAsia" w:ascii="仿宋_GB2312" w:hAnsi="仿宋_GB2312" w:eastAsia="仿宋_GB2312" w:cs="仿宋_GB2312"/>
          <w:sz w:val="32"/>
          <w:szCs w:val="32"/>
        </w:rPr>
        <w:t>社工站结合《广州市社工站购买服务项目评估指标体系》和签订的服务协议，逐项对照，准备材料，结合实际进行自我评估，并完成自评报告的报送工作。</w:t>
      </w:r>
    </w:p>
    <w:p>
      <w:pPr>
        <w:pStyle w:val="12"/>
        <w:pageBreakBefore w:val="0"/>
        <w:widowControl w:val="0"/>
        <w:numPr>
          <w:ilvl w:val="0"/>
          <w:numId w:val="3"/>
        </w:numPr>
        <w:tabs>
          <w:tab w:val="left" w:pos="1001"/>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b/>
          <w:sz w:val="32"/>
          <w:szCs w:val="32"/>
        </w:rPr>
      </w:pPr>
      <w:bookmarkStart w:id="24" w:name="bookmark25"/>
      <w:bookmarkEnd w:id="24"/>
      <w:r>
        <w:rPr>
          <w:rFonts w:hint="eastAsia" w:ascii="仿宋_GB2312" w:hAnsi="仿宋_GB2312" w:eastAsia="仿宋_GB2312" w:cs="仿宋_GB2312"/>
          <w:b/>
          <w:sz w:val="32"/>
          <w:szCs w:val="32"/>
        </w:rPr>
        <w:t>实地评估阶段</w:t>
      </w:r>
    </w:p>
    <w:p>
      <w:pPr>
        <w:pStyle w:val="12"/>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评估小组根据评估计划组织实施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对</w:t>
      </w:r>
      <w:r>
        <w:rPr>
          <w:rFonts w:hint="eastAsia" w:ascii="仿宋_GB2312" w:hAnsi="仿宋_GB2312" w:eastAsia="仿宋_GB2312" w:cs="仿宋_GB2312"/>
          <w:sz w:val="32"/>
          <w:szCs w:val="32"/>
          <w:lang w:val="en-US" w:eastAsia="zh-CN"/>
        </w:rPr>
        <w:t>化龙镇</w:t>
      </w:r>
      <w:r>
        <w:rPr>
          <w:rFonts w:hint="eastAsia" w:ascii="仿宋_GB2312" w:hAnsi="仿宋_GB2312" w:eastAsia="仿宋_GB2312" w:cs="仿宋_GB2312"/>
          <w:sz w:val="32"/>
          <w:szCs w:val="32"/>
        </w:rPr>
        <w:t>社工站提供的材料进行审阅，实地考察，进行现场评估并打分。评估小组根据公平、公正的原则，严格按照评估要求，对</w:t>
      </w:r>
      <w:r>
        <w:rPr>
          <w:rFonts w:hint="eastAsia" w:ascii="仿宋_GB2312" w:hAnsi="仿宋_GB2312" w:eastAsia="仿宋_GB2312" w:cs="仿宋_GB2312"/>
          <w:sz w:val="32"/>
          <w:szCs w:val="32"/>
          <w:lang w:val="en-US" w:eastAsia="zh-CN"/>
        </w:rPr>
        <w:t>化龙镇</w:t>
      </w:r>
      <w:r>
        <w:rPr>
          <w:rFonts w:hint="eastAsia" w:ascii="仿宋_GB2312" w:hAnsi="仿宋_GB2312" w:eastAsia="仿宋_GB2312" w:cs="仿宋_GB2312"/>
          <w:sz w:val="32"/>
          <w:szCs w:val="32"/>
        </w:rPr>
        <w:t>社工站进行评估工作。</w:t>
      </w:r>
    </w:p>
    <w:p>
      <w:pPr>
        <w:pStyle w:val="12"/>
        <w:pageBreakBefore w:val="0"/>
        <w:widowControl w:val="0"/>
        <w:numPr>
          <w:ilvl w:val="0"/>
          <w:numId w:val="3"/>
        </w:numPr>
        <w:tabs>
          <w:tab w:val="left" w:pos="1006"/>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sz w:val="32"/>
          <w:szCs w:val="32"/>
        </w:rPr>
      </w:pPr>
      <w:bookmarkStart w:id="25" w:name="bookmark26"/>
      <w:bookmarkEnd w:id="25"/>
      <w:r>
        <w:rPr>
          <w:rFonts w:hint="eastAsia" w:ascii="仿宋_GB2312" w:hAnsi="仿宋_GB2312" w:eastAsia="仿宋_GB2312" w:cs="仿宋_GB2312"/>
          <w:b/>
          <w:sz w:val="32"/>
          <w:szCs w:val="32"/>
        </w:rPr>
        <w:t>反馈初评意见</w:t>
      </w:r>
    </w:p>
    <w:p>
      <w:pPr>
        <w:pStyle w:val="12"/>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综合评委专家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监督方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购买方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市督导中心意见和建议，在评估工作结束后5个工作日内，向</w:t>
      </w:r>
      <w:r>
        <w:rPr>
          <w:rFonts w:hint="eastAsia" w:ascii="仿宋_GB2312" w:hAnsi="仿宋_GB2312" w:eastAsia="仿宋_GB2312" w:cs="仿宋_GB2312"/>
          <w:sz w:val="32"/>
          <w:szCs w:val="32"/>
          <w:lang w:eastAsia="zh-CN"/>
        </w:rPr>
        <w:t>番禺区</w:t>
      </w:r>
      <w:r>
        <w:rPr>
          <w:rFonts w:hint="eastAsia" w:ascii="仿宋_GB2312" w:hAnsi="仿宋_GB2312" w:eastAsia="仿宋_GB2312" w:cs="仿宋_GB2312"/>
          <w:sz w:val="32"/>
          <w:szCs w:val="32"/>
        </w:rPr>
        <w:t>民政局、</w:t>
      </w:r>
      <w:r>
        <w:rPr>
          <w:rFonts w:hint="eastAsia" w:ascii="仿宋_GB2312" w:hAnsi="仿宋_GB2312" w:eastAsia="仿宋_GB2312" w:cs="仿宋_GB2312"/>
          <w:sz w:val="32"/>
          <w:szCs w:val="32"/>
          <w:lang w:val="en-US" w:eastAsia="zh-CN"/>
        </w:rPr>
        <w:t>化龙镇政府</w:t>
      </w:r>
      <w:r>
        <w:rPr>
          <w:rFonts w:hint="eastAsia" w:ascii="仿宋_GB2312" w:hAnsi="仿宋_GB2312" w:eastAsia="仿宋_GB2312" w:cs="仿宋_GB2312"/>
          <w:sz w:val="32"/>
          <w:szCs w:val="32"/>
        </w:rPr>
        <w:t>及</w:t>
      </w:r>
      <w:r>
        <w:rPr>
          <w:rFonts w:hint="eastAsia" w:ascii="仿宋_GB2312" w:hAnsi="仿宋_GB2312" w:eastAsia="仿宋_GB2312" w:cs="仿宋_GB2312"/>
          <w:sz w:val="32"/>
          <w:szCs w:val="32"/>
          <w:lang w:val="en-US" w:eastAsia="zh-CN"/>
        </w:rPr>
        <w:t>化龙镇</w:t>
      </w:r>
      <w:r>
        <w:rPr>
          <w:rFonts w:hint="eastAsia" w:ascii="仿宋_GB2312" w:hAnsi="仿宋_GB2312" w:eastAsia="仿宋_GB2312" w:cs="仿宋_GB2312"/>
          <w:sz w:val="32"/>
          <w:szCs w:val="32"/>
        </w:rPr>
        <w:t>社工站反馈初评意见，对评估结果、存在问题及改进建议等进行沟通确认</w:t>
      </w:r>
      <w:r>
        <w:rPr>
          <w:rFonts w:hint="eastAsia" w:ascii="仿宋_GB2312" w:hAnsi="仿宋_GB2312" w:eastAsia="仿宋_GB2312" w:cs="仿宋_GB2312"/>
          <w:sz w:val="32"/>
          <w:szCs w:val="32"/>
          <w:lang w:eastAsia="zh-CN"/>
        </w:rPr>
        <w:t>。</w:t>
      </w:r>
    </w:p>
    <w:p>
      <w:pPr>
        <w:pStyle w:val="12"/>
        <w:pageBreakBefore w:val="0"/>
        <w:widowControl w:val="0"/>
        <w:numPr>
          <w:ilvl w:val="0"/>
          <w:numId w:val="3"/>
        </w:numPr>
        <w:tabs>
          <w:tab w:val="left" w:pos="1006"/>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b/>
          <w:sz w:val="32"/>
          <w:szCs w:val="32"/>
        </w:rPr>
      </w:pPr>
      <w:bookmarkStart w:id="26" w:name="bookmark27"/>
      <w:bookmarkEnd w:id="26"/>
      <w:r>
        <w:rPr>
          <w:rFonts w:hint="eastAsia" w:ascii="仿宋_GB2312" w:hAnsi="仿宋_GB2312" w:eastAsia="仿宋_GB2312" w:cs="仿宋_GB2312"/>
          <w:b/>
          <w:sz w:val="32"/>
          <w:szCs w:val="32"/>
        </w:rPr>
        <w:t>出具</w:t>
      </w:r>
      <w:r>
        <w:rPr>
          <w:rFonts w:hint="eastAsia" w:ascii="仿宋_GB2312" w:hAnsi="仿宋_GB2312" w:eastAsia="仿宋_GB2312" w:cs="仿宋_GB2312"/>
          <w:b/>
          <w:sz w:val="32"/>
          <w:szCs w:val="32"/>
          <w:lang w:eastAsia="zh-CN"/>
        </w:rPr>
        <w:t>中</w:t>
      </w:r>
      <w:r>
        <w:rPr>
          <w:rFonts w:hint="eastAsia" w:ascii="仿宋_GB2312" w:hAnsi="仿宋_GB2312" w:eastAsia="仿宋_GB2312" w:cs="仿宋_GB2312"/>
          <w:b/>
          <w:sz w:val="32"/>
          <w:szCs w:val="32"/>
        </w:rPr>
        <w:t>期评估报告</w:t>
      </w:r>
    </w:p>
    <w:p>
      <w:pPr>
        <w:pStyle w:val="12"/>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PMingLiU" w:cs="仿宋_GB2312"/>
          <w:sz w:val="32"/>
          <w:szCs w:val="32"/>
        </w:rPr>
      </w:pPr>
      <w:r>
        <w:rPr>
          <w:rFonts w:hint="eastAsia" w:ascii="仿宋_GB2312" w:hAnsi="仿宋_GB2312" w:eastAsia="仿宋_GB2312" w:cs="仿宋_GB2312"/>
          <w:sz w:val="32"/>
          <w:szCs w:val="32"/>
        </w:rPr>
        <w:t>在评估工作结束后10个工作日内，向番禺区民政局、</w:t>
      </w:r>
      <w:r>
        <w:rPr>
          <w:rFonts w:hint="eastAsia" w:ascii="仿宋_GB2312" w:hAnsi="仿宋_GB2312" w:eastAsia="仿宋_GB2312" w:cs="仿宋_GB2312"/>
          <w:sz w:val="32"/>
          <w:szCs w:val="32"/>
          <w:lang w:val="en-US" w:eastAsia="zh-CN"/>
        </w:rPr>
        <w:t>化龙镇政府</w:t>
      </w:r>
      <w:r>
        <w:rPr>
          <w:rFonts w:hint="eastAsia" w:ascii="仿宋_GB2312" w:hAnsi="仿宋_GB2312" w:eastAsia="仿宋_GB2312" w:cs="仿宋_GB2312"/>
          <w:sz w:val="32"/>
          <w:szCs w:val="32"/>
        </w:rPr>
        <w:t>及</w:t>
      </w:r>
      <w:r>
        <w:rPr>
          <w:rFonts w:hint="eastAsia" w:ascii="仿宋_GB2312" w:hAnsi="仿宋_GB2312" w:eastAsia="仿宋_GB2312" w:cs="仿宋_GB2312"/>
          <w:sz w:val="32"/>
          <w:szCs w:val="32"/>
          <w:lang w:val="en-US" w:eastAsia="zh-CN"/>
        </w:rPr>
        <w:t>化龙镇</w:t>
      </w:r>
      <w:r>
        <w:rPr>
          <w:rFonts w:hint="eastAsia" w:ascii="仿宋_GB2312" w:hAnsi="仿宋_GB2312" w:eastAsia="仿宋_GB2312" w:cs="仿宋_GB2312"/>
          <w:sz w:val="32"/>
          <w:szCs w:val="32"/>
        </w:rPr>
        <w:t>社工站各出具一份评估报告，提出项目存在的问题及改进建议。</w:t>
      </w:r>
    </w:p>
    <w:p>
      <w:pPr>
        <w:pStyle w:val="12"/>
        <w:pageBreakBefore w:val="0"/>
        <w:widowControl w:val="0"/>
        <w:numPr>
          <w:ilvl w:val="0"/>
          <w:numId w:val="3"/>
        </w:numPr>
        <w:tabs>
          <w:tab w:val="left" w:pos="1006"/>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lang w:eastAsia="zh-CN"/>
        </w:rPr>
        <w:t>公示评估报告及受理评估投诉</w:t>
      </w:r>
    </w:p>
    <w:p>
      <w:pPr>
        <w:pStyle w:val="12"/>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区民政</w:t>
      </w:r>
      <w:r>
        <w:rPr>
          <w:rFonts w:hint="eastAsia" w:ascii="仿宋_GB2312" w:hAnsi="仿宋_GB2312" w:eastAsia="仿宋_GB2312" w:cs="仿宋_GB2312"/>
          <w:sz w:val="32"/>
          <w:szCs w:val="32"/>
        </w:rPr>
        <w:t>局在收到评估报告后汇总社会救助等有关业务科室意见，于5个工作日内确认评估报告，确认后对</w:t>
      </w:r>
      <w:r>
        <w:rPr>
          <w:rFonts w:hint="eastAsia" w:ascii="仿宋_GB2312" w:hAnsi="仿宋_GB2312" w:eastAsia="仿宋_GB2312" w:cs="仿宋_GB2312"/>
          <w:sz w:val="32"/>
          <w:szCs w:val="32"/>
          <w:lang w:val="en-US" w:eastAsia="zh-CN"/>
        </w:rPr>
        <w:t>化龙镇</w:t>
      </w:r>
      <w:r>
        <w:rPr>
          <w:rFonts w:hint="eastAsia" w:ascii="仿宋_GB2312" w:hAnsi="仿宋_GB2312" w:eastAsia="仿宋_GB2312" w:cs="仿宋_GB2312"/>
          <w:sz w:val="32"/>
          <w:szCs w:val="32"/>
        </w:rPr>
        <w:t>社工站项目的评估报告进行公示，公示期不少于7个工作日。</w:t>
      </w:r>
      <w:r>
        <w:rPr>
          <w:rFonts w:hint="eastAsia" w:ascii="仿宋_GB2312" w:hAnsi="仿宋_GB2312" w:eastAsia="仿宋_GB2312" w:cs="仿宋_GB2312"/>
          <w:sz w:val="32"/>
          <w:szCs w:val="32"/>
          <w:lang w:eastAsia="zh-CN"/>
        </w:rPr>
        <w:t>公示期间，如收到对评估报告的质疑或投诉，区民政局及时对评估结果进行复核，并确定最终评估结果，同时将有关处理情况报市民政部门。</w:t>
      </w:r>
    </w:p>
    <w:p>
      <w:pPr>
        <w:pStyle w:val="12"/>
        <w:pageBreakBefore w:val="0"/>
        <w:widowControl w:val="0"/>
        <w:tabs>
          <w:tab w:val="left" w:pos="1006"/>
        </w:tabs>
        <w:kinsoku/>
        <w:wordWrap/>
        <w:overflowPunct/>
        <w:topLinePunct w:val="0"/>
        <w:autoSpaceDE/>
        <w:autoSpaceDN/>
        <w:bidi w:val="0"/>
        <w:adjustRightInd/>
        <w:snapToGrid/>
        <w:spacing w:after="0" w:line="540" w:lineRule="exact"/>
        <w:ind w:left="640" w:firstLine="0"/>
        <w:jc w:val="both"/>
        <w:textAlignment w:val="auto"/>
        <w:rPr>
          <w:rFonts w:ascii="仿宋_GB2312" w:hAnsi="仿宋_GB2312" w:eastAsia="仿宋_GB2312" w:cs="仿宋_GB2312"/>
          <w:b/>
          <w:sz w:val="32"/>
          <w:szCs w:val="32"/>
        </w:rPr>
      </w:pPr>
      <w:bookmarkStart w:id="27" w:name="bookmark28"/>
      <w:r>
        <w:rPr>
          <w:rFonts w:hint="eastAsia" w:ascii="仿宋_GB2312" w:hAnsi="仿宋_GB2312" w:eastAsia="仿宋_GB2312" w:cs="仿宋_GB2312"/>
          <w:b/>
          <w:sz w:val="32"/>
          <w:szCs w:val="32"/>
        </w:rPr>
        <w:t>（</w:t>
      </w:r>
      <w:bookmarkEnd w:id="27"/>
      <w:r>
        <w:rPr>
          <w:rFonts w:hint="eastAsia" w:ascii="仿宋_GB2312" w:hAnsi="仿宋_GB2312" w:eastAsia="仿宋_GB2312" w:cs="仿宋_GB2312"/>
          <w:b/>
          <w:sz w:val="32"/>
          <w:szCs w:val="32"/>
        </w:rPr>
        <w:t>四）评估内容</w:t>
      </w:r>
    </w:p>
    <w:p>
      <w:pPr>
        <w:pStyle w:val="12"/>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PMingLiU" w:cs="仿宋_GB2312"/>
          <w:b/>
          <w:sz w:val="32"/>
          <w:szCs w:val="32"/>
        </w:rPr>
      </w:pPr>
      <w:bookmarkStart w:id="28" w:name="bookmark30"/>
      <w:r>
        <w:rPr>
          <w:rFonts w:ascii="仿宋_GB2312" w:hAnsi="仿宋_GB2312" w:eastAsia="PMingLiU" w:cs="仿宋_GB2312"/>
          <w:b/>
          <w:sz w:val="32"/>
          <w:szCs w:val="32"/>
        </w:rPr>
        <w:t>1.</w:t>
      </w:r>
      <w:r>
        <w:rPr>
          <w:rFonts w:hint="eastAsia" w:ascii="仿宋_GB2312" w:hAnsi="仿宋_GB2312" w:eastAsia="仿宋_GB2312" w:cs="仿宋_GB2312"/>
          <w:b/>
          <w:sz w:val="32"/>
          <w:szCs w:val="32"/>
          <w:lang w:eastAsia="zh-CN"/>
        </w:rPr>
        <w:t>项目</w:t>
      </w:r>
      <w:r>
        <w:rPr>
          <w:rFonts w:ascii="仿宋_GB2312" w:hAnsi="仿宋_GB2312" w:eastAsia="仿宋_GB2312" w:cs="仿宋_GB2312"/>
          <w:b/>
          <w:sz w:val="32"/>
          <w:szCs w:val="32"/>
        </w:rPr>
        <w:t>管理情况评估</w:t>
      </w:r>
    </w:p>
    <w:p>
      <w:pPr>
        <w:pStyle w:val="12"/>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lang w:eastAsia="zh-CN"/>
        </w:rPr>
      </w:pPr>
      <w:r>
        <w:rPr>
          <w:rFonts w:ascii="仿宋_GB2312" w:hAnsi="仿宋_GB2312" w:eastAsia="仿宋_GB2312" w:cs="仿宋_GB2312"/>
          <w:sz w:val="32"/>
          <w:szCs w:val="32"/>
          <w:lang w:eastAsia="zh-CN"/>
        </w:rPr>
        <w:t>主要从社工站人员管理、</w:t>
      </w:r>
      <w:r>
        <w:rPr>
          <w:rFonts w:hint="eastAsia" w:ascii="仿宋_GB2312" w:hAnsi="仿宋_GB2312" w:eastAsia="仿宋_GB2312" w:cs="仿宋_GB2312"/>
          <w:sz w:val="32"/>
          <w:szCs w:val="32"/>
          <w:lang w:eastAsia="zh-CN"/>
        </w:rPr>
        <w:t>专业</w:t>
      </w:r>
      <w:r>
        <w:rPr>
          <w:rFonts w:ascii="仿宋_GB2312" w:hAnsi="仿宋_GB2312" w:eastAsia="仿宋_GB2312" w:cs="仿宋_GB2312"/>
          <w:sz w:val="32"/>
          <w:szCs w:val="32"/>
          <w:lang w:eastAsia="zh-CN"/>
        </w:rPr>
        <w:t>规范性管理</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项目宣传等方面进行评估。</w:t>
      </w:r>
    </w:p>
    <w:p>
      <w:pPr>
        <w:pStyle w:val="12"/>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2.项目服务评估</w:t>
      </w:r>
    </w:p>
    <w:p>
      <w:pPr>
        <w:pStyle w:val="12"/>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lang w:eastAsia="zh-CN"/>
        </w:rPr>
      </w:pPr>
      <w:r>
        <w:rPr>
          <w:rFonts w:ascii="仿宋_GB2312" w:hAnsi="仿宋_GB2312" w:eastAsia="仿宋_GB2312" w:cs="仿宋_GB2312"/>
          <w:sz w:val="32"/>
          <w:szCs w:val="32"/>
          <w:lang w:eastAsia="zh-CN"/>
        </w:rPr>
        <w:t>根据《广州市社工站</w:t>
      </w:r>
      <w:r>
        <w:rPr>
          <w:rFonts w:hint="eastAsia" w:ascii="仿宋_GB2312" w:hAnsi="仿宋_GB2312" w:eastAsia="仿宋_GB2312" w:cs="仿宋_GB2312"/>
          <w:sz w:val="32"/>
          <w:szCs w:val="32"/>
          <w:lang w:eastAsia="zh-CN"/>
        </w:rPr>
        <w:t>购买</w:t>
      </w:r>
      <w:r>
        <w:rPr>
          <w:rFonts w:ascii="仿宋_GB2312" w:hAnsi="仿宋_GB2312" w:eastAsia="仿宋_GB2312" w:cs="仿宋_GB2312"/>
          <w:sz w:val="32"/>
          <w:szCs w:val="32"/>
          <w:lang w:eastAsia="zh-CN"/>
        </w:rPr>
        <w:t>服务项目评估指标体系》，结合社工站与</w:t>
      </w:r>
      <w:r>
        <w:rPr>
          <w:rFonts w:hint="eastAsia" w:ascii="仿宋_GB2312" w:hAnsi="仿宋_GB2312" w:eastAsia="仿宋_GB2312" w:cs="仿宋_GB2312"/>
          <w:sz w:val="32"/>
          <w:szCs w:val="32"/>
          <w:lang w:val="en-US" w:eastAsia="zh-CN"/>
        </w:rPr>
        <w:t>镇政府</w:t>
      </w:r>
      <w:r>
        <w:rPr>
          <w:rFonts w:ascii="仿宋_GB2312" w:hAnsi="仿宋_GB2312" w:eastAsia="仿宋_GB2312" w:cs="仿宋_GB2312"/>
          <w:sz w:val="32"/>
          <w:szCs w:val="32"/>
          <w:lang w:eastAsia="zh-CN"/>
        </w:rPr>
        <w:t>签订的三方协议规定开展的服务内容开展评估工作，主要从</w:t>
      </w:r>
      <w:r>
        <w:rPr>
          <w:rFonts w:hint="eastAsia" w:ascii="仿宋_GB2312" w:hAnsi="仿宋_GB2312" w:eastAsia="仿宋_GB2312" w:cs="仿宋_GB2312"/>
          <w:sz w:val="32"/>
          <w:szCs w:val="32"/>
          <w:lang w:eastAsia="zh-CN"/>
        </w:rPr>
        <w:t>需求</w:t>
      </w:r>
      <w:r>
        <w:rPr>
          <w:rFonts w:ascii="仿宋_GB2312" w:hAnsi="仿宋_GB2312" w:eastAsia="仿宋_GB2312" w:cs="仿宋_GB2312"/>
          <w:sz w:val="32"/>
          <w:szCs w:val="32"/>
          <w:lang w:eastAsia="zh-CN"/>
        </w:rPr>
        <w:t>评估</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服务设计</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服务执行</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服务成效等方面进行评估。</w:t>
      </w:r>
    </w:p>
    <w:p>
      <w:pPr>
        <w:pStyle w:val="12"/>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b/>
          <w:sz w:val="32"/>
          <w:szCs w:val="32"/>
        </w:rPr>
      </w:pPr>
      <w:bookmarkStart w:id="29" w:name="bookmark29"/>
      <w:bookmarkEnd w:id="29"/>
      <w:r>
        <w:rPr>
          <w:rFonts w:ascii="仿宋_GB2312" w:hAnsi="仿宋_GB2312" w:eastAsia="仿宋_GB2312" w:cs="仿宋_GB2312"/>
          <w:b/>
          <w:sz w:val="32"/>
          <w:szCs w:val="32"/>
        </w:rPr>
        <w:t>3</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b/>
          <w:sz w:val="32"/>
          <w:szCs w:val="32"/>
        </w:rPr>
        <w:t>服务</w:t>
      </w:r>
      <w:r>
        <w:rPr>
          <w:rFonts w:ascii="仿宋_GB2312" w:hAnsi="仿宋_GB2312" w:eastAsia="仿宋_GB2312" w:cs="仿宋_GB2312"/>
          <w:b/>
          <w:sz w:val="32"/>
          <w:szCs w:val="32"/>
        </w:rPr>
        <w:t>对象评价</w:t>
      </w:r>
    </w:p>
    <w:p>
      <w:pPr>
        <w:pStyle w:val="12"/>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服务</w:t>
      </w:r>
      <w:r>
        <w:rPr>
          <w:rFonts w:ascii="仿宋_GB2312" w:hAnsi="仿宋_GB2312" w:eastAsia="仿宋_GB2312" w:cs="仿宋_GB2312"/>
          <w:sz w:val="32"/>
          <w:szCs w:val="32"/>
          <w:lang w:eastAsia="zh-CN"/>
        </w:rPr>
        <w:t>对象满意度主要由评估机构统筹实施</w:t>
      </w:r>
      <w:r>
        <w:rPr>
          <w:rFonts w:hint="eastAsia" w:ascii="仿宋_GB2312" w:hAnsi="仿宋_GB2312" w:eastAsia="仿宋_GB2312" w:cs="仿宋_GB2312"/>
          <w:sz w:val="32"/>
          <w:szCs w:val="32"/>
          <w:lang w:eastAsia="zh-CN"/>
        </w:rPr>
        <w:t>，通过电访、走访、调查问卷等方式进行，</w:t>
      </w:r>
      <w:r>
        <w:rPr>
          <w:rFonts w:ascii="仿宋_GB2312" w:hAnsi="仿宋_GB2312" w:eastAsia="仿宋_GB2312" w:cs="仿宋_GB2312"/>
          <w:sz w:val="32"/>
          <w:szCs w:val="32"/>
          <w:lang w:eastAsia="zh-CN"/>
        </w:rPr>
        <w:t>随机抽取不少于</w:t>
      </w:r>
      <w:r>
        <w:rPr>
          <w:rFonts w:hint="eastAsia" w:ascii="仿宋_GB2312" w:hAnsi="仿宋_GB2312" w:eastAsia="仿宋_GB2312" w:cs="仿宋_GB2312"/>
          <w:sz w:val="32"/>
          <w:szCs w:val="32"/>
          <w:lang w:eastAsia="zh-CN"/>
        </w:rPr>
        <w:t>1</w:t>
      </w:r>
      <w:r>
        <w:rPr>
          <w:rFonts w:ascii="仿宋_GB2312" w:hAnsi="仿宋_GB2312" w:eastAsia="仿宋_GB2312" w:cs="仿宋_GB2312"/>
          <w:sz w:val="32"/>
          <w:szCs w:val="32"/>
          <w:lang w:eastAsia="zh-CN"/>
        </w:rPr>
        <w:t>00名服务对象开展满意度调查</w:t>
      </w:r>
      <w:r>
        <w:rPr>
          <w:rFonts w:hint="eastAsia" w:ascii="仿宋_GB2312" w:hAnsi="仿宋_GB2312" w:eastAsia="仿宋_GB2312" w:cs="仿宋_GB2312"/>
          <w:sz w:val="32"/>
          <w:szCs w:val="32"/>
          <w:lang w:eastAsia="zh-CN"/>
        </w:rPr>
        <w:t>（困难群众和特殊群体总人数低于1</w:t>
      </w:r>
      <w:r>
        <w:rPr>
          <w:rFonts w:ascii="仿宋_GB2312" w:hAnsi="仿宋_GB2312" w:eastAsia="仿宋_GB2312" w:cs="仿宋_GB2312"/>
          <w:sz w:val="32"/>
          <w:szCs w:val="32"/>
          <w:lang w:eastAsia="zh-CN"/>
        </w:rPr>
        <w:t>00的</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按照实际人数</w:t>
      </w:r>
      <w:r>
        <w:rPr>
          <w:rFonts w:hint="eastAsia" w:ascii="仿宋_GB2312" w:hAnsi="仿宋_GB2312" w:eastAsia="仿宋_GB2312" w:cs="仿宋_GB2312"/>
          <w:sz w:val="32"/>
          <w:szCs w:val="32"/>
          <w:lang w:eastAsia="zh-CN"/>
        </w:rPr>
        <w:t>开展</w:t>
      </w:r>
      <w:r>
        <w:rPr>
          <w:rFonts w:ascii="仿宋_GB2312" w:hAnsi="仿宋_GB2312" w:eastAsia="仿宋_GB2312" w:cs="仿宋_GB2312"/>
          <w:sz w:val="32"/>
          <w:szCs w:val="32"/>
          <w:lang w:eastAsia="zh-CN"/>
        </w:rPr>
        <w:t>全覆盖满意度调查</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w:t>
      </w:r>
    </w:p>
    <w:p>
      <w:pPr>
        <w:pStyle w:val="12"/>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PMingLiU" w:cs="仿宋_GB2312"/>
          <w:b/>
          <w:sz w:val="32"/>
          <w:szCs w:val="32"/>
        </w:rPr>
      </w:pPr>
      <w:r>
        <w:rPr>
          <w:rFonts w:hint="eastAsia" w:ascii="仿宋_GB2312" w:hAnsi="仿宋_GB2312" w:eastAsia="仿宋_GB2312" w:cs="仿宋_GB2312"/>
          <w:b/>
          <w:sz w:val="32"/>
          <w:szCs w:val="32"/>
        </w:rPr>
        <w:t>4</w:t>
      </w:r>
      <w:r>
        <w:rPr>
          <w:rFonts w:ascii="仿宋_GB2312" w:hAnsi="仿宋_GB2312" w:eastAsia="仿宋_GB2312" w:cs="仿宋_GB2312"/>
          <w:b/>
          <w:sz w:val="32"/>
          <w:szCs w:val="32"/>
        </w:rPr>
        <w:t>.收集整理相关方反馈</w:t>
      </w:r>
    </w:p>
    <w:p>
      <w:pPr>
        <w:pStyle w:val="12"/>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hAnsi="仿宋_GB2312" w:eastAsia="PMingLiU" w:cs="仿宋_GB2312"/>
          <w:sz w:val="32"/>
          <w:szCs w:val="32"/>
        </w:rPr>
      </w:pPr>
      <w:r>
        <w:rPr>
          <w:rFonts w:hint="eastAsia" w:ascii="仿宋_GB2312" w:hAnsi="仿宋_GB2312" w:eastAsia="仿宋_GB2312" w:cs="仿宋_GB2312"/>
          <w:sz w:val="32"/>
          <w:szCs w:val="32"/>
        </w:rPr>
        <w:t>收集整理相关方意见反馈</w:t>
      </w:r>
      <w:r>
        <w:rPr>
          <w:rFonts w:hint="eastAsia" w:ascii="仿宋_GB2312" w:hAnsi="仿宋_GB2312" w:eastAsia="仿宋_GB2312" w:cs="仿宋_GB2312"/>
          <w:sz w:val="32"/>
          <w:szCs w:val="32"/>
          <w:lang w:eastAsia="zh-CN"/>
        </w:rPr>
        <w:t>，包括</w:t>
      </w:r>
      <w:r>
        <w:rPr>
          <w:rFonts w:hint="eastAsia" w:ascii="仿宋_GB2312" w:hAnsi="仿宋_GB2312" w:eastAsia="仿宋_GB2312" w:cs="仿宋_GB2312"/>
          <w:sz w:val="32"/>
          <w:szCs w:val="32"/>
          <w:lang w:val="en-US" w:eastAsia="zh-CN"/>
        </w:rPr>
        <w:t>镇政府</w:t>
      </w:r>
      <w:r>
        <w:rPr>
          <w:rFonts w:hint="eastAsia" w:ascii="仿宋_GB2312" w:hAnsi="仿宋_GB2312" w:eastAsia="仿宋_GB2312" w:cs="仿宋_GB2312"/>
          <w:sz w:val="32"/>
          <w:szCs w:val="32"/>
        </w:rPr>
        <w:t>购买方</w:t>
      </w:r>
      <w:r>
        <w:rPr>
          <w:rFonts w:hint="eastAsia" w:ascii="仿宋_GB2312" w:hAnsi="仿宋_GB2312" w:eastAsia="仿宋_GB2312" w:cs="仿宋_GB2312"/>
          <w:sz w:val="32"/>
          <w:szCs w:val="32"/>
          <w:lang w:eastAsia="zh-CN"/>
        </w:rPr>
        <w:t>对社工站项目作用发挥情况的综合评价</w:t>
      </w:r>
      <w:r>
        <w:rPr>
          <w:rFonts w:hint="eastAsia" w:ascii="仿宋_GB2312" w:hAnsi="仿宋_GB2312" w:eastAsia="仿宋_GB2312" w:cs="仿宋_GB2312"/>
          <w:sz w:val="32"/>
          <w:szCs w:val="32"/>
        </w:rPr>
        <w:t>，监督方番禺区民政局</w:t>
      </w:r>
      <w:r>
        <w:rPr>
          <w:rFonts w:hint="eastAsia" w:ascii="仿宋_GB2312" w:hAnsi="仿宋_GB2312" w:eastAsia="仿宋_GB2312" w:cs="仿宋_GB2312"/>
          <w:sz w:val="32"/>
          <w:szCs w:val="32"/>
          <w:lang w:eastAsia="zh-CN"/>
        </w:rPr>
        <w:t>对社工站项目的自查自纠检查情况、督查整改落实情况的综合评价，以及</w:t>
      </w:r>
      <w:r>
        <w:rPr>
          <w:rFonts w:hint="eastAsia" w:ascii="仿宋_GB2312" w:hAnsi="仿宋_GB2312" w:eastAsia="仿宋_GB2312" w:cs="仿宋_GB2312"/>
          <w:sz w:val="32"/>
          <w:szCs w:val="32"/>
        </w:rPr>
        <w:t>督导中心</w:t>
      </w:r>
      <w:r>
        <w:rPr>
          <w:rFonts w:hint="eastAsia" w:ascii="仿宋_GB2312" w:hAnsi="仿宋_GB2312" w:eastAsia="仿宋_GB2312" w:cs="仿宋_GB2312"/>
          <w:sz w:val="32"/>
          <w:szCs w:val="32"/>
          <w:lang w:eastAsia="zh-CN"/>
        </w:rPr>
        <w:t>对服务质量保障方面情况的综合评价。</w:t>
      </w:r>
    </w:p>
    <w:p>
      <w:pPr>
        <w:pStyle w:val="12"/>
        <w:pageBreakBefore w:val="0"/>
        <w:widowControl w:val="0"/>
        <w:tabs>
          <w:tab w:val="left" w:pos="1480"/>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w:t>
      </w:r>
      <w:bookmarkEnd w:id="28"/>
      <w:r>
        <w:rPr>
          <w:rFonts w:hint="eastAsia" w:ascii="仿宋_GB2312" w:hAnsi="仿宋_GB2312" w:eastAsia="仿宋_GB2312" w:cs="仿宋_GB2312"/>
          <w:b/>
          <w:sz w:val="32"/>
          <w:szCs w:val="32"/>
        </w:rPr>
        <w:t>五）评估结果说明</w:t>
      </w:r>
    </w:p>
    <w:p>
      <w:pPr>
        <w:pStyle w:val="12"/>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PMingLiU" w:cs="仿宋_GB2312"/>
          <w:sz w:val="32"/>
          <w:szCs w:val="32"/>
        </w:rPr>
      </w:pPr>
      <w:r>
        <w:rPr>
          <w:rFonts w:hint="eastAsia" w:ascii="仿宋_GB2312" w:hAnsi="仿宋_GB2312" w:eastAsia="仿宋_GB2312" w:cs="仿宋_GB2312"/>
          <w:sz w:val="32"/>
          <w:szCs w:val="32"/>
          <w:lang w:val="en-US"/>
        </w:rPr>
        <w:t>社工站项目评估分值由四方评估分数的总和确定。其中，第三方评估机构评估分值占比</w:t>
      </w:r>
      <w:r>
        <w:rPr>
          <w:rFonts w:ascii="仿宋_GB2312" w:hAnsi="仿宋_GB2312" w:eastAsia="仿宋_GB2312" w:cs="仿宋_GB2312"/>
          <w:sz w:val="32"/>
          <w:szCs w:val="32"/>
          <w:lang w:val="en-US"/>
        </w:rPr>
        <w:t>55</w:t>
      </w:r>
      <w:r>
        <w:rPr>
          <w:rFonts w:hint="eastAsia" w:ascii="仿宋_GB2312" w:hAnsi="仿宋_GB2312" w:eastAsia="仿宋_GB2312" w:cs="仿宋_GB2312"/>
          <w:sz w:val="32"/>
          <w:szCs w:val="32"/>
          <w:lang w:val="en-US"/>
        </w:rPr>
        <w:t>％、督导中心评估分值占比</w:t>
      </w:r>
      <w:r>
        <w:rPr>
          <w:rFonts w:ascii="仿宋_GB2312" w:hAnsi="仿宋_GB2312" w:eastAsia="仿宋_GB2312" w:cs="仿宋_GB2312"/>
          <w:sz w:val="32"/>
          <w:szCs w:val="32"/>
          <w:lang w:val="en-US"/>
        </w:rPr>
        <w:t>15</w:t>
      </w:r>
      <w:r>
        <w:rPr>
          <w:rFonts w:hint="eastAsia" w:ascii="仿宋_GB2312" w:hAnsi="仿宋_GB2312" w:eastAsia="仿宋_GB2312" w:cs="仿宋_GB2312"/>
          <w:sz w:val="32"/>
          <w:szCs w:val="32"/>
          <w:lang w:val="en-US"/>
        </w:rPr>
        <w:t>％、镇人民政府（街道办事处）评估分值占比</w:t>
      </w:r>
      <w:r>
        <w:rPr>
          <w:rFonts w:ascii="仿宋_GB2312" w:hAnsi="仿宋_GB2312" w:eastAsia="仿宋_GB2312" w:cs="仿宋_GB2312"/>
          <w:sz w:val="32"/>
          <w:szCs w:val="32"/>
          <w:lang w:val="en-US"/>
        </w:rPr>
        <w:t>20</w:t>
      </w:r>
      <w:r>
        <w:rPr>
          <w:rFonts w:hint="eastAsia" w:ascii="仿宋_GB2312" w:hAnsi="仿宋_GB2312" w:eastAsia="仿宋_GB2312" w:cs="仿宋_GB2312"/>
          <w:sz w:val="32"/>
          <w:szCs w:val="32"/>
          <w:lang w:val="en-US"/>
        </w:rPr>
        <w:t>％、区民政部门评估分值占比</w:t>
      </w:r>
      <w:r>
        <w:rPr>
          <w:rFonts w:ascii="仿宋_GB2312" w:hAnsi="仿宋_GB2312" w:eastAsia="仿宋_GB2312" w:cs="仿宋_GB2312"/>
          <w:sz w:val="32"/>
          <w:szCs w:val="32"/>
          <w:lang w:val="en-US"/>
        </w:rPr>
        <w:t>10</w:t>
      </w:r>
      <w:r>
        <w:rPr>
          <w:rFonts w:hint="eastAsia" w:ascii="仿宋_GB2312" w:hAnsi="仿宋_GB2312" w:eastAsia="仿宋_GB2312" w:cs="仿宋_GB2312"/>
          <w:sz w:val="32"/>
          <w:szCs w:val="32"/>
          <w:lang w:val="en-US"/>
        </w:rPr>
        <w:t>％。</w:t>
      </w:r>
      <w:r>
        <w:rPr>
          <w:rFonts w:hint="eastAsia" w:ascii="仿宋_GB2312" w:hAnsi="仿宋_GB2312" w:eastAsia="仿宋_GB2312" w:cs="仿宋_GB2312"/>
          <w:sz w:val="32"/>
          <w:szCs w:val="32"/>
        </w:rPr>
        <w:t>评估等级分为优秀、良好、合格、不合格四个等级，90分以上为优秀，80分至90分（不含90分）为良好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60分至80分（不含80分）为合格，60分以下（不含60分）为不合格。评估中若发现有下列情形之一的，评估结果</w:t>
      </w:r>
      <w:r>
        <w:rPr>
          <w:rFonts w:hint="eastAsia" w:ascii="仿宋_GB2312" w:hAnsi="仿宋_GB2312" w:eastAsia="仿宋_GB2312" w:cs="仿宋_GB2312"/>
          <w:sz w:val="32"/>
          <w:szCs w:val="32"/>
          <w:lang w:eastAsia="zh-CN"/>
        </w:rPr>
        <w:t>也确</w:t>
      </w:r>
      <w:r>
        <w:rPr>
          <w:rFonts w:hint="eastAsia" w:ascii="仿宋_GB2312" w:hAnsi="仿宋_GB2312" w:eastAsia="仿宋_GB2312" w:cs="仿宋_GB2312"/>
          <w:sz w:val="32"/>
          <w:szCs w:val="32"/>
        </w:rPr>
        <w:t>定为不合格：</w:t>
      </w:r>
    </w:p>
    <w:p>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（一）</w:t>
      </w:r>
      <w:r>
        <w:rPr>
          <w:rFonts w:hint="eastAsia" w:ascii="仿宋_GB2312" w:eastAsia="仿宋_GB2312"/>
          <w:sz w:val="32"/>
          <w:szCs w:val="32"/>
        </w:rPr>
        <w:t>保洁</w:t>
      </w:r>
      <w:r>
        <w:rPr>
          <w:rFonts w:hint="eastAsia" w:ascii="仿宋_GB2312" w:eastAsia="仿宋_GB2312"/>
          <w:sz w:val="32"/>
          <w:szCs w:val="32"/>
          <w:lang w:eastAsia="zh-CN"/>
        </w:rPr>
        <w:t>、</w:t>
      </w:r>
      <w:r>
        <w:rPr>
          <w:rFonts w:hint="eastAsia" w:ascii="仿宋_GB2312" w:eastAsia="仿宋_GB2312"/>
          <w:sz w:val="32"/>
          <w:szCs w:val="32"/>
        </w:rPr>
        <w:t>安保等人员占用社工名额的；</w:t>
      </w:r>
    </w:p>
    <w:p>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（二）</w:t>
      </w:r>
      <w:r>
        <w:rPr>
          <w:rFonts w:hint="eastAsia" w:ascii="仿宋_GB2312" w:eastAsia="仿宋_GB2312"/>
          <w:sz w:val="32"/>
          <w:szCs w:val="32"/>
        </w:rPr>
        <w:t>社工人员配备不足的，其中中期评估累计缺少5人次或以上，末期评估累计缺少10人次或以上；</w:t>
      </w:r>
    </w:p>
    <w:p>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（三）</w:t>
      </w:r>
      <w:r>
        <w:rPr>
          <w:rFonts w:hint="eastAsia" w:ascii="仿宋_GB2312" w:eastAsia="仿宋_GB2312"/>
          <w:sz w:val="32"/>
          <w:szCs w:val="32"/>
        </w:rPr>
        <w:t>持证社工比例不达标的，其中中期评估累计缺少3人次或以上，末期评估累计缺少6人次或以上；</w:t>
      </w:r>
    </w:p>
    <w:p>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（四）</w:t>
      </w:r>
      <w:r>
        <w:rPr>
          <w:rFonts w:hint="eastAsia" w:ascii="仿宋_GB2312" w:eastAsia="仿宋_GB2312"/>
          <w:sz w:val="32"/>
          <w:szCs w:val="32"/>
        </w:rPr>
        <w:t>年度服务期内人员费用支出比例低于80%的；</w:t>
      </w:r>
    </w:p>
    <w:p>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（五）</w:t>
      </w:r>
      <w:r>
        <w:rPr>
          <w:rFonts w:hint="eastAsia" w:ascii="仿宋_GB2312" w:eastAsia="仿宋_GB2312"/>
          <w:sz w:val="32"/>
          <w:szCs w:val="32"/>
        </w:rPr>
        <w:t>限期内整改不及时、不到位的；</w:t>
      </w:r>
    </w:p>
    <w:p>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（六）</w:t>
      </w:r>
      <w:r>
        <w:rPr>
          <w:rFonts w:hint="eastAsia" w:ascii="仿宋_GB2312" w:eastAsia="仿宋_GB2312"/>
          <w:sz w:val="32"/>
          <w:szCs w:val="32"/>
        </w:rPr>
        <w:t>专业评估结果为不合格的；</w:t>
      </w:r>
    </w:p>
    <w:p>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（七）</w:t>
      </w:r>
      <w:r>
        <w:rPr>
          <w:rFonts w:hint="eastAsia" w:ascii="仿宋_GB2312" w:eastAsia="仿宋_GB2312"/>
          <w:sz w:val="32"/>
          <w:szCs w:val="32"/>
        </w:rPr>
        <w:t>财务评估结果为不合格的；</w:t>
      </w:r>
    </w:p>
    <w:p>
      <w:pPr>
        <w:pStyle w:val="12"/>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仿宋" w:hAnsi="仿宋" w:eastAsia="仿宋"/>
          <w:sz w:val="32"/>
          <w:szCs w:val="32"/>
        </w:rPr>
      </w:pPr>
      <w:r>
        <w:rPr>
          <w:rFonts w:hint="eastAsia" w:ascii="仿宋_GB2312" w:eastAsia="仿宋_GB2312"/>
          <w:sz w:val="32"/>
          <w:szCs w:val="32"/>
          <w:lang w:eastAsia="zh-CN"/>
        </w:rPr>
        <w:t>（八）</w:t>
      </w:r>
      <w:r>
        <w:rPr>
          <w:rFonts w:hint="eastAsia" w:ascii="仿宋_GB2312" w:eastAsia="仿宋_GB2312"/>
          <w:sz w:val="32"/>
          <w:szCs w:val="32"/>
        </w:rPr>
        <w:t>违反国家法律法规及有关规定的其他情形，情节严重的。</w:t>
      </w:r>
    </w:p>
    <w:p>
      <w:pPr>
        <w:pStyle w:val="10"/>
        <w:keepNext/>
        <w:keepLines/>
        <w:pageBreakBefore w:val="0"/>
        <w:widowControl w:val="0"/>
        <w:kinsoku/>
        <w:wordWrap/>
        <w:overflowPunct/>
        <w:topLinePunct w:val="0"/>
        <w:autoSpaceDE/>
        <w:autoSpaceDN/>
        <w:bidi w:val="0"/>
        <w:adjustRightInd/>
        <w:snapToGrid/>
        <w:spacing w:before="0" w:after="0" w:line="540" w:lineRule="exact"/>
        <w:ind w:firstLine="642"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二、评估总结</w:t>
      </w:r>
    </w:p>
    <w:p>
      <w:pPr>
        <w:pStyle w:val="12"/>
        <w:pageBreakBefore w:val="0"/>
        <w:widowControl w:val="0"/>
        <w:kinsoku/>
        <w:wordWrap/>
        <w:overflowPunct/>
        <w:topLinePunct w:val="0"/>
        <w:autoSpaceDE/>
        <w:autoSpaceDN/>
        <w:bidi w:val="0"/>
        <w:adjustRightInd/>
        <w:snapToGrid/>
        <w:spacing w:after="0" w:line="540" w:lineRule="exact"/>
        <w:ind w:firstLine="743"/>
        <w:jc w:val="both"/>
        <w:textAlignment w:val="auto"/>
        <w:rPr>
          <w:rFonts w:ascii="仿宋_GB2312" w:eastAsia="仿宋_GB2312"/>
          <w:b/>
          <w:color w:val="auto"/>
          <w:sz w:val="32"/>
          <w:szCs w:val="32"/>
        </w:rPr>
      </w:pPr>
      <w:r>
        <w:rPr>
          <w:rFonts w:hint="eastAsia" w:ascii="仿宋_GB2312" w:eastAsia="仿宋_GB2312"/>
          <w:b/>
          <w:color w:val="auto"/>
          <w:sz w:val="32"/>
          <w:szCs w:val="32"/>
        </w:rPr>
        <w:t>（―）社工站基本情况</w:t>
      </w:r>
    </w:p>
    <w:p>
      <w:pPr>
        <w:pStyle w:val="12"/>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highlight w:val="yellow"/>
          <w:lang w:eastAsia="zh-CN"/>
        </w:rPr>
      </w:pPr>
      <w:r>
        <w:rPr>
          <w:rFonts w:hint="eastAsia" w:ascii="仿宋_GB2312" w:eastAsia="仿宋_GB2312"/>
          <w:color w:val="auto"/>
          <w:sz w:val="32"/>
          <w:szCs w:val="32"/>
          <w:lang w:eastAsia="zh-CN"/>
        </w:rPr>
        <w:t>化龙镇</w:t>
      </w:r>
      <w:r>
        <w:rPr>
          <w:rFonts w:hint="eastAsia" w:ascii="仿宋_GB2312" w:eastAsia="仿宋_GB2312"/>
          <w:color w:val="auto"/>
          <w:sz w:val="32"/>
          <w:szCs w:val="32"/>
        </w:rPr>
        <w:t>社工站位于</w:t>
      </w:r>
      <w:r>
        <w:rPr>
          <w:rFonts w:hint="eastAsia" w:ascii="仿宋_GB2312" w:eastAsia="仿宋_GB2312"/>
          <w:color w:val="auto"/>
          <w:sz w:val="32"/>
          <w:szCs w:val="32"/>
          <w:lang w:val="en-US" w:eastAsia="zh-CN"/>
        </w:rPr>
        <w:t>番禺区化龙镇亭南路15号化龙公园星光老年之家2楼。</w:t>
      </w:r>
      <w:r>
        <w:rPr>
          <w:rFonts w:hint="eastAsia" w:ascii="仿宋_GB2312" w:eastAsia="仿宋_GB2312"/>
          <w:color w:val="auto"/>
          <w:sz w:val="32"/>
          <w:szCs w:val="32"/>
        </w:rPr>
        <w:t>化龙镇社工服务站挂牌成立于2012年6月29日，至今一直由</w:t>
      </w:r>
      <w:r>
        <w:rPr>
          <w:rFonts w:hint="eastAsia" w:ascii="仿宋_GB2312" w:eastAsia="仿宋_GB2312"/>
          <w:color w:val="auto"/>
          <w:sz w:val="32"/>
          <w:szCs w:val="32"/>
          <w:lang w:eastAsia="zh-CN"/>
        </w:rPr>
        <w:t>番禺区</w:t>
      </w:r>
      <w:r>
        <w:rPr>
          <w:rFonts w:hint="eastAsia" w:ascii="仿宋_GB2312" w:eastAsia="仿宋_GB2312"/>
          <w:color w:val="auto"/>
          <w:sz w:val="32"/>
          <w:szCs w:val="32"/>
        </w:rPr>
        <w:t>普爱社会工作服务社承接运营</w:t>
      </w:r>
      <w:r>
        <w:rPr>
          <w:rFonts w:hint="eastAsia" w:ascii="仿宋_GB2312" w:eastAsia="仿宋_GB2312"/>
          <w:color w:val="auto"/>
          <w:sz w:val="32"/>
          <w:szCs w:val="32"/>
          <w:lang w:eastAsia="zh-CN"/>
        </w:rPr>
        <w:t>，</w:t>
      </w:r>
      <w:r>
        <w:rPr>
          <w:rFonts w:hint="eastAsia" w:ascii="仿宋_GB2312" w:eastAsia="仿宋_GB2312"/>
          <w:color w:val="auto"/>
          <w:sz w:val="32"/>
          <w:szCs w:val="32"/>
        </w:rPr>
        <w:t>打造以社会工作服务为主体，综合运用社会工作服务专业知识、方法和技能，为困难群众和特殊群体等提供兜底民生服务以及参与社区治理服务的平台</w:t>
      </w:r>
      <w:r>
        <w:rPr>
          <w:rFonts w:hint="eastAsia" w:ascii="仿宋_GB2312" w:eastAsia="仿宋_GB2312"/>
          <w:color w:val="auto"/>
          <w:sz w:val="32"/>
          <w:szCs w:val="32"/>
          <w:lang w:eastAsia="zh-CN"/>
        </w:rPr>
        <w:t>。</w:t>
      </w:r>
    </w:p>
    <w:p>
      <w:pPr>
        <w:pStyle w:val="12"/>
        <w:pageBreakBefore w:val="0"/>
        <w:widowControl w:val="0"/>
        <w:kinsoku/>
        <w:wordWrap/>
        <w:overflowPunct/>
        <w:topLinePunct w:val="0"/>
        <w:autoSpaceDE/>
        <w:autoSpaceDN/>
        <w:bidi w:val="0"/>
        <w:adjustRightInd/>
        <w:snapToGrid/>
        <w:spacing w:after="0" w:line="540" w:lineRule="exact"/>
        <w:ind w:firstLine="601"/>
        <w:jc w:val="both"/>
        <w:textAlignment w:val="auto"/>
        <w:rPr>
          <w:rFonts w:ascii="仿宋_GB2312" w:eastAsia="仿宋_GB2312"/>
          <w:color w:val="auto"/>
          <w:sz w:val="32"/>
          <w:szCs w:val="32"/>
        </w:rPr>
      </w:pPr>
      <w:r>
        <w:rPr>
          <w:rFonts w:hint="eastAsia" w:ascii="仿宋_GB2312" w:eastAsia="仿宋_GB2312"/>
          <w:color w:val="auto"/>
          <w:sz w:val="32"/>
          <w:szCs w:val="32"/>
        </w:rPr>
        <w:t>本社工站</w:t>
      </w:r>
      <w:r>
        <w:rPr>
          <w:rFonts w:hint="eastAsia" w:ascii="仿宋_GB2312" w:eastAsia="仿宋_GB2312"/>
          <w:color w:val="auto"/>
          <w:sz w:val="32"/>
          <w:szCs w:val="32"/>
          <w:lang w:val="en-US" w:eastAsia="zh-CN"/>
        </w:rPr>
        <w:t>评估周期</w:t>
      </w:r>
      <w:r>
        <w:rPr>
          <w:rFonts w:hint="eastAsia" w:ascii="仿宋_GB2312" w:eastAsia="仿宋_GB2312"/>
          <w:color w:val="auto"/>
          <w:sz w:val="32"/>
          <w:szCs w:val="32"/>
        </w:rPr>
        <w:t>服务经费为</w:t>
      </w:r>
      <w:r>
        <w:rPr>
          <w:rFonts w:hint="eastAsia" w:ascii="仿宋_GB2312" w:eastAsia="仿宋_GB2312"/>
          <w:color w:val="auto"/>
          <w:sz w:val="32"/>
          <w:szCs w:val="32"/>
          <w:lang w:val="en-US" w:eastAsia="zh-CN"/>
        </w:rPr>
        <w:t>240</w:t>
      </w:r>
      <w:r>
        <w:rPr>
          <w:rFonts w:hint="eastAsia" w:ascii="仿宋_GB2312" w:eastAsia="仿宋_GB2312"/>
          <w:color w:val="auto"/>
          <w:sz w:val="32"/>
          <w:szCs w:val="32"/>
        </w:rPr>
        <w:t>万元</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评估周期</w:t>
      </w:r>
      <w:r>
        <w:rPr>
          <w:rFonts w:hint="eastAsia" w:ascii="仿宋_GB2312" w:eastAsia="仿宋_GB2312"/>
          <w:color w:val="auto"/>
          <w:sz w:val="32"/>
          <w:szCs w:val="32"/>
        </w:rPr>
        <w:t>项目合同期为202</w:t>
      </w:r>
      <w:r>
        <w:rPr>
          <w:rFonts w:hint="eastAsia" w:ascii="仿宋_GB2312" w:eastAsia="仿宋_GB2312"/>
          <w:color w:val="auto"/>
          <w:sz w:val="32"/>
          <w:szCs w:val="32"/>
          <w:lang w:val="en-US" w:eastAsia="zh-CN"/>
        </w:rPr>
        <w:t>4</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9</w:t>
      </w:r>
      <w:r>
        <w:rPr>
          <w:rFonts w:hint="eastAsia" w:ascii="仿宋_GB2312" w:eastAsia="仿宋_GB2312"/>
          <w:color w:val="auto"/>
          <w:sz w:val="32"/>
          <w:szCs w:val="32"/>
        </w:rPr>
        <w:t>日至</w:t>
      </w:r>
      <w:r>
        <w:rPr>
          <w:rFonts w:hint="eastAsia" w:ascii="仿宋_GB2312" w:eastAsia="仿宋_GB2312"/>
          <w:color w:val="auto"/>
          <w:sz w:val="32"/>
          <w:szCs w:val="32"/>
          <w:lang w:eastAsia="zh-CN"/>
        </w:rPr>
        <w:t>202</w:t>
      </w:r>
      <w:r>
        <w:rPr>
          <w:rFonts w:hint="eastAsia" w:ascii="仿宋_GB2312" w:eastAsia="仿宋_GB2312"/>
          <w:color w:val="auto"/>
          <w:sz w:val="32"/>
          <w:szCs w:val="32"/>
          <w:lang w:val="en-US" w:eastAsia="zh-CN"/>
        </w:rPr>
        <w:t>5</w:t>
      </w:r>
      <w:r>
        <w:rPr>
          <w:rFonts w:hint="eastAsia" w:ascii="仿宋_GB2312" w:eastAsia="仿宋_GB2312"/>
          <w:color w:val="auto"/>
          <w:sz w:val="32"/>
          <w:szCs w:val="32"/>
          <w:lang w:eastAsia="zh-CN"/>
        </w:rPr>
        <w:t>年</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日。本次考核期为2024年8月</w:t>
      </w:r>
      <w:r>
        <w:rPr>
          <w:rFonts w:hint="eastAsia" w:ascii="仿宋_GB2312" w:eastAsia="仿宋_GB2312"/>
          <w:color w:val="auto"/>
          <w:sz w:val="32"/>
          <w:szCs w:val="32"/>
          <w:lang w:val="en-US" w:eastAsia="zh-CN"/>
        </w:rPr>
        <w:t>9</w:t>
      </w:r>
      <w:r>
        <w:rPr>
          <w:rFonts w:hint="eastAsia" w:ascii="仿宋_GB2312" w:eastAsia="仿宋_GB2312"/>
          <w:color w:val="auto"/>
          <w:sz w:val="32"/>
          <w:szCs w:val="32"/>
        </w:rPr>
        <w:t>日</w:t>
      </w:r>
      <w:r>
        <w:rPr>
          <w:rFonts w:hint="eastAsia" w:ascii="仿宋_GB2312" w:eastAsia="仿宋_GB2312"/>
          <w:color w:val="auto"/>
          <w:sz w:val="32"/>
          <w:szCs w:val="32"/>
          <w:lang w:eastAsia="zh-CN"/>
        </w:rPr>
        <w:t>至</w:t>
      </w:r>
      <w:r>
        <w:rPr>
          <w:rFonts w:hint="eastAsia" w:ascii="仿宋_GB2312" w:eastAsia="仿宋_GB2312"/>
          <w:color w:val="auto"/>
          <w:sz w:val="32"/>
          <w:szCs w:val="32"/>
        </w:rPr>
        <w:t>2025年1月31日，考核</w:t>
      </w:r>
      <w:r>
        <w:rPr>
          <w:rFonts w:hint="eastAsia" w:ascii="仿宋_GB2312" w:eastAsia="仿宋_GB2312"/>
          <w:color w:val="auto"/>
          <w:sz w:val="32"/>
          <w:szCs w:val="32"/>
          <w:lang w:val="en-US" w:eastAsia="zh-CN"/>
        </w:rPr>
        <w:t>6</w:t>
      </w:r>
      <w:r>
        <w:rPr>
          <w:rFonts w:hint="eastAsia" w:ascii="仿宋_GB2312" w:eastAsia="仿宋_GB2312"/>
          <w:color w:val="auto"/>
          <w:sz w:val="32"/>
          <w:szCs w:val="32"/>
        </w:rPr>
        <w:t>个月。</w:t>
      </w:r>
    </w:p>
    <w:p>
      <w:pPr>
        <w:pStyle w:val="12"/>
        <w:pageBreakBefore w:val="0"/>
        <w:widowControl w:val="0"/>
        <w:kinsoku/>
        <w:wordWrap/>
        <w:overflowPunct/>
        <w:topLinePunct w:val="0"/>
        <w:autoSpaceDE/>
        <w:autoSpaceDN/>
        <w:bidi w:val="0"/>
        <w:adjustRightInd/>
        <w:snapToGrid/>
        <w:spacing w:after="0" w:line="540" w:lineRule="exact"/>
        <w:ind w:firstLine="743"/>
        <w:jc w:val="both"/>
        <w:textAlignment w:val="auto"/>
        <w:rPr>
          <w:rFonts w:ascii="仿宋_GB2312" w:eastAsia="仿宋_GB2312"/>
          <w:b/>
          <w:color w:val="auto"/>
          <w:sz w:val="32"/>
          <w:szCs w:val="32"/>
        </w:rPr>
      </w:pPr>
      <w:r>
        <w:rPr>
          <w:rFonts w:hint="eastAsia" w:ascii="仿宋_GB2312" w:eastAsia="仿宋_GB2312"/>
          <w:b/>
          <w:color w:val="auto"/>
          <w:sz w:val="32"/>
          <w:szCs w:val="32"/>
        </w:rPr>
        <w:t>（二）各项目服务进度情况</w:t>
      </w:r>
    </w:p>
    <w:p>
      <w:pPr>
        <w:pStyle w:val="12"/>
        <w:pageBreakBefore w:val="0"/>
        <w:widowControl w:val="0"/>
        <w:tabs>
          <w:tab w:val="left" w:pos="1355"/>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社工站共完成家访2057户，电访2397户，分别完成协议指标量的69.78%、55.09%；咨询个案37人，专业个案接案24人，服务节数153节，分别完成指标量88.10%，57.14%，45.54%。开展小组9个，完成54节，分别完成指标的56.25%、56.25%。完成社区活动39场，服务3839人次，分别完成指标的100.00%和210.93%。发展志愿者79名，培育志愿者队伍3支，培育志愿者骨干14名，分别完成指标量的158.00%、66.67%、100.00%。（以上数据由社工站提供）。</w:t>
      </w:r>
    </w:p>
    <w:p>
      <w:pPr>
        <w:pStyle w:val="12"/>
        <w:pageBreakBefore w:val="0"/>
        <w:widowControl w:val="0"/>
        <w:tabs>
          <w:tab w:val="left" w:pos="1355"/>
        </w:tabs>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从以上数据可知，化龙镇社工站服务指标完成情况良好，在服务进度方面整体把握到位。</w:t>
      </w:r>
    </w:p>
    <w:p>
      <w:pPr>
        <w:pStyle w:val="12"/>
        <w:pageBreakBefore w:val="0"/>
        <w:widowControl w:val="0"/>
        <w:kinsoku/>
        <w:wordWrap/>
        <w:overflowPunct/>
        <w:topLinePunct w:val="0"/>
        <w:autoSpaceDE/>
        <w:autoSpaceDN/>
        <w:bidi w:val="0"/>
        <w:adjustRightInd/>
        <w:snapToGrid/>
        <w:spacing w:after="80" w:line="540" w:lineRule="exact"/>
        <w:ind w:firstLine="740"/>
        <w:jc w:val="both"/>
        <w:textAlignment w:val="auto"/>
        <w:rPr>
          <w:rFonts w:ascii="仿宋_GB2312" w:eastAsia="仿宋_GB2312"/>
          <w:color w:val="auto"/>
          <w:sz w:val="32"/>
          <w:szCs w:val="32"/>
        </w:rPr>
      </w:pPr>
      <w:r>
        <w:rPr>
          <w:rFonts w:hint="eastAsia" w:ascii="仿宋_GB2312" w:eastAsia="仿宋_GB2312"/>
          <w:b/>
          <w:bCs/>
          <w:color w:val="auto"/>
          <w:sz w:val="32"/>
          <w:szCs w:val="32"/>
          <w:lang w:eastAsia="zh-CN"/>
        </w:rPr>
        <w:t>（三）</w:t>
      </w:r>
      <w:r>
        <w:rPr>
          <w:rFonts w:hint="eastAsia" w:ascii="仿宋_GB2312" w:eastAsia="仿宋_GB2312"/>
          <w:b/>
          <w:bCs/>
          <w:color w:val="auto"/>
          <w:sz w:val="32"/>
          <w:szCs w:val="32"/>
        </w:rPr>
        <w:t>项目运营管理</w:t>
      </w:r>
    </w:p>
    <w:p>
      <w:pPr>
        <w:pStyle w:val="12"/>
        <w:pageBreakBefore w:val="0"/>
        <w:widowControl w:val="0"/>
        <w:kinsoku/>
        <w:wordWrap/>
        <w:overflowPunct/>
        <w:topLinePunct w:val="0"/>
        <w:autoSpaceDE/>
        <w:autoSpaceDN/>
        <w:bidi w:val="0"/>
        <w:adjustRightInd/>
        <w:snapToGrid/>
        <w:spacing w:after="0" w:line="540" w:lineRule="exact"/>
        <w:ind w:firstLine="601"/>
        <w:jc w:val="both"/>
        <w:textAlignment w:val="auto"/>
        <w:rPr>
          <w:rFonts w:ascii="仿宋_GB2312" w:eastAsia="仿宋_GB2312"/>
          <w:color w:val="auto"/>
          <w:sz w:val="32"/>
          <w:szCs w:val="32"/>
        </w:rPr>
      </w:pPr>
      <w:r>
        <w:rPr>
          <w:rFonts w:hint="eastAsia" w:ascii="仿宋_GB2312" w:eastAsia="仿宋_GB2312"/>
          <w:color w:val="auto"/>
          <w:sz w:val="32"/>
          <w:szCs w:val="32"/>
        </w:rPr>
        <w:t>通过与社工站主任、相关行政人员访谈，查阅相关资料等方式了解社工站运营管理情况，汇总成以下几点：</w:t>
      </w:r>
    </w:p>
    <w:p>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pPr>
        <w:pStyle w:val="12"/>
        <w:pageBreakBefore w:val="0"/>
        <w:widowControl w:val="0"/>
        <w:tabs>
          <w:tab w:val="left" w:pos="1355"/>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val="en-US" w:eastAsia="zh-CN"/>
        </w:rPr>
      </w:pPr>
      <w:bookmarkStart w:id="30" w:name="bookmark31"/>
      <w:bookmarkEnd w:id="30"/>
      <w:r>
        <w:rPr>
          <w:rFonts w:hint="eastAsia" w:ascii="仿宋_GB2312" w:eastAsia="仿宋_GB2312"/>
          <w:color w:val="auto"/>
          <w:sz w:val="32"/>
          <w:szCs w:val="32"/>
          <w:lang w:val="en-US" w:eastAsia="zh-CN"/>
        </w:rPr>
        <w:t>（1）人员配备充足，持证比例高。截至2025年1月31日，社工站项目配备社工符合相关要求，从业两年以上社工16人，占协议社工总人数的88.89%，持续在岗18人，稳岗率为90%，人事资料归档完善，人员考勤清晰。建立了社工个人成长计划，社工继续教育时数达标，培训记录完整。社工站项目负责人自2011年7月起从事社会服务至今，2016年6月取得社会工作师职业水平证书，2016年9月起任本社工站管理岗位，从事社工服务与管理累计年限超过10年，资质和资历符合相关要求。</w:t>
      </w:r>
    </w:p>
    <w:p>
      <w:pPr>
        <w:pStyle w:val="12"/>
        <w:pageBreakBefore w:val="0"/>
        <w:widowControl w:val="0"/>
        <w:tabs>
          <w:tab w:val="left" w:pos="1355"/>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服务管理制度齐全，内容详实可执行。能按服务整改机制开展内部评估，监测服务质量；通过各级工作会议，动态监测服务进度，推进日常工作。开展了专业价值伦理规范和服务对象权益保障的相关培训学习、知识测试和个人实践表现的绩效评核。日常管理比较到位，能落实安全管理制度、保持信息公开，意见收集渠道多样。</w:t>
      </w:r>
    </w:p>
    <w:p>
      <w:pPr>
        <w:pStyle w:val="12"/>
        <w:pageBreakBefore w:val="0"/>
        <w:widowControl w:val="0"/>
        <w:tabs>
          <w:tab w:val="left" w:pos="1355"/>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（3）项目注重服务宣传。制作了服务宣传册子展示服务情况，定期在微信公众号和居民微信群发布服务信息，积极开展社区活动拓宽服务知晓度，多次获得各级官方媒体的正向报道，宣传效果明显。</w:t>
      </w:r>
    </w:p>
    <w:p>
      <w:pPr>
        <w:pStyle w:val="12"/>
        <w:pageBreakBefore w:val="0"/>
        <w:widowControl w:val="0"/>
        <w:tabs>
          <w:tab w:val="left" w:pos="1355"/>
        </w:tabs>
        <w:kinsoku/>
        <w:wordWrap/>
        <w:overflowPunct/>
        <w:topLinePunct w:val="0"/>
        <w:autoSpaceDE/>
        <w:autoSpaceDN/>
        <w:bidi w:val="0"/>
        <w:adjustRightInd/>
        <w:snapToGrid/>
        <w:spacing w:after="0" w:line="540" w:lineRule="exact"/>
        <w:ind w:firstLine="642" w:firstLineChars="200"/>
        <w:jc w:val="both"/>
        <w:textAlignment w:val="auto"/>
        <w:rPr>
          <w:rFonts w:hint="eastAsia" w:ascii="仿宋_GB2312" w:eastAsia="仿宋_GB2312"/>
          <w:b/>
          <w:bCs/>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bookmarkStart w:id="31" w:name="bookmark36"/>
      <w:bookmarkEnd w:id="31"/>
      <w:bookmarkStart w:id="32" w:name="bookmark38"/>
      <w:bookmarkEnd w:id="32"/>
      <w:bookmarkStart w:id="33" w:name="bookmark37"/>
      <w:bookmarkEnd w:id="33"/>
      <w:bookmarkStart w:id="34" w:name="bookmark39"/>
      <w:bookmarkEnd w:id="34"/>
    </w:p>
    <w:p>
      <w:pPr>
        <w:pStyle w:val="12"/>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1</w:t>
      </w:r>
      <w:r>
        <w:rPr>
          <w:rFonts w:hint="eastAsia" w:ascii="仿宋_GB2312" w:eastAsia="仿宋_GB2312"/>
          <w:b w:val="0"/>
          <w:bCs w:val="0"/>
          <w:color w:val="auto"/>
          <w:sz w:val="32"/>
          <w:szCs w:val="32"/>
          <w:lang w:eastAsia="zh-CN"/>
        </w:rPr>
        <w:t>）建议进一步加强服务规范。个案流程对结案预估后继续跟进的指引不够清晰，抽查个案文书发现，服务知情同意书中需双方约定的内容未填写，个案的基本信息填写有误。小组工作流程中关于前测工作的指引不够明确，可结合实际情况</w:t>
      </w:r>
      <w:r>
        <w:rPr>
          <w:rFonts w:hint="eastAsia" w:ascii="仿宋_GB2312" w:eastAsia="仿宋_GB2312"/>
          <w:b w:val="0"/>
          <w:bCs w:val="0"/>
          <w:color w:val="auto"/>
          <w:sz w:val="32"/>
          <w:szCs w:val="32"/>
          <w:lang w:val="en-US" w:eastAsia="zh-CN"/>
        </w:rPr>
        <w:t>制定</w:t>
      </w:r>
      <w:r>
        <w:rPr>
          <w:rFonts w:hint="eastAsia" w:ascii="仿宋_GB2312" w:eastAsia="仿宋_GB2312"/>
          <w:b w:val="0"/>
          <w:bCs w:val="0"/>
          <w:color w:val="auto"/>
          <w:sz w:val="32"/>
          <w:szCs w:val="32"/>
          <w:lang w:eastAsia="zh-CN"/>
        </w:rPr>
        <w:t>。探访流程中“探访对象拒绝服务”后的工作指引需优化，可增加服务对象的风险分类及应对措施指引。相关人员反馈意见需有内容记录，片区服务整改的质量水平需进一步提升，上墙标识的信息需及时更新。</w:t>
      </w:r>
    </w:p>
    <w:p>
      <w:pPr>
        <w:pStyle w:val="12"/>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2</w:t>
      </w:r>
      <w:r>
        <w:rPr>
          <w:rFonts w:hint="eastAsia" w:ascii="仿宋_GB2312" w:eastAsia="仿宋_GB2312"/>
          <w:b w:val="0"/>
          <w:bCs w:val="0"/>
          <w:color w:val="auto"/>
          <w:sz w:val="32"/>
          <w:szCs w:val="32"/>
          <w:lang w:eastAsia="zh-CN"/>
        </w:rPr>
        <w:t>）建议落实服务对象的权益保障，尤其在个案服务和未成年人持续多节参与的小组等服务中，需完善服务知情同意书的签署。</w:t>
      </w:r>
    </w:p>
    <w:p>
      <w:pPr>
        <w:pStyle w:val="12"/>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ascii="仿宋_GB2312" w:eastAsia="仿宋_GB2312"/>
          <w:b/>
          <w:bCs/>
          <w:color w:val="auto"/>
          <w:sz w:val="32"/>
          <w:szCs w:val="32"/>
        </w:rPr>
      </w:pPr>
      <w:r>
        <w:rPr>
          <w:rFonts w:hint="eastAsia" w:ascii="仿宋_GB2312" w:eastAsia="仿宋_GB2312"/>
          <w:b/>
          <w:bCs/>
          <w:color w:val="auto"/>
          <w:sz w:val="32"/>
          <w:szCs w:val="32"/>
          <w:lang w:eastAsia="zh-CN"/>
        </w:rPr>
        <w:t>（四）</w:t>
      </w:r>
      <w:r>
        <w:rPr>
          <w:rFonts w:hint="eastAsia" w:ascii="仿宋_GB2312" w:eastAsia="仿宋_GB2312"/>
          <w:b/>
          <w:bCs/>
          <w:color w:val="auto"/>
          <w:sz w:val="32"/>
          <w:szCs w:val="32"/>
        </w:rPr>
        <w:t>服务成效和服务监测情况</w:t>
      </w:r>
    </w:p>
    <w:p>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经评委评估分析访谈情况和查阅项目调研、服务方案等各类服务工作痕迹记录资料，项目执行和成效总体情况有以下几方面值得肯定：</w:t>
      </w:r>
      <w:bookmarkStart w:id="35" w:name="bookmark40"/>
      <w:bookmarkEnd w:id="35"/>
    </w:p>
    <w:p>
      <w:pPr>
        <w:pStyle w:val="12"/>
        <w:pageBreakBefore w:val="0"/>
        <w:widowControl w:val="0"/>
        <w:kinsoku/>
        <w:wordWrap/>
        <w:overflowPunct/>
        <w:topLinePunct w:val="0"/>
        <w:autoSpaceDE/>
        <w:autoSpaceDN/>
        <w:bidi w:val="0"/>
        <w:adjustRightInd/>
        <w:snapToGrid/>
        <w:spacing w:after="80" w:line="54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1）党史学习教育和红色文化基地推广积极。社工站通过“红色课堂”积极开展“一月一党课”等学习教育，协助镇街积极宣传政策、积极开展党建主题活动，“贴心好伙伴”项目和红色“文化基地推广”项目能聚焦特殊困难群体的需求积极调动辖区慈善资源，能聚焦片区特色的爱国主义教育基地培育宣讲队伍、拍摄宣讲视频、促进红色传承。</w:t>
      </w:r>
    </w:p>
    <w:p>
      <w:pPr>
        <w:pStyle w:val="12"/>
        <w:pageBreakBefore w:val="0"/>
        <w:widowControl w:val="0"/>
        <w:kinsoku/>
        <w:wordWrap/>
        <w:overflowPunct/>
        <w:topLinePunct w:val="0"/>
        <w:autoSpaceDE/>
        <w:autoSpaceDN/>
        <w:bidi w:val="0"/>
        <w:adjustRightInd/>
        <w:snapToGrid/>
        <w:spacing w:after="80" w:line="54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2）共性、个性差异在点、片、站的需求分析和项目设计中的层次规划较过往清晰。社工站在上一期评估后及时完善了需求在点、片、站等不同层级的共性问题和个性差异，并及时完善了各层级的项目化的主题设计，整体项目规划的主题明确、铺排较为合理，“从个体到群体到社区”的服务推进思路较清晰，值得肯定。</w:t>
      </w:r>
    </w:p>
    <w:p>
      <w:pPr>
        <w:pStyle w:val="12"/>
        <w:pageBreakBefore w:val="0"/>
        <w:widowControl w:val="0"/>
        <w:kinsoku/>
        <w:wordWrap/>
        <w:overflowPunct/>
        <w:topLinePunct w:val="0"/>
        <w:autoSpaceDE/>
        <w:autoSpaceDN/>
        <w:bidi w:val="0"/>
        <w:adjustRightInd/>
        <w:snapToGrid/>
        <w:spacing w:after="80" w:line="54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3）社会资源链接和社区基金筹集有力。社工站积极搭建资源整合平台，积极整合“五社联动”的社区基金解决居民急难愁盼问题，积极开展公益集市，自主链接了辖内爱心企业和单位折合约21.68万元的社会资源，协助筹集了28728元社区基金，“聚善惠民”主题的落实得到了社会支持网络的有力支撑，值得肯定。</w:t>
      </w:r>
    </w:p>
    <w:p>
      <w:pPr>
        <w:pStyle w:val="12"/>
        <w:pageBreakBefore w:val="0"/>
        <w:widowControl w:val="0"/>
        <w:kinsoku/>
        <w:wordWrap/>
        <w:overflowPunct/>
        <w:topLinePunct w:val="0"/>
        <w:autoSpaceDE/>
        <w:autoSpaceDN/>
        <w:bidi w:val="0"/>
        <w:adjustRightInd/>
        <w:snapToGrid/>
        <w:spacing w:after="80" w:line="54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4）社区培育和联动“五社”参与给力。社工站积极撬动“五社联动”的“牵头者”村居推进基层治理和惠民服务，积极联动“实施者”社区社会组织提升社区服务的供给水平和规范化服务，积极发挥“赋能者”社工的专业优势与特长提升服务素质，积极培育“聚力者”社区志愿者持续深化社区志愿服务，截至评估时已新备案了2个社区组织，新培育了3支志愿队伍和14名骨干，培育和联动的量化指标完成优异，值得肯定。</w:t>
      </w:r>
    </w:p>
    <w:p>
      <w:pPr>
        <w:pStyle w:val="12"/>
        <w:pageBreakBefore w:val="0"/>
        <w:widowControl w:val="0"/>
        <w:kinsoku/>
        <w:wordWrap/>
        <w:overflowPunct/>
        <w:topLinePunct w:val="0"/>
        <w:autoSpaceDE/>
        <w:autoSpaceDN/>
        <w:bidi w:val="0"/>
        <w:adjustRightInd/>
        <w:snapToGrid/>
        <w:spacing w:after="80" w:line="54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5）服务成果重视“问题解决清单”和“联动清单”的梳理和总结。社工站重视项目成效的阶段总结和案例提炼，及时总结了社区治理、社区问题和困境帮扶等“问题解决清单”，及时总结了“五社”在联动过程中发挥的资源力量和具体作用，及时整理了社工专业优势发挥的三个“疑难案例”，社会参与度、社会影响力持续提升，在服务评价中，共有120人接受调查，满意度95%以上，值得肯定。</w:t>
      </w:r>
    </w:p>
    <w:p>
      <w:pPr>
        <w:pStyle w:val="12"/>
        <w:pageBreakBefore w:val="0"/>
        <w:widowControl w:val="0"/>
        <w:kinsoku/>
        <w:wordWrap/>
        <w:overflowPunct/>
        <w:topLinePunct w:val="0"/>
        <w:autoSpaceDE/>
        <w:autoSpaceDN/>
        <w:bidi w:val="0"/>
        <w:adjustRightInd/>
        <w:snapToGrid/>
        <w:spacing w:after="80" w:line="540" w:lineRule="exact"/>
        <w:ind w:firstLine="6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2.需要关注的地方</w:t>
      </w:r>
    </w:p>
    <w:p>
      <w:pPr>
        <w:pStyle w:val="12"/>
        <w:pageBreakBefore w:val="0"/>
        <w:widowControl w:val="0"/>
        <w:kinsoku/>
        <w:wordWrap/>
        <w:overflowPunct/>
        <w:topLinePunct w:val="0"/>
        <w:autoSpaceDE/>
        <w:autoSpaceDN/>
        <w:bidi w:val="0"/>
        <w:adjustRightInd/>
        <w:snapToGrid/>
        <w:spacing w:after="0" w:line="54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经评委评估分析访谈情况和查阅项目调研、服务方案等各类服务工作痕迹记录资料，项目执行和成效总体情况有以下方面需关注：</w:t>
      </w:r>
      <w:bookmarkStart w:id="36" w:name="bookmark44"/>
      <w:bookmarkEnd w:id="36"/>
      <w:bookmarkStart w:id="37" w:name="bookmark45"/>
      <w:bookmarkEnd w:id="37"/>
      <w:bookmarkStart w:id="38" w:name="bookmark43"/>
      <w:bookmarkEnd w:id="38"/>
    </w:p>
    <w:p>
      <w:pPr>
        <w:pStyle w:val="12"/>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1）党建项目对需求的总结和服务的设计有待完善。建议社工站重新梳理与村居委的访谈记录，明确界定共建的关注问题、治理的困难、合作的切入口，进而明确党建项目的主题或回应的问题，以理顺项目逻辑、提升党建服务成效。</w:t>
      </w:r>
    </w:p>
    <w:p>
      <w:pPr>
        <w:pStyle w:val="12"/>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2）需求分析和服务设计仍待完善。即，社工站层面的需求清单和总结有待梳理清晰，困境对象与社区治理的需求有待分类清晰，问题和原因的区分有待界定清晰，服务设计对策略、目标、思路和“介入要点”等的阐述与分析有待修正。</w:t>
      </w:r>
    </w:p>
    <w:p>
      <w:pPr>
        <w:pStyle w:val="12"/>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（3）项目特色和服务亮点有待加强，</w:t>
      </w:r>
      <w:r>
        <w:rPr>
          <w:rFonts w:hint="eastAsia" w:ascii="仿宋_GB2312" w:eastAsia="仿宋_GB2312"/>
          <w:color w:val="auto"/>
          <w:sz w:val="32"/>
          <w:szCs w:val="32"/>
          <w:lang w:val="en-US" w:eastAsia="zh-CN"/>
        </w:rPr>
        <w:t>分析</w:t>
      </w:r>
      <w:r>
        <w:rPr>
          <w:rFonts w:hint="eastAsia" w:ascii="仿宋_GB2312" w:eastAsia="仿宋_GB2312"/>
          <w:color w:val="auto"/>
          <w:sz w:val="32"/>
          <w:szCs w:val="32"/>
          <w:lang w:eastAsia="zh-CN"/>
        </w:rPr>
        <w:t>汽配、花卉资源丰富等在地丰富资源和“医疗资源短缺”等社区实际</w:t>
      </w:r>
      <w:r>
        <w:rPr>
          <w:rFonts w:hint="eastAsia" w:ascii="仿宋_GB2312" w:eastAsia="仿宋_GB2312"/>
          <w:color w:val="auto"/>
          <w:sz w:val="32"/>
          <w:szCs w:val="32"/>
          <w:lang w:val="en-US" w:eastAsia="zh-CN"/>
        </w:rPr>
        <w:t>问题</w:t>
      </w:r>
      <w:r>
        <w:rPr>
          <w:rFonts w:hint="eastAsia" w:ascii="仿宋_GB2312" w:eastAsia="仿宋_GB2312"/>
          <w:color w:val="auto"/>
          <w:sz w:val="32"/>
          <w:szCs w:val="32"/>
          <w:lang w:eastAsia="zh-CN"/>
        </w:rPr>
        <w:t>。建议社工站在打造品牌项目、提升服务特色时，重点探索汽配、花卉资源与科技研学、园艺治疗的专业结合模式，重点探索联动机制在链接外地医疗资源、补齐健康短板的特色做法，以更快、更好地推动在地服务和机制特色的可持续发展。</w:t>
      </w:r>
    </w:p>
    <w:p>
      <w:pPr>
        <w:pStyle w:val="12"/>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hint="eastAsia" w:ascii="仿宋_GB2312" w:eastAsia="仿宋_GB2312"/>
          <w:b/>
          <w:bCs/>
          <w:color w:val="auto"/>
          <w:sz w:val="32"/>
          <w:szCs w:val="32"/>
        </w:rPr>
      </w:pPr>
      <w:r>
        <w:rPr>
          <w:rFonts w:hint="eastAsia" w:ascii="仿宋_GB2312" w:eastAsia="仿宋_GB2312"/>
          <w:b/>
          <w:bCs/>
          <w:color w:val="auto"/>
          <w:sz w:val="32"/>
          <w:szCs w:val="32"/>
          <w:lang w:eastAsia="zh-CN"/>
        </w:rPr>
        <w:t>（五）</w:t>
      </w:r>
      <w:r>
        <w:rPr>
          <w:rFonts w:hint="eastAsia" w:ascii="仿宋_GB2312" w:eastAsia="仿宋_GB2312"/>
          <w:b/>
          <w:bCs/>
          <w:color w:val="auto"/>
          <w:sz w:val="32"/>
          <w:szCs w:val="32"/>
        </w:rPr>
        <w:t>服务质量情况</w:t>
      </w:r>
    </w:p>
    <w:p>
      <w:pPr>
        <w:pStyle w:val="12"/>
        <w:pageBreakBefore w:val="0"/>
        <w:widowControl w:val="0"/>
        <w:kinsoku/>
        <w:wordWrap/>
        <w:overflowPunct/>
        <w:topLinePunct w:val="0"/>
        <w:autoSpaceDE/>
        <w:autoSpaceDN/>
        <w:bidi w:val="0"/>
        <w:adjustRightInd/>
        <w:snapToGrid/>
        <w:spacing w:line="540" w:lineRule="exact"/>
        <w:ind w:left="0" w:leftChars="0" w:firstLine="642" w:firstLineChars="200"/>
        <w:jc w:val="both"/>
        <w:textAlignment w:val="auto"/>
        <w:rPr>
          <w:rFonts w:hint="eastAsia" w:ascii="仿宋_GB2312" w:eastAsia="仿宋_GB2312"/>
          <w:b/>
          <w:bCs/>
          <w:color w:val="auto"/>
          <w:sz w:val="32"/>
          <w:szCs w:val="32"/>
          <w:lang w:val="en-US" w:eastAsia="zh-CN"/>
        </w:rPr>
      </w:pPr>
      <w:r>
        <w:rPr>
          <w:rFonts w:hint="eastAsia" w:ascii="仿宋_GB2312" w:eastAsia="仿宋_GB2312"/>
          <w:b/>
          <w:bCs/>
          <w:color w:val="auto"/>
          <w:sz w:val="32"/>
          <w:szCs w:val="32"/>
          <w:lang w:val="en-US" w:eastAsia="zh-CN"/>
        </w:rPr>
        <w:t>第一片区：莘汀村、沙亭村、柏堂村、草堂村、复甦村</w:t>
      </w:r>
    </w:p>
    <w:p>
      <w:pPr>
        <w:pStyle w:val="12"/>
        <w:pageBreakBefore w:val="0"/>
        <w:widowControl w:val="0"/>
        <w:kinsoku/>
        <w:wordWrap/>
        <w:overflowPunct/>
        <w:topLinePunct w:val="0"/>
        <w:autoSpaceDE/>
        <w:autoSpaceDN/>
        <w:bidi w:val="0"/>
        <w:adjustRightInd/>
        <w:snapToGrid/>
        <w:spacing w:after="80" w:line="540" w:lineRule="exact"/>
        <w:ind w:firstLine="6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1.值得肯定的地方</w:t>
      </w:r>
    </w:p>
    <w:p>
      <w:pPr>
        <w:pStyle w:val="12"/>
        <w:pageBreakBefore w:val="0"/>
        <w:widowControl w:val="0"/>
        <w:kinsoku/>
        <w:wordWrap/>
        <w:overflowPunct/>
        <w:topLinePunct w:val="0"/>
        <w:autoSpaceDE/>
        <w:autoSpaceDN/>
        <w:bidi w:val="0"/>
        <w:adjustRightInd/>
        <w:snapToGrid/>
        <w:spacing w:after="0" w:line="54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经评委评估分析访谈情况和查阅项目调研、服务方案等各类服务工作痕迹记录资料，项目执行和成效总体情况有以下几方面值得肯定：</w:t>
      </w:r>
    </w:p>
    <w:p>
      <w:pPr>
        <w:pStyle w:val="12"/>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color w:val="auto"/>
          <w:sz w:val="32"/>
          <w:szCs w:val="32"/>
          <w:lang w:eastAsia="zh-CN"/>
        </w:rPr>
      </w:pPr>
      <w:bookmarkStart w:id="39" w:name="bookmark47"/>
      <w:bookmarkEnd w:id="39"/>
      <w:bookmarkStart w:id="40" w:name="bookmark48"/>
      <w:bookmarkEnd w:id="40"/>
      <w:bookmarkStart w:id="41" w:name="bookmark46"/>
      <w:bookmarkEnd w:id="41"/>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第一片区的服务执行情况良好，所有指标均能按中期的工作要求完成，其中兜底对象的建档工作均按要求完成。另外社工在台风、寒潮等特殊天气以及重大节日期间，能够做好对兜底对象上全覆盖关怀问候工作，截至中期</w:t>
      </w:r>
      <w:r>
        <w:rPr>
          <w:rFonts w:hint="eastAsia" w:ascii="仿宋_GB2312" w:eastAsia="仿宋_GB2312"/>
          <w:color w:val="auto"/>
          <w:sz w:val="32"/>
          <w:szCs w:val="32"/>
          <w:lang w:val="en-US" w:eastAsia="zh-CN"/>
        </w:rPr>
        <w:t>评估</w:t>
      </w:r>
      <w:r>
        <w:rPr>
          <w:rFonts w:hint="eastAsia" w:ascii="仿宋_GB2312" w:eastAsia="仿宋_GB2312"/>
          <w:color w:val="auto"/>
          <w:sz w:val="32"/>
          <w:szCs w:val="32"/>
          <w:lang w:eastAsia="zh-CN"/>
        </w:rPr>
        <w:t>，已经电访服务了905人次，入户探访了741人次。</w:t>
      </w:r>
    </w:p>
    <w:p>
      <w:pPr>
        <w:pStyle w:val="12"/>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社区治理服务方面，第一片区通过调研和SWOT分析，能够找准社区的需求与资源有效匹配点，制定了爱·护航计划和薪火相传·红星耀化龙计划，其中爱·护航计划在项目设计上能够兼顾考虑个人、家庭、学校和社区四个层面的不同需要并设计了相应的服务，上半年已经开展了3场的未成年人心理健康主题班会课，课程内容设计较贴合该年龄段学生的接受能力水平，通俗易懂，共服务了小学高年级学生共216人次。另外还开展了2个未成年人保护相关个案、2个心理健康小组、2场家庭教育主题公益讲座、3场未成年人保护法律政策宣传活动等。</w:t>
      </w:r>
    </w:p>
    <w:p>
      <w:pPr>
        <w:pStyle w:val="12"/>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）在社区多元主体参与方面，社工能够联动复甦小学、立乔建设集团有限公司、6Q教育机构、华师志愿者队伍等多个不同类别的资源主体共同参与到社区服务中。</w:t>
      </w:r>
    </w:p>
    <w:p>
      <w:pPr>
        <w:pStyle w:val="12"/>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4</w:t>
      </w:r>
      <w:r>
        <w:rPr>
          <w:rFonts w:hint="eastAsia" w:ascii="仿宋_GB2312" w:eastAsia="仿宋_GB2312"/>
          <w:color w:val="auto"/>
          <w:sz w:val="32"/>
          <w:szCs w:val="32"/>
          <w:lang w:eastAsia="zh-CN"/>
        </w:rPr>
        <w:t>）在疑难个案的跟进处理方面，第一片区社工展现了专业服务的价值，并充分发挥双工联动的优势，社工站社工有效地处理个案对象因突发陷入疾病和经济困难后的极端负面情绪（轻生）问题，并积极地联动家人发挥好非正式支持的作用，而直聘社工则在资源和政策保障方面发力，解决案主的后顾之忧，最终案主的医疗、经济困境、照顾难题都得到了有效妥当地处理，案主也在养老院得到了良好的照顾。</w:t>
      </w:r>
    </w:p>
    <w:p>
      <w:pPr>
        <w:pStyle w:val="12"/>
        <w:pageBreakBefore w:val="0"/>
        <w:widowControl w:val="0"/>
        <w:kinsoku/>
        <w:wordWrap/>
        <w:overflowPunct/>
        <w:topLinePunct w:val="0"/>
        <w:autoSpaceDE/>
        <w:autoSpaceDN/>
        <w:bidi w:val="0"/>
        <w:adjustRightInd/>
        <w:snapToGrid/>
        <w:spacing w:after="80" w:line="540" w:lineRule="exact"/>
        <w:ind w:firstLine="642" w:firstLineChars="2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2.需要关注的地方</w:t>
      </w:r>
    </w:p>
    <w:p>
      <w:pPr>
        <w:pStyle w:val="12"/>
        <w:pageBreakBefore w:val="0"/>
        <w:widowControl w:val="0"/>
        <w:kinsoku/>
        <w:wordWrap/>
        <w:overflowPunct/>
        <w:topLinePunct w:val="0"/>
        <w:autoSpaceDE/>
        <w:autoSpaceDN/>
        <w:bidi w:val="0"/>
        <w:adjustRightInd/>
        <w:snapToGrid/>
        <w:spacing w:after="0" w:line="54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经评委评估分析访谈情况和查阅项目调研、服务方案等各类服务工作痕迹记录资料，项目执行和成效总体情况有以下几方面需关注：</w:t>
      </w:r>
    </w:p>
    <w:p>
      <w:pPr>
        <w:pStyle w:val="12"/>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1</w:t>
      </w:r>
      <w:r>
        <w:rPr>
          <w:rFonts w:hint="eastAsia" w:ascii="仿宋_GB2312" w:eastAsia="仿宋_GB2312"/>
          <w:b w:val="0"/>
          <w:bCs w:val="0"/>
          <w:color w:val="auto"/>
          <w:sz w:val="32"/>
          <w:szCs w:val="32"/>
          <w:lang w:eastAsia="zh-CN"/>
        </w:rPr>
        <w:t>）第一片区的各个社工点的年度计划在规范性方面需要进一步加强，目前的社工点年度计划中，对于小组和活动并无明确的服务执行时间（即具体到那个月份），只有一个较长的时间跨度。若活动在计划中无具体的开展时间，则会影响服务监测工作的正常开展，因此建议第一片区的各社工点要明确年度计划中各小组和活动的开展时间。</w:t>
      </w:r>
    </w:p>
    <w:p>
      <w:pPr>
        <w:pStyle w:val="12"/>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2</w:t>
      </w:r>
      <w:r>
        <w:rPr>
          <w:rFonts w:hint="eastAsia" w:ascii="仿宋_GB2312" w:eastAsia="仿宋_GB2312"/>
          <w:b w:val="0"/>
          <w:bCs w:val="0"/>
          <w:color w:val="auto"/>
          <w:sz w:val="32"/>
          <w:szCs w:val="32"/>
          <w:lang w:eastAsia="zh-CN"/>
        </w:rPr>
        <w:t>）需求调研工作方面，社工在采取焦点访谈作为调研手段时，要注意保留访谈的具体内容，以更好地做证需求调研的结论，做到有凭有据。如需求调研中关于未成年人保护服务的调研报告中提及对家长、教育工作者进行了面对面的访谈，并得出了相关的调研结论，但现场社工无法提供相关的访谈原始材料，建议补充完善。</w:t>
      </w:r>
    </w:p>
    <w:p>
      <w:pPr>
        <w:pStyle w:val="12"/>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3</w:t>
      </w:r>
      <w:r>
        <w:rPr>
          <w:rFonts w:hint="eastAsia" w:ascii="仿宋_GB2312" w:eastAsia="仿宋_GB2312"/>
          <w:b w:val="0"/>
          <w:bCs w:val="0"/>
          <w:color w:val="auto"/>
          <w:sz w:val="32"/>
          <w:szCs w:val="32"/>
          <w:lang w:eastAsia="zh-CN"/>
        </w:rPr>
        <w:t>）第一片区的年度计划与沙亭村社工点的年度计划存在不一致的情况。建议根据实际的服务情况，调整年度计划中的内容，确保计划的一致性。</w:t>
      </w:r>
    </w:p>
    <w:p>
      <w:pPr>
        <w:pStyle w:val="12"/>
        <w:pageBreakBefore w:val="0"/>
        <w:widowControl w:val="0"/>
        <w:kinsoku/>
        <w:wordWrap/>
        <w:overflowPunct/>
        <w:topLinePunct w:val="0"/>
        <w:autoSpaceDE/>
        <w:autoSpaceDN/>
        <w:bidi w:val="0"/>
        <w:adjustRightInd/>
        <w:snapToGrid/>
        <w:spacing w:after="0" w:line="540" w:lineRule="exact"/>
        <w:ind w:left="0" w:leftChars="0" w:firstLine="642" w:firstLineChars="200"/>
        <w:jc w:val="both"/>
        <w:textAlignment w:val="auto"/>
        <w:rPr>
          <w:rFonts w:hint="eastAsia" w:ascii="仿宋_GB2312" w:eastAsia="仿宋_GB2312"/>
          <w:b/>
          <w:bCs/>
          <w:color w:val="auto"/>
          <w:sz w:val="32"/>
          <w:szCs w:val="32"/>
          <w:highlight w:val="none"/>
          <w:lang w:val="en-US" w:eastAsia="zh-CN"/>
        </w:rPr>
      </w:pPr>
      <w:r>
        <w:rPr>
          <w:rFonts w:hint="eastAsia" w:ascii="仿宋_GB2312" w:eastAsia="仿宋_GB2312"/>
          <w:b/>
          <w:bCs/>
          <w:color w:val="auto"/>
          <w:sz w:val="32"/>
          <w:szCs w:val="32"/>
          <w:highlight w:val="none"/>
          <w:lang w:val="en-US" w:eastAsia="zh-CN"/>
        </w:rPr>
        <w:t>第二</w:t>
      </w:r>
      <w:r>
        <w:rPr>
          <w:rFonts w:hint="eastAsia" w:ascii="仿宋_GB2312" w:eastAsia="仿宋_GB2312"/>
          <w:b/>
          <w:bCs/>
          <w:color w:val="auto"/>
          <w:sz w:val="32"/>
          <w:szCs w:val="32"/>
          <w:highlight w:val="none"/>
          <w:lang w:eastAsia="zh-CN"/>
        </w:rPr>
        <w:t>片区：</w:t>
      </w:r>
      <w:r>
        <w:rPr>
          <w:rFonts w:hint="eastAsia" w:ascii="仿宋_GB2312" w:eastAsia="仿宋_GB2312"/>
          <w:b/>
          <w:bCs/>
          <w:color w:val="auto"/>
          <w:sz w:val="32"/>
          <w:szCs w:val="32"/>
          <w:highlight w:val="none"/>
          <w:lang w:val="en-US" w:eastAsia="zh-CN"/>
        </w:rPr>
        <w:t>东南村、水门村、塘头村、化龙社区、盛龙社区</w:t>
      </w:r>
    </w:p>
    <w:p>
      <w:pPr>
        <w:pStyle w:val="12"/>
        <w:pageBreakBefore w:val="0"/>
        <w:widowControl w:val="0"/>
        <w:numPr>
          <w:ilvl w:val="0"/>
          <w:numId w:val="4"/>
        </w:numPr>
        <w:tabs>
          <w:tab w:val="left" w:pos="972"/>
        </w:tabs>
        <w:kinsoku/>
        <w:wordWrap/>
        <w:overflowPunct/>
        <w:topLinePunct w:val="0"/>
        <w:autoSpaceDE/>
        <w:autoSpaceDN/>
        <w:bidi w:val="0"/>
        <w:adjustRightInd/>
        <w:snapToGrid/>
        <w:spacing w:after="0" w:line="540" w:lineRule="exact"/>
        <w:ind w:firstLine="580"/>
        <w:jc w:val="both"/>
        <w:textAlignment w:val="auto"/>
        <w:rPr>
          <w:rFonts w:ascii="仿宋_GB2312" w:eastAsia="仿宋_GB2312"/>
          <w:color w:val="auto"/>
          <w:sz w:val="32"/>
          <w:szCs w:val="32"/>
        </w:rPr>
      </w:pPr>
      <w:bookmarkStart w:id="42" w:name="bookmark57"/>
      <w:bookmarkEnd w:id="42"/>
      <w:r>
        <w:rPr>
          <w:rFonts w:hint="eastAsia" w:ascii="仿宋_GB2312" w:eastAsia="仿宋_GB2312"/>
          <w:b/>
          <w:bCs/>
          <w:color w:val="auto"/>
          <w:sz w:val="32"/>
          <w:szCs w:val="32"/>
        </w:rPr>
        <w:t>值得肯定的地方</w:t>
      </w:r>
    </w:p>
    <w:p>
      <w:pPr>
        <w:pStyle w:val="12"/>
        <w:pageBreakBefore w:val="0"/>
        <w:widowControl w:val="0"/>
        <w:kinsoku/>
        <w:wordWrap/>
        <w:overflowPunct/>
        <w:topLinePunct w:val="0"/>
        <w:autoSpaceDE/>
        <w:autoSpaceDN/>
        <w:bidi w:val="0"/>
        <w:adjustRightInd/>
        <w:snapToGrid/>
        <w:spacing w:after="0" w:line="54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经评委评估分析访谈情况和查阅项目调研、家访、个案服务等各类服务工作痕迹记录资料，该项目以下几方面值得肯定：</w:t>
      </w:r>
      <w:bookmarkStart w:id="43" w:name="bookmark58"/>
      <w:bookmarkEnd w:id="43"/>
      <w:bookmarkStart w:id="44" w:name="bookmark59"/>
      <w:bookmarkEnd w:id="44"/>
    </w:p>
    <w:p>
      <w:pPr>
        <w:pStyle w:val="12"/>
        <w:pageBreakBefore w:val="0"/>
        <w:widowControl w:val="0"/>
        <w:tabs>
          <w:tab w:val="left" w:pos="986"/>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val="en-US" w:eastAsia="zh-CN"/>
        </w:rPr>
      </w:pPr>
      <w:bookmarkStart w:id="45" w:name="bookmark60"/>
      <w:bookmarkEnd w:id="45"/>
      <w:r>
        <w:rPr>
          <w:rFonts w:hint="eastAsia" w:ascii="仿宋_GB2312" w:eastAsia="仿宋_GB2312"/>
          <w:color w:val="auto"/>
          <w:sz w:val="32"/>
          <w:szCs w:val="32"/>
          <w:lang w:val="en-US" w:eastAsia="zh-CN"/>
        </w:rPr>
        <w:t>（1）社工关注兜底人群服务，制定困难群体和特殊群体跟进机制，为17类困难群众和特殊群体提供多种服务。各个社工点已经实现100%全覆盖建档。社工对出现特殊情况的服务对象，能积极发挥作用，服务跟进到位。</w:t>
      </w:r>
    </w:p>
    <w:p>
      <w:pPr>
        <w:pStyle w:val="12"/>
        <w:pageBreakBefore w:val="0"/>
        <w:widowControl w:val="0"/>
        <w:tabs>
          <w:tab w:val="left" w:pos="986"/>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片区周期服务逻辑清晰，服务落地执行情况、指标完成情况良好。社工在片区、5个站点、特色项目均开展了需求调研，并在此基础上制定了相应的服务计划，服务过程记录呈现清晰。社工的专业服务能力较好，能够深入社区落实对困难群众和特殊群体的服务，并形成了3篇服务案例。</w:t>
      </w:r>
    </w:p>
    <w:p>
      <w:pPr>
        <w:pStyle w:val="12"/>
        <w:pageBreakBefore w:val="0"/>
        <w:widowControl w:val="0"/>
        <w:tabs>
          <w:tab w:val="left" w:pos="986"/>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该片区积极构建社区慈善参与平台，成功举办了慈善社区我先行——华龙镇“99公益日”宣传活动，共募集社区基金超过2万元。通过积极联动党员和社区居民，采用五社联动的方式，有效促进了志愿者和社区社会组织参与社区治理，使服务得以沉淀和推广，形成了“齐聚力，筑平安”平安社区营造项目品牌建设，并获得了国家、省、市、街道等多家媒体的19篇报道。</w:t>
      </w:r>
    </w:p>
    <w:p>
      <w:pPr>
        <w:pStyle w:val="12"/>
        <w:pageBreakBefore w:val="0"/>
        <w:widowControl w:val="0"/>
        <w:tabs>
          <w:tab w:val="left" w:pos="986"/>
        </w:tabs>
        <w:kinsoku/>
        <w:wordWrap/>
        <w:overflowPunct/>
        <w:topLinePunct w:val="0"/>
        <w:autoSpaceDE/>
        <w:autoSpaceDN/>
        <w:bidi w:val="0"/>
        <w:adjustRightInd/>
        <w:snapToGrid/>
        <w:spacing w:after="0" w:line="540" w:lineRule="exact"/>
        <w:ind w:firstLine="642" w:firstLineChars="200"/>
        <w:jc w:val="both"/>
        <w:textAlignment w:val="auto"/>
        <w:rPr>
          <w:rFonts w:ascii="仿宋_GB2312" w:eastAsia="仿宋_GB2312"/>
          <w:color w:val="auto"/>
          <w:sz w:val="32"/>
          <w:szCs w:val="32"/>
        </w:rPr>
      </w:pPr>
      <w:r>
        <w:rPr>
          <w:rFonts w:hint="eastAsia" w:ascii="仿宋_GB2312" w:eastAsia="仿宋_GB2312"/>
          <w:b/>
          <w:bCs/>
          <w:color w:val="auto"/>
          <w:sz w:val="32"/>
          <w:szCs w:val="32"/>
          <w:lang w:val="en-US" w:eastAsia="zh-CN"/>
        </w:rPr>
        <w:t>2.</w:t>
      </w:r>
      <w:r>
        <w:rPr>
          <w:rFonts w:hint="eastAsia" w:ascii="仿宋_GB2312" w:eastAsia="仿宋_GB2312"/>
          <w:b/>
          <w:bCs/>
          <w:color w:val="auto"/>
          <w:sz w:val="32"/>
          <w:szCs w:val="32"/>
        </w:rPr>
        <w:t>需要关注的地方</w:t>
      </w:r>
    </w:p>
    <w:p>
      <w:pPr>
        <w:pStyle w:val="12"/>
        <w:pageBreakBefore w:val="0"/>
        <w:widowControl w:val="0"/>
        <w:kinsoku/>
        <w:wordWrap/>
        <w:overflowPunct/>
        <w:topLinePunct w:val="0"/>
        <w:autoSpaceDE/>
        <w:autoSpaceDN/>
        <w:bidi w:val="0"/>
        <w:adjustRightInd/>
        <w:snapToGrid/>
        <w:spacing w:after="0" w:line="540" w:lineRule="exact"/>
        <w:ind w:firstLine="580"/>
        <w:jc w:val="both"/>
        <w:textAlignment w:val="auto"/>
        <w:rPr>
          <w:rFonts w:hint="eastAsia" w:ascii="仿宋_GB2312" w:eastAsia="仿宋_GB2312"/>
          <w:color w:val="auto"/>
          <w:sz w:val="32"/>
          <w:szCs w:val="32"/>
        </w:rPr>
      </w:pPr>
      <w:r>
        <w:rPr>
          <w:rFonts w:hint="eastAsia" w:ascii="仿宋_GB2312" w:eastAsia="仿宋_GB2312"/>
          <w:color w:val="auto"/>
          <w:sz w:val="32"/>
          <w:szCs w:val="32"/>
        </w:rPr>
        <w:t>经评委评估分析访谈情况和查阅项目调研、家访、个案服务等各类服务工作痕迹记录资料，该项目以下方面需关注：</w:t>
      </w:r>
    </w:p>
    <w:p>
      <w:pPr>
        <w:pStyle w:val="12"/>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eastAsia="仿宋_GB2312"/>
          <w:color w:val="auto"/>
          <w:sz w:val="32"/>
          <w:szCs w:val="32"/>
          <w:lang w:val="en-US" w:eastAsia="zh-CN"/>
        </w:rPr>
      </w:pPr>
      <w:bookmarkStart w:id="46" w:name="bookmark62"/>
      <w:bookmarkEnd w:id="46"/>
      <w:bookmarkStart w:id="47" w:name="bookmark61"/>
      <w:bookmarkEnd w:id="47"/>
      <w:r>
        <w:rPr>
          <w:rFonts w:hint="eastAsia" w:ascii="仿宋_GB2312" w:eastAsia="仿宋_GB2312"/>
          <w:color w:val="auto"/>
          <w:sz w:val="32"/>
          <w:szCs w:val="32"/>
          <w:lang w:val="en-US" w:eastAsia="zh-CN"/>
        </w:rPr>
        <w:t>（1）建议应进一步加强针对困难群众和特殊群体的服务工作。在对这些群体的服务需求进行调研时，报告应更细致地将服务对象和服务需求进行分层分类。除了关注心理健康和社会支持之外，还需全面评估和分析服务对象的生存环境。此外，服务计划的制定也需进一步优化，应根据服务对象的具体需求来设定服务目标，并制定详细清晰的介入步骤，以便更好地针对性服务困难群众和特殊群体。优化《服务对象家庭信息汇总表》，清晰呈现困难群众和特殊群众底数以及分类等情况。</w:t>
      </w:r>
    </w:p>
    <w:p>
      <w:pPr>
        <w:pStyle w:val="12"/>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（2）建议进一步强化专业服务能力。在审阅了目前的个案服务情况后，建议加强对于服务对象的详细评估分析以及社工介入的具体情况，并注意文书资料的呈现。</w:t>
      </w:r>
    </w:p>
    <w:p>
      <w:pPr>
        <w:pStyle w:val="12"/>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 xml:space="preserve">（3）特色服务项目的构建需与区域内困难群众及特殊群体的实际情况相结合，进一步深化调研报告和服务成效的呈现，以凸显五社联动在参与17类兜底人群服务中的关键作用，有效解决困难群体及特殊群体的问题，使服务更加精准。 </w:t>
      </w:r>
    </w:p>
    <w:p>
      <w:pPr>
        <w:pStyle w:val="12"/>
        <w:pageBreakBefore w:val="0"/>
        <w:widowControl w:val="0"/>
        <w:kinsoku/>
        <w:wordWrap/>
        <w:overflowPunct/>
        <w:topLinePunct w:val="0"/>
        <w:autoSpaceDE/>
        <w:autoSpaceDN/>
        <w:bidi w:val="0"/>
        <w:adjustRightInd/>
        <w:snapToGrid/>
        <w:spacing w:after="0" w:line="540" w:lineRule="exact"/>
        <w:ind w:left="0" w:leftChars="0" w:firstLine="642" w:firstLineChars="200"/>
        <w:jc w:val="both"/>
        <w:textAlignment w:val="auto"/>
        <w:rPr>
          <w:rFonts w:hint="eastAsia" w:ascii="仿宋_GB2312" w:eastAsia="仿宋_GB2312"/>
          <w:b/>
          <w:bCs/>
          <w:color w:val="auto"/>
          <w:sz w:val="32"/>
          <w:szCs w:val="32"/>
          <w:lang w:val="en-US" w:eastAsia="zh-CN"/>
        </w:rPr>
      </w:pPr>
      <w:r>
        <w:rPr>
          <w:rFonts w:hint="eastAsia" w:ascii="仿宋_GB2312" w:eastAsia="仿宋_GB2312"/>
          <w:b/>
          <w:bCs/>
          <w:color w:val="auto"/>
          <w:sz w:val="32"/>
          <w:szCs w:val="32"/>
          <w:lang w:val="en-US" w:eastAsia="zh-CN"/>
        </w:rPr>
        <w:t>第三</w:t>
      </w:r>
      <w:r>
        <w:rPr>
          <w:rFonts w:hint="eastAsia" w:ascii="仿宋_GB2312" w:eastAsia="仿宋_GB2312"/>
          <w:b/>
          <w:bCs/>
          <w:color w:val="auto"/>
          <w:sz w:val="32"/>
          <w:szCs w:val="32"/>
          <w:lang w:eastAsia="zh-CN"/>
        </w:rPr>
        <w:t>片区：</w:t>
      </w:r>
      <w:r>
        <w:rPr>
          <w:rFonts w:hint="eastAsia" w:ascii="仿宋_GB2312" w:eastAsia="仿宋_GB2312"/>
          <w:b/>
          <w:bCs/>
          <w:color w:val="auto"/>
          <w:sz w:val="32"/>
          <w:szCs w:val="32"/>
          <w:lang w:val="en-US" w:eastAsia="zh-CN"/>
        </w:rPr>
        <w:t>明经村、潭山村、西山村、山门村、眉山村</w:t>
      </w:r>
    </w:p>
    <w:p>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经评委评估分析访谈情况和查阅项目调研、家访、个案服务等各类服务工作痕迹记录资料，该项目以下几方面值得肯定：</w:t>
      </w:r>
    </w:p>
    <w:p>
      <w:pPr>
        <w:pStyle w:val="12"/>
        <w:pageBreakBefore w:val="0"/>
        <w:widowControl w:val="0"/>
        <w:numPr>
          <w:ilvl w:val="0"/>
          <w:numId w:val="5"/>
        </w:numPr>
        <w:kinsoku/>
        <w:wordWrap/>
        <w:overflowPunct/>
        <w:topLinePunct w:val="0"/>
        <w:autoSpaceDE/>
        <w:autoSpaceDN/>
        <w:bidi w:val="0"/>
        <w:adjustRightInd/>
        <w:snapToGrid/>
        <w:spacing w:after="0" w:line="540" w:lineRule="exact"/>
        <w:ind w:firstLine="600"/>
        <w:jc w:val="both"/>
        <w:textAlignment w:val="auto"/>
        <w:rPr>
          <w:rFonts w:hint="eastAsia" w:ascii="仿宋_GB2312" w:eastAsia="仿宋_GB2312"/>
          <w:color w:val="auto"/>
          <w:sz w:val="32"/>
          <w:szCs w:val="32"/>
          <w:lang w:eastAsia="zh-CN"/>
        </w:rPr>
      </w:pPr>
      <w:bookmarkStart w:id="48" w:name="bookmark65"/>
      <w:bookmarkEnd w:id="48"/>
      <w:bookmarkStart w:id="49" w:name="bookmark66"/>
      <w:bookmarkEnd w:id="49"/>
      <w:bookmarkStart w:id="50" w:name="bookmark63"/>
      <w:bookmarkEnd w:id="50"/>
      <w:bookmarkStart w:id="51" w:name="bookmark64"/>
      <w:bookmarkEnd w:id="51"/>
      <w:r>
        <w:rPr>
          <w:rFonts w:hint="eastAsia" w:ascii="仿宋_GB2312" w:eastAsia="仿宋_GB2312"/>
          <w:color w:val="auto"/>
          <w:sz w:val="32"/>
          <w:szCs w:val="32"/>
          <w:lang w:eastAsia="zh-CN"/>
        </w:rPr>
        <w:t>社工能够根据分层分类的结果，对困难群众和特殊群体进行常态化跟进，及时发现问题，及时回应日常需求，取得较好的社会成效。</w:t>
      </w:r>
    </w:p>
    <w:p>
      <w:pPr>
        <w:pStyle w:val="12"/>
        <w:pageBreakBefore w:val="0"/>
        <w:widowControl w:val="0"/>
        <w:numPr>
          <w:ilvl w:val="0"/>
          <w:numId w:val="5"/>
        </w:numPr>
        <w:kinsoku/>
        <w:wordWrap/>
        <w:overflowPunct/>
        <w:topLinePunct w:val="0"/>
        <w:autoSpaceDE/>
        <w:autoSpaceDN/>
        <w:bidi w:val="0"/>
        <w:adjustRightInd/>
        <w:snapToGrid/>
        <w:spacing w:after="0" w:line="540" w:lineRule="exact"/>
        <w:ind w:firstLine="6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社工积极联动事务性岗位社工开展政策宣传，并融入专业思考，以通俗易懂的语言，以喜闻乐见的方式开展服务，提高了服务对象对政策的知晓率与利用率。</w:t>
      </w:r>
    </w:p>
    <w:p>
      <w:pPr>
        <w:pStyle w:val="12"/>
        <w:pageBreakBefore w:val="0"/>
        <w:widowControl w:val="0"/>
        <w:numPr>
          <w:ilvl w:val="0"/>
          <w:numId w:val="5"/>
        </w:numPr>
        <w:kinsoku/>
        <w:wordWrap/>
        <w:overflowPunct/>
        <w:topLinePunct w:val="0"/>
        <w:autoSpaceDE/>
        <w:autoSpaceDN/>
        <w:bidi w:val="0"/>
        <w:adjustRightInd/>
        <w:snapToGrid/>
        <w:spacing w:after="0" w:line="540" w:lineRule="exact"/>
        <w:ind w:firstLine="6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紧跟片区服务对象的健康需求，联动医疗机构和</w:t>
      </w:r>
      <w:r>
        <w:rPr>
          <w:rFonts w:hint="eastAsia" w:ascii="仿宋_GB2312" w:eastAsia="仿宋_GB2312"/>
          <w:color w:val="auto"/>
          <w:sz w:val="32"/>
          <w:szCs w:val="32"/>
          <w:lang w:val="en-US" w:eastAsia="zh-CN"/>
        </w:rPr>
        <w:t>才</w:t>
      </w:r>
      <w:r>
        <w:rPr>
          <w:rFonts w:hint="eastAsia" w:ascii="仿宋_GB2312" w:eastAsia="仿宋_GB2312"/>
          <w:color w:val="auto"/>
          <w:sz w:val="32"/>
          <w:szCs w:val="32"/>
          <w:lang w:eastAsia="zh-CN"/>
        </w:rPr>
        <w:t>志愿队开展义诊及入户探访，让服务对象对自身健康问题有更加全面地认识，提升其健康管理水平，减少突发健康问题对生活的冲击。</w:t>
      </w:r>
    </w:p>
    <w:p>
      <w:pPr>
        <w:pStyle w:val="12"/>
        <w:pageBreakBefore w:val="0"/>
        <w:widowControl w:val="0"/>
        <w:numPr>
          <w:ilvl w:val="0"/>
          <w:numId w:val="5"/>
        </w:numPr>
        <w:kinsoku/>
        <w:wordWrap/>
        <w:overflowPunct/>
        <w:topLinePunct w:val="0"/>
        <w:autoSpaceDE/>
        <w:autoSpaceDN/>
        <w:bidi w:val="0"/>
        <w:adjustRightInd/>
        <w:snapToGrid/>
        <w:spacing w:after="0" w:line="540" w:lineRule="exact"/>
        <w:ind w:firstLine="6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以“文化振兴”为项目的切入点，从资产为本等四个维度搭建，搭建传统文化传承与推广项目框架，形成较为成熟的项目实施体系，对特色品牌塑造与实现文化的价值具有正向推动作用。</w:t>
      </w:r>
    </w:p>
    <w:p>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p>
    <w:p>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经评委评估分析访谈情况和查阅项目调研、家访、个案服务等各类服务工作痕迹记录资料，该项目以下几方面需关注：</w:t>
      </w:r>
    </w:p>
    <w:p>
      <w:pPr>
        <w:pStyle w:val="12"/>
        <w:pageBreakBefore w:val="0"/>
        <w:widowControl w:val="0"/>
        <w:kinsoku/>
        <w:wordWrap/>
        <w:overflowPunct/>
        <w:topLinePunct w:val="0"/>
        <w:autoSpaceDE/>
        <w:autoSpaceDN/>
        <w:bidi w:val="0"/>
        <w:adjustRightInd/>
        <w:snapToGrid/>
        <w:spacing w:after="0" w:line="540" w:lineRule="exact"/>
        <w:ind w:firstLine="740"/>
        <w:jc w:val="both"/>
        <w:textAlignment w:val="auto"/>
        <w:rPr>
          <w:rFonts w:hint="eastAsia" w:ascii="仿宋_GB2312" w:eastAsia="仿宋_GB2312"/>
          <w:color w:val="auto"/>
          <w:sz w:val="32"/>
          <w:szCs w:val="32"/>
          <w:lang w:eastAsia="zh-CN"/>
        </w:rPr>
      </w:pPr>
      <w:bookmarkStart w:id="52" w:name="bookmark67"/>
      <w:bookmarkEnd w:id="52"/>
      <w:bookmarkStart w:id="53" w:name="bookmark69"/>
      <w:bookmarkEnd w:id="53"/>
      <w:bookmarkStart w:id="54" w:name="bookmark68"/>
      <w:bookmarkEnd w:id="54"/>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社工对问题把握和需求评估比较到位、全面，但服务介入思路并不是十分清晰，建议从提高服务内部逻辑性进行关注。片区内部要建立相互监督，相互审核的工作机制，强化内部沟通与协作，从而不断提升服务质量。</w:t>
      </w:r>
    </w:p>
    <w:p>
      <w:pPr>
        <w:pStyle w:val="12"/>
        <w:pageBreakBefore w:val="0"/>
        <w:widowControl w:val="0"/>
        <w:kinsoku/>
        <w:wordWrap/>
        <w:overflowPunct/>
        <w:topLinePunct w:val="0"/>
        <w:autoSpaceDE/>
        <w:autoSpaceDN/>
        <w:bidi w:val="0"/>
        <w:adjustRightInd/>
        <w:snapToGrid/>
        <w:spacing w:after="0" w:line="540" w:lineRule="exact"/>
        <w:ind w:firstLine="74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善”治化龙与聚“善”惠民中的“善”是否为同一内涵？“善”的精神内核是什么，与传统文化传承推广有何联系，对解决社区问题又有何指导意义？如何通过“善”将“乡韵传承”与“贴心好伙伴”两个项目结合产生联动效应等等，建议片区社工针对以上问题进行深入思考。</w:t>
      </w:r>
    </w:p>
    <w:p>
      <w:pPr>
        <w:pStyle w:val="12"/>
        <w:pageBreakBefore w:val="0"/>
        <w:widowControl w:val="0"/>
        <w:kinsoku/>
        <w:wordWrap/>
        <w:overflowPunct/>
        <w:topLinePunct w:val="0"/>
        <w:autoSpaceDE/>
        <w:autoSpaceDN/>
        <w:bidi w:val="0"/>
        <w:adjustRightInd/>
        <w:snapToGrid/>
        <w:spacing w:after="0" w:line="540" w:lineRule="exact"/>
        <w:ind w:firstLine="740"/>
        <w:jc w:val="both"/>
        <w:textAlignment w:val="auto"/>
        <w:rPr>
          <w:rFonts w:ascii="仿宋_GB2312" w:eastAsia="仿宋_GB2312"/>
          <w:b/>
          <w:bCs/>
          <w:color w:val="auto"/>
          <w:sz w:val="32"/>
          <w:szCs w:val="32"/>
        </w:rPr>
      </w:pPr>
      <w:r>
        <w:rPr>
          <w:rFonts w:hint="eastAsia" w:ascii="仿宋_GB2312" w:eastAsia="仿宋_GB2312"/>
          <w:b/>
          <w:bCs/>
          <w:color w:val="auto"/>
          <w:sz w:val="32"/>
          <w:szCs w:val="32"/>
          <w:lang w:eastAsia="zh-CN"/>
        </w:rPr>
        <w:t>（六）</w:t>
      </w:r>
      <w:r>
        <w:rPr>
          <w:rFonts w:hint="eastAsia" w:ascii="仿宋_GB2312" w:eastAsia="仿宋_GB2312"/>
          <w:b/>
          <w:bCs/>
          <w:color w:val="auto"/>
          <w:sz w:val="32"/>
          <w:szCs w:val="32"/>
        </w:rPr>
        <w:t>购买方反馈情况</w:t>
      </w:r>
    </w:p>
    <w:p>
      <w:pPr>
        <w:pStyle w:val="12"/>
        <w:pageBreakBefore w:val="0"/>
        <w:widowControl w:val="0"/>
        <w:kinsoku/>
        <w:wordWrap/>
        <w:overflowPunct/>
        <w:topLinePunct w:val="0"/>
        <w:autoSpaceDE/>
        <w:autoSpaceDN/>
        <w:bidi w:val="0"/>
        <w:adjustRightInd/>
        <w:snapToGrid/>
        <w:spacing w:after="80" w:line="540" w:lineRule="exact"/>
        <w:ind w:firstLine="740"/>
        <w:jc w:val="both"/>
        <w:textAlignment w:val="auto"/>
        <w:rPr>
          <w:rFonts w:ascii="仿宋_GB2312" w:eastAsia="仿宋_GB2312"/>
          <w:b/>
          <w:bCs/>
          <w:color w:val="auto"/>
          <w:sz w:val="32"/>
          <w:szCs w:val="32"/>
        </w:rPr>
      </w:pPr>
      <w:r>
        <w:rPr>
          <w:rFonts w:hint="eastAsia" w:ascii="仿宋_GB2312" w:eastAsia="仿宋_GB2312"/>
          <w:b/>
          <w:bCs/>
          <w:color w:val="auto"/>
          <w:sz w:val="32"/>
          <w:szCs w:val="32"/>
        </w:rPr>
        <w:t>1.值得肯定的地方</w:t>
      </w:r>
    </w:p>
    <w:p>
      <w:pPr>
        <w:pStyle w:val="12"/>
        <w:pageBreakBefore w:val="0"/>
        <w:widowControl w:val="0"/>
        <w:kinsoku/>
        <w:wordWrap/>
        <w:overflowPunct/>
        <w:topLinePunct w:val="0"/>
        <w:autoSpaceDE/>
        <w:autoSpaceDN/>
        <w:bidi w:val="0"/>
        <w:adjustRightInd/>
        <w:snapToGrid/>
        <w:spacing w:after="0" w:line="540" w:lineRule="exact"/>
        <w:ind w:firstLine="578"/>
        <w:jc w:val="both"/>
        <w:textAlignment w:val="auto"/>
        <w:rPr>
          <w:rFonts w:hint="default" w:ascii="仿宋_GB2312" w:eastAsia="仿宋_GB2312" w:hAnsiTheme="minorEastAsia"/>
          <w:color w:val="auto"/>
          <w:sz w:val="32"/>
          <w:szCs w:val="32"/>
          <w:lang w:val="en-US" w:eastAsia="zh-CN"/>
        </w:rPr>
      </w:pPr>
      <w:r>
        <w:rPr>
          <w:rFonts w:hint="eastAsia" w:ascii="仿宋_GB2312" w:eastAsia="仿宋_GB2312"/>
          <w:color w:val="auto"/>
          <w:sz w:val="32"/>
          <w:szCs w:val="32"/>
        </w:rPr>
        <w:t>购买方（</w:t>
      </w:r>
      <w:r>
        <w:rPr>
          <w:rFonts w:hint="eastAsia" w:ascii="仿宋_GB2312" w:eastAsia="仿宋_GB2312"/>
          <w:color w:val="auto"/>
          <w:sz w:val="32"/>
          <w:szCs w:val="32"/>
          <w:lang w:val="en-US" w:eastAsia="zh-CN"/>
        </w:rPr>
        <w:t>化龙镇人民政府</w:t>
      </w:r>
      <w:r>
        <w:rPr>
          <w:rFonts w:hint="eastAsia" w:ascii="仿宋_GB2312" w:eastAsia="仿宋_GB2312"/>
          <w:color w:val="auto"/>
          <w:sz w:val="32"/>
          <w:szCs w:val="32"/>
        </w:rPr>
        <w:t>）认为，</w:t>
      </w:r>
      <w:r>
        <w:rPr>
          <w:rFonts w:hint="eastAsia" w:ascii="仿宋_GB2312" w:eastAsia="仿宋_GB2312"/>
          <w:color w:val="auto"/>
          <w:sz w:val="32"/>
          <w:szCs w:val="32"/>
          <w:lang w:eastAsia="zh-CN"/>
        </w:rPr>
        <w:t>社工站人员工作态度认真负责，在日常工作中与村居保持紧密协作，能够积极主动完成各项任务，并能协助镇政府应对各种突发工作。</w:t>
      </w:r>
    </w:p>
    <w:p>
      <w:pPr>
        <w:pStyle w:val="12"/>
        <w:pageBreakBefore w:val="0"/>
        <w:widowControl w:val="0"/>
        <w:kinsoku/>
        <w:wordWrap/>
        <w:overflowPunct/>
        <w:topLinePunct w:val="0"/>
        <w:autoSpaceDE/>
        <w:autoSpaceDN/>
        <w:bidi w:val="0"/>
        <w:adjustRightInd/>
        <w:snapToGrid/>
        <w:spacing w:after="0" w:line="540" w:lineRule="exact"/>
        <w:ind w:firstLine="58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p>
    <w:p>
      <w:pPr>
        <w:pStyle w:val="12"/>
        <w:pageBreakBefore w:val="0"/>
        <w:widowControl w:val="0"/>
        <w:kinsoku/>
        <w:wordWrap/>
        <w:overflowPunct/>
        <w:topLinePunct w:val="0"/>
        <w:autoSpaceDE/>
        <w:autoSpaceDN/>
        <w:bidi w:val="0"/>
        <w:adjustRightInd/>
        <w:snapToGrid/>
        <w:spacing w:after="0" w:line="540" w:lineRule="exact"/>
        <w:ind w:firstLine="74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rPr>
        <w:t>购买方（</w:t>
      </w:r>
      <w:r>
        <w:rPr>
          <w:rFonts w:hint="eastAsia" w:ascii="仿宋_GB2312" w:eastAsia="仿宋_GB2312"/>
          <w:color w:val="auto"/>
          <w:sz w:val="32"/>
          <w:szCs w:val="32"/>
          <w:lang w:val="en-US" w:eastAsia="zh-CN"/>
        </w:rPr>
        <w:t>化龙镇人民政府</w:t>
      </w:r>
      <w:r>
        <w:rPr>
          <w:rFonts w:hint="eastAsia" w:ascii="仿宋_GB2312" w:eastAsia="仿宋_GB2312"/>
          <w:color w:val="auto"/>
          <w:sz w:val="32"/>
          <w:szCs w:val="32"/>
        </w:rPr>
        <w:t>）认为，</w:t>
      </w:r>
      <w:r>
        <w:rPr>
          <w:rFonts w:hint="eastAsia" w:ascii="仿宋_GB2312" w:eastAsia="仿宋_GB2312"/>
          <w:color w:val="auto"/>
          <w:sz w:val="32"/>
          <w:szCs w:val="32"/>
          <w:lang w:eastAsia="zh-CN"/>
        </w:rPr>
        <w:t>社工站需进一步强化专业人才队伍建设，保障团队骨干力量。</w:t>
      </w:r>
    </w:p>
    <w:p>
      <w:pPr>
        <w:pStyle w:val="12"/>
        <w:keepNext w:val="0"/>
        <w:keepLines w:val="0"/>
        <w:pageBreakBefore w:val="0"/>
        <w:widowControl w:val="0"/>
        <w:numPr>
          <w:ilvl w:val="0"/>
          <w:numId w:val="6"/>
        </w:numPr>
        <w:kinsoku/>
        <w:wordWrap/>
        <w:overflowPunct/>
        <w:topLinePunct w:val="0"/>
        <w:autoSpaceDE/>
        <w:autoSpaceDN/>
        <w:bidi w:val="0"/>
        <w:adjustRightInd/>
        <w:snapToGrid/>
        <w:spacing w:after="120" w:line="540" w:lineRule="exact"/>
        <w:ind w:firstLine="642" w:firstLineChars="200"/>
        <w:jc w:val="both"/>
        <w:textAlignment w:val="auto"/>
        <w:rPr>
          <w:rFonts w:hint="eastAsia" w:ascii="仿宋_GB2312" w:eastAsia="仿宋_GB2312"/>
          <w:b/>
          <w:bCs/>
          <w:sz w:val="32"/>
          <w:szCs w:val="32"/>
          <w:highlight w:val="none"/>
        </w:rPr>
      </w:pPr>
      <w:r>
        <w:rPr>
          <w:rFonts w:hint="eastAsia" w:ascii="仿宋_GB2312" w:eastAsia="仿宋_GB2312"/>
          <w:b/>
          <w:bCs/>
          <w:sz w:val="32"/>
          <w:szCs w:val="32"/>
          <w:highlight w:val="none"/>
        </w:rPr>
        <w:t>市督导中心反馈</w:t>
      </w:r>
    </w:p>
    <w:p>
      <w:pPr>
        <w:pStyle w:val="12"/>
        <w:keepNext w:val="0"/>
        <w:keepLines w:val="0"/>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hint="eastAsia"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hint="eastAsia" w:ascii="仿宋_GB2312" w:eastAsia="仿宋_GB2312"/>
          <w:sz w:val="32"/>
          <w:szCs w:val="32"/>
        </w:rPr>
      </w:pPr>
      <w:r>
        <w:rPr>
          <w:rFonts w:hint="eastAsia" w:ascii="仿宋_GB2312" w:eastAsia="仿宋_GB2312"/>
          <w:sz w:val="32"/>
          <w:szCs w:val="32"/>
        </w:rPr>
        <w:t>经评委评估分析访谈情况和查阅项目调研、家访、个案服务等各类服务工作痕迹记录资料，该项目以下几方面值得肯定：</w:t>
      </w:r>
    </w:p>
    <w:p>
      <w:pPr>
        <w:pStyle w:val="12"/>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1）项目团队重视社工专业能力提升，按需制定具体的社工专业能力提升计划，打造以督导、培训、交流等为核心的多层次、立体化培养体系，建立内部共学机制并严格落实，同时定期收集社工的反馈评价，开展项目团队及社工个人的阶段性成长总结，有助于检视成效，不断优化能力提升体系。</w:t>
      </w:r>
    </w:p>
    <w:p>
      <w:pPr>
        <w:pStyle w:val="12"/>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2）项目团队重视双工双岗联动服务，针对较为清晰的工作联动指引，明确界定联动内容，定频定量，有效指导项目社工与直聘社工、村居密切联动，协同开展入户探访、帮扶救助、义诊等服务，有效整合了服务力量，值得肯定。</w:t>
      </w:r>
    </w:p>
    <w:p>
      <w:pPr>
        <w:pStyle w:val="12"/>
        <w:pageBreakBefore w:val="0"/>
        <w:widowControl w:val="0"/>
        <w:kinsoku/>
        <w:wordWrap/>
        <w:overflowPunct/>
        <w:topLinePunct w:val="0"/>
        <w:autoSpaceDE/>
        <w:autoSpaceDN/>
        <w:bidi w:val="0"/>
        <w:adjustRightInd/>
        <w:snapToGrid/>
        <w:spacing w:after="0" w:line="540" w:lineRule="exact"/>
        <w:ind w:left="0" w:leftChars="0" w:firstLine="640" w:firstLineChars="2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（3）社工站重视服务宣传及实务研究工作，一方面通过视频制作、简报编撰、活动通信传播等方式扩大社工站服务知晓度，另一方面鼓励社</w:t>
      </w:r>
    </w:p>
    <w:p>
      <w:pPr>
        <w:pStyle w:val="12"/>
        <w:pageBreakBefore w:val="0"/>
        <w:widowControl w:val="0"/>
        <w:kinsoku/>
        <w:wordWrap/>
        <w:overflowPunct/>
        <w:topLinePunct w:val="0"/>
        <w:autoSpaceDE/>
        <w:autoSpaceDN/>
        <w:bidi w:val="0"/>
        <w:adjustRightInd/>
        <w:snapToGrid/>
        <w:spacing w:after="0" w:line="540" w:lineRule="exact"/>
        <w:ind w:left="0" w:leftChars="0" w:firstLine="0" w:firstLineChars="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工团队结合服务实践深入总结研究，积极书写，其中案例《文化志愿者助力乡村文化焕发新活力》刊登于《社区文化》，展示项目的工作成果和社工专业能力。</w:t>
      </w:r>
    </w:p>
    <w:p>
      <w:pPr>
        <w:pStyle w:val="12"/>
        <w:pageBreakBefore w:val="0"/>
        <w:widowControl w:val="0"/>
        <w:kinsoku/>
        <w:wordWrap/>
        <w:overflowPunct/>
        <w:topLinePunct w:val="0"/>
        <w:autoSpaceDE/>
        <w:autoSpaceDN/>
        <w:bidi w:val="0"/>
        <w:adjustRightInd/>
        <w:snapToGrid/>
        <w:spacing w:after="0" w:line="540" w:lineRule="exact"/>
        <w:ind w:left="0" w:leftChars="0" w:firstLine="642" w:firstLineChars="200"/>
        <w:jc w:val="both"/>
        <w:textAlignment w:val="auto"/>
        <w:rPr>
          <w:rFonts w:ascii="仿宋_GB2312" w:hAnsi="Times New Roman" w:eastAsia="仿宋_GB2312" w:cs="Times New Roman"/>
          <w:b/>
          <w:bCs/>
          <w:color w:val="auto"/>
          <w:sz w:val="32"/>
          <w:szCs w:val="32"/>
          <w:lang w:val="zh-CN" w:eastAsia="zh-CN" w:bidi="zh-CN"/>
        </w:rPr>
      </w:pPr>
      <w:r>
        <w:rPr>
          <w:rFonts w:hint="eastAsia" w:ascii="仿宋_GB2312" w:hAnsi="Times New Roman" w:eastAsia="仿宋_GB2312" w:cs="Times New Roman"/>
          <w:b/>
          <w:bCs/>
          <w:color w:val="auto"/>
          <w:sz w:val="32"/>
          <w:szCs w:val="32"/>
          <w:lang w:val="zh-CN" w:eastAsia="zh-CN" w:bidi="zh-CN"/>
        </w:rPr>
        <w:t>2</w:t>
      </w:r>
      <w:r>
        <w:rPr>
          <w:rFonts w:ascii="仿宋_GB2312" w:hAnsi="Times New Roman" w:eastAsia="仿宋_GB2312" w:cs="Times New Roman"/>
          <w:b/>
          <w:bCs/>
          <w:color w:val="auto"/>
          <w:sz w:val="32"/>
          <w:szCs w:val="32"/>
          <w:lang w:val="zh-CN" w:eastAsia="zh-CN" w:bidi="zh-CN"/>
        </w:rPr>
        <w:t>.需要关注的地方</w:t>
      </w:r>
    </w:p>
    <w:p>
      <w:pPr>
        <w:pStyle w:val="12"/>
        <w:pageBreakBefore w:val="0"/>
        <w:widowControl w:val="0"/>
        <w:kinsoku/>
        <w:wordWrap/>
        <w:overflowPunct/>
        <w:topLinePunct w:val="0"/>
        <w:autoSpaceDE/>
        <w:autoSpaceDN/>
        <w:bidi w:val="0"/>
        <w:adjustRightInd/>
        <w:snapToGrid/>
        <w:spacing w:after="0" w:line="540" w:lineRule="exact"/>
        <w:ind w:firstLine="600"/>
        <w:jc w:val="both"/>
        <w:textAlignment w:val="auto"/>
        <w:rPr>
          <w:rFonts w:hint="eastAsia" w:ascii="仿宋_GB2312" w:eastAsia="仿宋_GB2312" w:hAnsiTheme="minorEastAsia"/>
          <w:color w:val="auto"/>
          <w:sz w:val="32"/>
          <w:szCs w:val="32"/>
          <w:lang w:eastAsia="zh-CN"/>
        </w:rPr>
      </w:pPr>
      <w:r>
        <w:rPr>
          <w:rFonts w:hint="eastAsia" w:ascii="仿宋_GB2312" w:eastAsia="仿宋_GB2312" w:hAnsiTheme="minorEastAsia"/>
          <w:color w:val="auto"/>
          <w:sz w:val="32"/>
          <w:szCs w:val="32"/>
          <w:lang w:eastAsia="zh-CN"/>
        </w:rPr>
        <w:t>经评委评估分析访谈情况和查阅项目调研、家访、个案服务等各类服务工作痕迹记录资料，该项目以下几方面需关注：</w:t>
      </w:r>
    </w:p>
    <w:p>
      <w:pPr>
        <w:pStyle w:val="10"/>
        <w:keepNext/>
        <w:keepLines/>
        <w:pageBreakBefore w:val="0"/>
        <w:widowControl w:val="0"/>
        <w:kinsoku/>
        <w:wordWrap/>
        <w:overflowPunct/>
        <w:topLinePunct w:val="0"/>
        <w:autoSpaceDE/>
        <w:autoSpaceDN/>
        <w:bidi w:val="0"/>
        <w:adjustRightInd/>
        <w:snapToGrid/>
        <w:spacing w:before="0" w:after="0" w:line="540" w:lineRule="exact"/>
        <w:ind w:firstLine="640" w:firstLineChars="2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建议项目持续优化内部共学策略，鼓励内部经验资源交流共享，培养内部导师种子，鼓励团队成员主动参与共学组织工作，以实践中遇到的难题和困难作为主要共学议题，从而提高社工自身的分析能力、总结能力、写作能力和组织能力，同时也推动产出共学成果，将共学成果应用到实际工作中，实现学用的有效转化，进一步提高社工服务的质量和效果。</w:t>
      </w:r>
    </w:p>
    <w:p>
      <w:pPr>
        <w:pStyle w:val="10"/>
        <w:keepNext/>
        <w:keepLines/>
        <w:pageBreakBefore w:val="0"/>
        <w:widowControl w:val="0"/>
        <w:kinsoku/>
        <w:wordWrap/>
        <w:overflowPunct/>
        <w:topLinePunct w:val="0"/>
        <w:autoSpaceDE/>
        <w:autoSpaceDN/>
        <w:bidi w:val="0"/>
        <w:adjustRightInd/>
        <w:snapToGrid/>
        <w:spacing w:before="0" w:after="0" w:line="540" w:lineRule="exact"/>
        <w:ind w:firstLine="642"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三、评估反馈</w:t>
      </w:r>
    </w:p>
    <w:p>
      <w:pPr>
        <w:pStyle w:val="12"/>
        <w:pageBreakBefore w:val="0"/>
        <w:widowControl w:val="0"/>
        <w:kinsoku/>
        <w:wordWrap/>
        <w:overflowPunct/>
        <w:topLinePunct w:val="0"/>
        <w:autoSpaceDE/>
        <w:autoSpaceDN/>
        <w:bidi w:val="0"/>
        <w:adjustRightInd/>
        <w:snapToGrid/>
        <w:spacing w:after="120" w:line="540" w:lineRule="exact"/>
        <w:ind w:firstLine="640"/>
        <w:jc w:val="both"/>
        <w:textAlignment w:val="auto"/>
        <w:rPr>
          <w:rFonts w:ascii="仿宋_GB2312" w:eastAsia="仿宋_GB2312"/>
          <w:color w:val="auto"/>
          <w:sz w:val="32"/>
          <w:szCs w:val="32"/>
        </w:rPr>
      </w:pPr>
      <w:r>
        <w:rPr>
          <w:rFonts w:hint="eastAsia" w:ascii="仿宋_GB2312" w:eastAsia="仿宋_GB2312"/>
          <w:color w:val="auto"/>
          <w:sz w:val="32"/>
          <w:szCs w:val="32"/>
        </w:rPr>
        <w:t>评估反馈主要分为两大环节，一是现场反馈环节，二是对评估报告初稿的意见反馈环节。本次</w:t>
      </w:r>
      <w:r>
        <w:rPr>
          <w:rFonts w:hint="eastAsia" w:ascii="仿宋_GB2312" w:eastAsia="仿宋_GB2312"/>
          <w:color w:val="auto"/>
          <w:sz w:val="32"/>
          <w:szCs w:val="32"/>
          <w:lang w:val="en-US" w:eastAsia="zh-CN"/>
        </w:rPr>
        <w:t>化龙镇</w:t>
      </w:r>
      <w:r>
        <w:rPr>
          <w:rFonts w:hint="eastAsia" w:ascii="仿宋_GB2312" w:eastAsia="仿宋_GB2312"/>
          <w:color w:val="auto"/>
          <w:sz w:val="32"/>
          <w:szCs w:val="32"/>
        </w:rPr>
        <w:t>社工站的反馈如下：</w:t>
      </w:r>
      <w:bookmarkStart w:id="55" w:name="bookmark85"/>
      <w:bookmarkEnd w:id="55"/>
    </w:p>
    <w:p>
      <w:pPr>
        <w:pStyle w:val="12"/>
        <w:pageBreakBefore w:val="0"/>
        <w:widowControl w:val="0"/>
        <w:kinsoku/>
        <w:wordWrap/>
        <w:overflowPunct/>
        <w:topLinePunct w:val="0"/>
        <w:autoSpaceDE/>
        <w:autoSpaceDN/>
        <w:bidi w:val="0"/>
        <w:adjustRightInd/>
        <w:snapToGrid/>
        <w:spacing w:after="0" w:line="540" w:lineRule="exact"/>
        <w:ind w:firstLine="720"/>
        <w:jc w:val="both"/>
        <w:textAlignment w:val="auto"/>
        <w:rPr>
          <w:rFonts w:ascii="仿宋_GB2312" w:eastAsia="仿宋_GB2312" w:hAnsiTheme="minorEastAsia"/>
          <w:color w:val="auto"/>
          <w:sz w:val="32"/>
          <w:szCs w:val="32"/>
          <w:lang w:eastAsia="zh-CN"/>
        </w:rPr>
      </w:pPr>
      <w:r>
        <w:rPr>
          <w:rFonts w:hint="eastAsia" w:ascii="仿宋_GB2312" w:eastAsia="仿宋_GB2312" w:hAnsiTheme="minorEastAsia"/>
          <w:b/>
          <w:color w:val="auto"/>
          <w:sz w:val="32"/>
          <w:szCs w:val="32"/>
          <w:lang w:eastAsia="zh-CN"/>
        </w:rPr>
        <w:t>1.现场反馈：</w:t>
      </w:r>
      <w:r>
        <w:rPr>
          <w:rFonts w:hint="eastAsia" w:ascii="仿宋_GB2312" w:eastAsia="仿宋_GB2312" w:hAnsiTheme="minorEastAsia"/>
          <w:color w:val="auto"/>
          <w:sz w:val="32"/>
          <w:szCs w:val="32"/>
          <w:lang w:eastAsia="zh-CN"/>
        </w:rPr>
        <w:t>经过为期一天的评估，评委针对</w:t>
      </w:r>
      <w:r>
        <w:rPr>
          <w:rFonts w:hint="eastAsia" w:ascii="仿宋_GB2312" w:eastAsia="仿宋_GB2312" w:hAnsiTheme="minorEastAsia"/>
          <w:color w:val="auto"/>
          <w:sz w:val="32"/>
          <w:szCs w:val="32"/>
          <w:lang w:val="en-US" w:eastAsia="zh-CN"/>
        </w:rPr>
        <w:t>化龙镇</w:t>
      </w:r>
      <w:r>
        <w:rPr>
          <w:rFonts w:hint="eastAsia" w:ascii="仿宋_GB2312" w:eastAsia="仿宋_GB2312" w:hAnsiTheme="minorEastAsia"/>
          <w:color w:val="auto"/>
          <w:sz w:val="32"/>
          <w:szCs w:val="32"/>
          <w:lang w:eastAsia="zh-CN"/>
        </w:rPr>
        <w:t>社工站的情况，进行了现场总结反馈，在总结反馈环节，</w:t>
      </w:r>
      <w:r>
        <w:rPr>
          <w:rFonts w:hint="eastAsia" w:ascii="仿宋_GB2312" w:eastAsia="仿宋_GB2312" w:hAnsiTheme="minorEastAsia"/>
          <w:color w:val="auto"/>
          <w:sz w:val="32"/>
          <w:szCs w:val="32"/>
          <w:lang w:val="en-US" w:eastAsia="zh-CN"/>
        </w:rPr>
        <w:t>化龙镇</w:t>
      </w:r>
      <w:r>
        <w:rPr>
          <w:rFonts w:hint="eastAsia" w:ascii="仿宋_GB2312" w:eastAsia="仿宋_GB2312" w:hAnsiTheme="minorEastAsia"/>
          <w:color w:val="auto"/>
          <w:sz w:val="32"/>
          <w:szCs w:val="32"/>
          <w:lang w:eastAsia="zh-CN"/>
        </w:rPr>
        <w:t>社工站表示对评委们提出的意见和建议无异议。</w:t>
      </w:r>
    </w:p>
    <w:p>
      <w:pPr>
        <w:pStyle w:val="12"/>
        <w:pageBreakBefore w:val="0"/>
        <w:widowControl w:val="0"/>
        <w:kinsoku/>
        <w:wordWrap/>
        <w:overflowPunct/>
        <w:topLinePunct w:val="0"/>
        <w:autoSpaceDE/>
        <w:autoSpaceDN/>
        <w:bidi w:val="0"/>
        <w:adjustRightInd/>
        <w:snapToGrid/>
        <w:spacing w:after="0" w:line="540" w:lineRule="exact"/>
        <w:ind w:firstLine="720"/>
        <w:jc w:val="both"/>
        <w:textAlignment w:val="auto"/>
        <w:rPr>
          <w:rFonts w:ascii="仿宋_GB2312" w:eastAsia="仿宋_GB2312" w:hAnsiTheme="minorEastAsia"/>
          <w:color w:val="auto"/>
          <w:sz w:val="32"/>
          <w:szCs w:val="32"/>
          <w:lang w:eastAsia="zh-CN"/>
        </w:rPr>
      </w:pPr>
      <w:r>
        <w:rPr>
          <w:rFonts w:hint="eastAsia" w:ascii="仿宋_GB2312" w:eastAsia="仿宋_GB2312" w:hAnsiTheme="minorEastAsia"/>
          <w:b/>
          <w:color w:val="auto"/>
          <w:sz w:val="32"/>
          <w:szCs w:val="32"/>
          <w:lang w:eastAsia="zh-CN"/>
        </w:rPr>
        <w:t>2.对评估报告初稿的反馈：</w:t>
      </w:r>
      <w:r>
        <w:rPr>
          <w:rFonts w:hint="eastAsia" w:ascii="仿宋_GB2312" w:eastAsia="仿宋_GB2312" w:hAnsiTheme="minorEastAsia"/>
          <w:color w:val="auto"/>
          <w:sz w:val="32"/>
          <w:szCs w:val="32"/>
          <w:lang w:eastAsia="zh-CN"/>
        </w:rPr>
        <w:t>番禺区民政局、</w:t>
      </w:r>
      <w:r>
        <w:rPr>
          <w:rFonts w:hint="eastAsia" w:ascii="仿宋_GB2312" w:eastAsia="仿宋_GB2312" w:hAnsiTheme="minorEastAsia"/>
          <w:color w:val="auto"/>
          <w:sz w:val="32"/>
          <w:szCs w:val="32"/>
          <w:lang w:val="en-US" w:eastAsia="zh-CN"/>
        </w:rPr>
        <w:t>化龙镇人民政府</w:t>
      </w:r>
      <w:r>
        <w:rPr>
          <w:rFonts w:hint="eastAsia" w:ascii="仿宋_GB2312" w:eastAsia="仿宋_GB2312" w:hAnsiTheme="minorEastAsia"/>
          <w:color w:val="auto"/>
          <w:sz w:val="32"/>
          <w:szCs w:val="32"/>
          <w:lang w:eastAsia="zh-CN"/>
        </w:rPr>
        <w:t>、</w:t>
      </w:r>
      <w:r>
        <w:rPr>
          <w:rFonts w:hint="eastAsia" w:ascii="仿宋_GB2312" w:eastAsia="仿宋_GB2312" w:hAnsiTheme="minorEastAsia"/>
          <w:color w:val="auto"/>
          <w:sz w:val="32"/>
          <w:szCs w:val="32"/>
          <w:lang w:val="en-US" w:eastAsia="zh-CN"/>
        </w:rPr>
        <w:t>化龙镇</w:t>
      </w:r>
      <w:r>
        <w:rPr>
          <w:rFonts w:hint="eastAsia" w:ascii="仿宋_GB2312" w:eastAsia="仿宋_GB2312" w:hAnsiTheme="minorEastAsia"/>
          <w:color w:val="auto"/>
          <w:sz w:val="32"/>
          <w:szCs w:val="32"/>
          <w:lang w:eastAsia="zh-CN"/>
        </w:rPr>
        <w:t>社工站对评估报告初稿无异议。</w:t>
      </w:r>
    </w:p>
    <w:p>
      <w:pPr>
        <w:pStyle w:val="10"/>
        <w:keepNext/>
        <w:keepLines/>
        <w:pageBreakBefore w:val="0"/>
        <w:widowControl w:val="0"/>
        <w:kinsoku/>
        <w:wordWrap/>
        <w:overflowPunct/>
        <w:topLinePunct w:val="0"/>
        <w:autoSpaceDE/>
        <w:autoSpaceDN/>
        <w:bidi w:val="0"/>
        <w:adjustRightInd/>
        <w:snapToGrid/>
        <w:spacing w:before="0" w:after="0" w:line="540" w:lineRule="exact"/>
        <w:ind w:firstLine="642" w:firstLineChars="200"/>
        <w:jc w:val="both"/>
        <w:textAlignment w:val="auto"/>
        <w:rPr>
          <w:rFonts w:ascii="方正小标宋简体" w:eastAsia="方正小标宋简体"/>
          <w:b/>
          <w:bCs/>
          <w:color w:val="auto"/>
          <w:sz w:val="32"/>
          <w:szCs w:val="28"/>
          <w:lang w:val="en-US"/>
        </w:rPr>
      </w:pPr>
      <w:bookmarkStart w:id="56" w:name="bookmark86"/>
      <w:r>
        <w:rPr>
          <w:rFonts w:hint="eastAsia" w:ascii="方正小标宋简体" w:eastAsia="方正小标宋简体"/>
          <w:b/>
          <w:bCs/>
          <w:color w:val="auto"/>
          <w:sz w:val="32"/>
          <w:szCs w:val="28"/>
          <w:lang w:val="en-US"/>
        </w:rPr>
        <w:t>四</w:t>
      </w:r>
      <w:bookmarkEnd w:id="56"/>
      <w:r>
        <w:rPr>
          <w:rFonts w:hint="eastAsia" w:ascii="方正小标宋简体" w:eastAsia="方正小标宋简体"/>
          <w:b/>
          <w:bCs/>
          <w:color w:val="auto"/>
          <w:sz w:val="32"/>
          <w:szCs w:val="28"/>
          <w:lang w:val="en-US"/>
        </w:rPr>
        <w:t>、评估等级</w:t>
      </w:r>
    </w:p>
    <w:p>
      <w:pPr>
        <w:pStyle w:val="12"/>
        <w:pageBreakBefore w:val="0"/>
        <w:widowControl w:val="0"/>
        <w:kinsoku/>
        <w:wordWrap/>
        <w:overflowPunct/>
        <w:topLinePunct w:val="0"/>
        <w:autoSpaceDE/>
        <w:autoSpaceDN/>
        <w:bidi w:val="0"/>
        <w:adjustRightInd/>
        <w:snapToGrid/>
        <w:spacing w:after="120" w:line="540" w:lineRule="exact"/>
        <w:ind w:firstLine="64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评估总分为100分，其中，第三方评估机构占比55%、街道办事处（镇人民政府）占比20%、市督导中心占15%、区民政局占比10%。评估结果由四方评估分数的总和确定。评估等级分为优秀、良好、合格、不合格四个等级，90分以上为优秀，80分至90分（不含90分）为良好， 60分至80分（不含80分）为合格，60分以下（不含60分）为不合格。</w:t>
      </w:r>
    </w:p>
    <w:p>
      <w:pPr>
        <w:pStyle w:val="12"/>
        <w:pageBreakBefore w:val="0"/>
        <w:widowControl w:val="0"/>
        <w:kinsoku/>
        <w:wordWrap/>
        <w:overflowPunct/>
        <w:topLinePunct w:val="0"/>
        <w:autoSpaceDE/>
        <w:autoSpaceDN/>
        <w:bidi w:val="0"/>
        <w:adjustRightInd/>
        <w:snapToGrid/>
        <w:spacing w:after="120" w:line="540" w:lineRule="exact"/>
        <w:ind w:firstLine="640"/>
        <w:jc w:val="both"/>
        <w:textAlignment w:val="auto"/>
        <w:rPr>
          <w:rFonts w:ascii="仿宋_GB2312" w:eastAsia="PMingLiU"/>
          <w:color w:val="auto"/>
          <w:sz w:val="32"/>
          <w:szCs w:val="32"/>
        </w:rPr>
      </w:pPr>
      <w:r>
        <w:rPr>
          <w:rFonts w:hint="eastAsia" w:ascii="仿宋_GB2312" w:eastAsia="仿宋_GB2312"/>
          <w:color w:val="auto"/>
          <w:sz w:val="32"/>
          <w:szCs w:val="32"/>
        </w:rPr>
        <w:t>经过评估</w:t>
      </w:r>
      <w:r>
        <w:rPr>
          <w:rFonts w:hint="eastAsia" w:ascii="仿宋_GB2312" w:eastAsia="仿宋_GB2312"/>
          <w:color w:val="auto"/>
          <w:sz w:val="32"/>
          <w:szCs w:val="32"/>
          <w:lang w:eastAsia="zh-CN"/>
        </w:rPr>
        <w:t>，</w:t>
      </w:r>
      <w:r>
        <w:rPr>
          <w:rFonts w:hint="eastAsia" w:ascii="仿宋_GB2312" w:eastAsia="仿宋_GB2312" w:hAnsiTheme="minorEastAsia"/>
          <w:color w:val="auto"/>
          <w:sz w:val="32"/>
          <w:szCs w:val="32"/>
          <w:lang w:val="en-US" w:eastAsia="zh-CN"/>
        </w:rPr>
        <w:t>化龙镇</w:t>
      </w:r>
      <w:r>
        <w:rPr>
          <w:rFonts w:hint="eastAsia" w:ascii="仿宋_GB2312" w:eastAsia="仿宋_GB2312"/>
          <w:color w:val="auto"/>
          <w:sz w:val="32"/>
          <w:szCs w:val="32"/>
        </w:rPr>
        <w:t>社工站本次</w:t>
      </w:r>
      <w:r>
        <w:rPr>
          <w:rFonts w:hint="eastAsia" w:ascii="仿宋_GB2312" w:eastAsia="仿宋_GB2312"/>
          <w:color w:val="auto"/>
          <w:sz w:val="32"/>
          <w:szCs w:val="32"/>
          <w:lang w:eastAsia="zh-CN"/>
        </w:rPr>
        <w:t>中期</w:t>
      </w:r>
      <w:r>
        <w:rPr>
          <w:rFonts w:hint="eastAsia" w:ascii="仿宋_GB2312" w:eastAsia="仿宋_GB2312"/>
          <w:color w:val="auto"/>
          <w:sz w:val="32"/>
          <w:szCs w:val="32"/>
        </w:rPr>
        <w:t>评估的等级</w:t>
      </w:r>
      <w:r>
        <w:rPr>
          <w:rFonts w:hint="eastAsia" w:ascii="仿宋_GB2312" w:eastAsia="仿宋_GB2312"/>
          <w:color w:val="auto"/>
          <w:sz w:val="32"/>
          <w:szCs w:val="32"/>
          <w:highlight w:val="none"/>
        </w:rPr>
        <w:t>为</w:t>
      </w:r>
      <w:r>
        <w:rPr>
          <w:rFonts w:hint="eastAsia" w:ascii="仿宋_GB2312" w:eastAsia="仿宋_GB2312"/>
          <w:b/>
          <w:color w:val="auto"/>
          <w:sz w:val="32"/>
          <w:szCs w:val="32"/>
          <w:highlight w:val="none"/>
        </w:rPr>
        <w:t>“</w:t>
      </w:r>
      <w:r>
        <w:rPr>
          <w:rFonts w:hint="eastAsia" w:ascii="仿宋_GB2312" w:eastAsia="仿宋_GB2312"/>
          <w:b/>
          <w:color w:val="auto"/>
          <w:sz w:val="32"/>
          <w:szCs w:val="32"/>
          <w:highlight w:val="none"/>
          <w:lang w:eastAsia="zh-CN"/>
        </w:rPr>
        <w:t>良好</w:t>
      </w:r>
      <w:r>
        <w:rPr>
          <w:rFonts w:hint="eastAsia" w:ascii="仿宋_GB2312" w:eastAsia="仿宋_GB2312"/>
          <w:b/>
          <w:color w:val="auto"/>
          <w:sz w:val="32"/>
          <w:szCs w:val="32"/>
          <w:highlight w:val="none"/>
        </w:rPr>
        <w:t>”</w:t>
      </w:r>
      <w:r>
        <w:rPr>
          <w:rFonts w:hint="eastAsia" w:ascii="仿宋_GB2312" w:eastAsia="仿宋_GB2312"/>
          <w:b/>
          <w:color w:val="auto"/>
          <w:sz w:val="32"/>
          <w:szCs w:val="32"/>
          <w:highlight w:val="none"/>
          <w:lang w:eastAsia="zh-CN"/>
        </w:rPr>
        <w:t>（</w:t>
      </w:r>
      <w:r>
        <w:rPr>
          <w:rFonts w:hint="eastAsia" w:ascii="仿宋_GB2312" w:eastAsia="仿宋_GB2312"/>
          <w:b/>
          <w:color w:val="auto"/>
          <w:sz w:val="32"/>
          <w:szCs w:val="32"/>
          <w:highlight w:val="none"/>
          <w:lang w:val="en-US" w:eastAsia="zh-CN"/>
        </w:rPr>
        <w:t>89.77</w:t>
      </w:r>
      <w:r>
        <w:rPr>
          <w:rFonts w:ascii="仿宋_GB2312" w:eastAsia="仿宋_GB2312"/>
          <w:b/>
          <w:sz w:val="32"/>
          <w:szCs w:val="32"/>
          <w:highlight w:val="none"/>
          <w:lang w:val="en-US" w:eastAsia="zh-CN"/>
        </w:rPr>
        <w:t>分</w:t>
      </w:r>
      <w:r>
        <w:rPr>
          <w:rFonts w:hint="eastAsia" w:ascii="仿宋_GB2312" w:eastAsia="仿宋_GB2312"/>
          <w:b/>
          <w:color w:val="auto"/>
          <w:sz w:val="32"/>
          <w:szCs w:val="32"/>
          <w:highlight w:val="none"/>
          <w:lang w:eastAsia="zh-CN"/>
        </w:rPr>
        <w:t>）</w:t>
      </w:r>
      <w:r>
        <w:rPr>
          <w:rFonts w:hint="eastAsia" w:ascii="仿宋_GB2312" w:eastAsia="仿宋_GB2312"/>
          <w:color w:val="auto"/>
          <w:sz w:val="32"/>
          <w:szCs w:val="32"/>
        </w:rPr>
        <w:t>。</w:t>
      </w:r>
    </w:p>
    <w:p>
      <w:pPr>
        <w:pStyle w:val="12"/>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lang w:val="en-US" w:eastAsia="zh-CN"/>
        </w:rPr>
      </w:pPr>
      <w:r>
        <w:rPr>
          <w:rFonts w:hint="eastAsia" w:ascii="仿宋_GB2312" w:eastAsia="仿宋_GB2312"/>
          <w:sz w:val="32"/>
          <w:szCs w:val="32"/>
          <w:lang w:val="en-US" w:eastAsia="zh-CN"/>
        </w:rPr>
        <w:t>以下是详细的评分情况：</w:t>
      </w: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76"/>
        <w:gridCol w:w="1508"/>
        <w:gridCol w:w="1514"/>
        <w:gridCol w:w="1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pStyle w:val="12"/>
              <w:spacing w:after="0" w:line="560" w:lineRule="exact"/>
              <w:jc w:val="center"/>
              <w:rPr>
                <w:rFonts w:ascii="仿宋_GB2312" w:hAnsi="仿宋_GB2312" w:eastAsia="仿宋_GB2312" w:cs="仿宋_GB2312"/>
                <w:b/>
                <w:bCs/>
                <w:lang w:val="en-US" w:eastAsia="zh-CN"/>
              </w:rPr>
            </w:pPr>
            <w:bookmarkStart w:id="57" w:name="bookmark87"/>
            <w:r>
              <w:rPr>
                <w:rFonts w:hint="eastAsia" w:ascii="仿宋_GB2312" w:hAnsi="仿宋_GB2312" w:eastAsia="仿宋_GB2312" w:cs="仿宋_GB2312"/>
                <w:b/>
                <w:bCs/>
                <w:lang w:val="en-US" w:eastAsia="zh-CN"/>
              </w:rPr>
              <w:t>评估内容</w:t>
            </w:r>
          </w:p>
        </w:tc>
        <w:tc>
          <w:tcPr>
            <w:tcW w:w="728" w:type="pct"/>
            <w:noWrap w:val="0"/>
            <w:vAlign w:val="center"/>
          </w:tcPr>
          <w:p>
            <w:pPr>
              <w:pStyle w:val="12"/>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标准分</w:t>
            </w:r>
          </w:p>
        </w:tc>
        <w:tc>
          <w:tcPr>
            <w:tcW w:w="731" w:type="pct"/>
            <w:noWrap w:val="0"/>
            <w:vAlign w:val="center"/>
          </w:tcPr>
          <w:p>
            <w:pPr>
              <w:pStyle w:val="12"/>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评分</w:t>
            </w:r>
          </w:p>
        </w:tc>
        <w:tc>
          <w:tcPr>
            <w:tcW w:w="848" w:type="pct"/>
            <w:noWrap w:val="0"/>
            <w:vAlign w:val="center"/>
          </w:tcPr>
          <w:p>
            <w:pPr>
              <w:pStyle w:val="12"/>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折算分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服务监测</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9.87</w:t>
            </w:r>
          </w:p>
        </w:tc>
        <w:tc>
          <w:tcPr>
            <w:tcW w:w="848"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服务成效</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15</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11</w:t>
            </w:r>
          </w:p>
        </w:tc>
        <w:tc>
          <w:tcPr>
            <w:tcW w:w="848"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Style w:val="31"/>
                <w:rFonts w:hint="default" w:ascii="仿宋_GB2312" w:hAnsi="仿宋_GB2312" w:eastAsia="仿宋_GB2312" w:cs="仿宋_GB2312"/>
                <w:sz w:val="28"/>
                <w:szCs w:val="28"/>
                <w:lang w:eastAsia="zh-CN" w:bidi="ar"/>
              </w:rPr>
              <w:t>运营管理</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9.4</w:t>
            </w:r>
          </w:p>
        </w:tc>
        <w:tc>
          <w:tcPr>
            <w:tcW w:w="848"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服务质量（</w:t>
            </w:r>
            <w:r>
              <w:rPr>
                <w:rFonts w:hint="eastAsia" w:ascii="仿宋_GB2312" w:hAnsi="仿宋_GB2312" w:eastAsia="仿宋_GB2312" w:cs="仿宋_GB2312"/>
                <w:sz w:val="28"/>
                <w:szCs w:val="28"/>
                <w:lang w:val="en-US" w:eastAsia="zh-CN" w:bidi="ar"/>
              </w:rPr>
              <w:t>第一</w:t>
            </w:r>
            <w:r>
              <w:rPr>
                <w:rFonts w:hint="eastAsia" w:ascii="仿宋_GB2312" w:hAnsi="仿宋_GB2312" w:eastAsia="仿宋_GB2312" w:cs="仿宋_GB2312"/>
                <w:sz w:val="28"/>
                <w:szCs w:val="28"/>
                <w:lang w:eastAsia="zh-CN" w:bidi="ar"/>
              </w:rPr>
              <w:t>片区）</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20</w:t>
            </w:r>
          </w:p>
        </w:tc>
        <w:tc>
          <w:tcPr>
            <w:tcW w:w="731" w:type="pct"/>
            <w:noWrap w:val="0"/>
            <w:vAlign w:val="center"/>
          </w:tcPr>
          <w:p>
            <w:pPr>
              <w:widowControl/>
              <w:jc w:val="center"/>
              <w:textAlignment w:val="center"/>
              <w:rPr>
                <w:rFonts w:hint="eastAsia"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15.3</w:t>
            </w:r>
          </w:p>
        </w:tc>
        <w:tc>
          <w:tcPr>
            <w:tcW w:w="848" w:type="pct"/>
            <w:vMerge w:val="restar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服务质量（</w:t>
            </w:r>
            <w:r>
              <w:rPr>
                <w:rFonts w:hint="eastAsia" w:ascii="仿宋_GB2312" w:hAnsi="仿宋_GB2312" w:eastAsia="仿宋_GB2312" w:cs="仿宋_GB2312"/>
                <w:sz w:val="28"/>
                <w:szCs w:val="28"/>
                <w:lang w:val="en-US" w:eastAsia="zh-CN" w:bidi="ar"/>
              </w:rPr>
              <w:t>第二</w:t>
            </w:r>
            <w:r>
              <w:rPr>
                <w:rFonts w:hint="eastAsia" w:ascii="仿宋_GB2312" w:hAnsi="仿宋_GB2312" w:eastAsia="仿宋_GB2312" w:cs="仿宋_GB2312"/>
                <w:sz w:val="28"/>
                <w:szCs w:val="28"/>
                <w:lang w:eastAsia="zh-CN" w:bidi="ar"/>
              </w:rPr>
              <w:t>片区）</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20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15.4</w:t>
            </w:r>
          </w:p>
        </w:tc>
        <w:tc>
          <w:tcPr>
            <w:tcW w:w="848" w:type="pct"/>
            <w:vMerge w:val="continue"/>
            <w:noWrap w:val="0"/>
            <w:vAlign w:val="center"/>
          </w:tcPr>
          <w:p>
            <w:pPr>
              <w:widowControl/>
              <w:jc w:val="center"/>
              <w:textAlignment w:val="center"/>
              <w:rPr>
                <w:rFonts w:ascii="仿宋_GB2312" w:hAnsi="仿宋_GB2312" w:eastAsia="仿宋_GB2312" w:cs="仿宋_GB2312"/>
                <w:sz w:val="28"/>
                <w:szCs w:val="28"/>
                <w:lang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服务质量（</w:t>
            </w:r>
            <w:r>
              <w:rPr>
                <w:rFonts w:hint="eastAsia" w:ascii="仿宋_GB2312" w:hAnsi="仿宋_GB2312" w:eastAsia="仿宋_GB2312" w:cs="仿宋_GB2312"/>
                <w:sz w:val="28"/>
                <w:szCs w:val="28"/>
                <w:lang w:val="en-US" w:eastAsia="zh-CN" w:bidi="ar"/>
              </w:rPr>
              <w:t>第三</w:t>
            </w:r>
            <w:r>
              <w:rPr>
                <w:rFonts w:hint="eastAsia" w:ascii="仿宋_GB2312" w:hAnsi="仿宋_GB2312" w:eastAsia="仿宋_GB2312" w:cs="仿宋_GB2312"/>
                <w:sz w:val="28"/>
                <w:szCs w:val="28"/>
                <w:lang w:eastAsia="zh-CN" w:bidi="ar"/>
              </w:rPr>
              <w:t>片区）</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20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15.2</w:t>
            </w:r>
          </w:p>
        </w:tc>
        <w:tc>
          <w:tcPr>
            <w:tcW w:w="848" w:type="pct"/>
            <w:vMerge w:val="continue"/>
            <w:noWrap w:val="0"/>
            <w:vAlign w:val="center"/>
          </w:tcPr>
          <w:p>
            <w:pPr>
              <w:widowControl/>
              <w:jc w:val="center"/>
              <w:textAlignment w:val="center"/>
              <w:rPr>
                <w:rFonts w:ascii="仿宋_GB2312" w:hAnsi="仿宋_GB2312" w:eastAsia="仿宋_GB2312" w:cs="仿宋_GB2312"/>
                <w:sz w:val="28"/>
                <w:szCs w:val="28"/>
                <w:lang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Style w:val="31"/>
                <w:rFonts w:hint="default" w:ascii="仿宋_GB2312" w:hAnsi="仿宋_GB2312" w:eastAsia="仿宋_GB2312" w:cs="仿宋_GB2312"/>
                <w:sz w:val="28"/>
                <w:szCs w:val="28"/>
                <w:lang w:eastAsia="zh-CN" w:bidi="ar"/>
              </w:rPr>
              <w:t>购买方</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20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20</w:t>
            </w:r>
          </w:p>
        </w:tc>
        <w:tc>
          <w:tcPr>
            <w:tcW w:w="848" w:type="pct"/>
            <w:noWrap w:val="0"/>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highlight w:val="none"/>
                <w:lang w:eastAsia="zh-CN" w:bidi="ar"/>
              </w:rPr>
              <w:t>督导中心</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15</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15</w:t>
            </w:r>
          </w:p>
        </w:tc>
        <w:tc>
          <w:tcPr>
            <w:tcW w:w="848" w:type="pct"/>
            <w:noWrap w:val="0"/>
            <w:vAlign w:val="center"/>
          </w:tcPr>
          <w:p>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highlight w:val="yellow"/>
                <w:lang w:eastAsia="zh-CN" w:bidi="ar"/>
              </w:rPr>
            </w:pPr>
            <w:r>
              <w:rPr>
                <w:rFonts w:hint="default" w:ascii="仿宋_GB2312" w:hAnsi="仿宋_GB2312" w:eastAsia="仿宋_GB2312" w:cs="仿宋_GB2312"/>
                <w:sz w:val="28"/>
                <w:szCs w:val="28"/>
                <w:lang w:eastAsia="zh-CN" w:bidi="ar"/>
              </w:rPr>
              <w:t>监督方</w:t>
            </w:r>
          </w:p>
        </w:tc>
        <w:tc>
          <w:tcPr>
            <w:tcW w:w="728" w:type="pct"/>
            <w:noWrap w:val="0"/>
            <w:vAlign w:val="center"/>
          </w:tcPr>
          <w:p>
            <w:pPr>
              <w:widowControl/>
              <w:jc w:val="center"/>
              <w:textAlignment w:val="center"/>
              <w:rPr>
                <w:rFonts w:ascii="仿宋_GB2312" w:hAnsi="仿宋_GB2312" w:eastAsia="仿宋_GB2312" w:cs="仿宋_GB2312"/>
                <w:sz w:val="28"/>
                <w:szCs w:val="28"/>
                <w:highlight w:val="yellow"/>
                <w:lang w:eastAsia="zh-CN"/>
              </w:rPr>
            </w:pPr>
            <w:r>
              <w:rPr>
                <w:rFonts w:hint="eastAsia" w:ascii="仿宋_GB2312" w:hAnsi="仿宋_GB2312" w:eastAsia="仿宋_GB2312" w:cs="仿宋_GB2312"/>
                <w:sz w:val="28"/>
                <w:szCs w:val="28"/>
                <w:lang w:eastAsia="zh-CN" w:bidi="ar"/>
              </w:rPr>
              <w:t>10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9.2</w:t>
            </w:r>
          </w:p>
        </w:tc>
        <w:tc>
          <w:tcPr>
            <w:tcW w:w="848" w:type="pct"/>
            <w:noWrap w:val="0"/>
            <w:vAlign w:val="center"/>
          </w:tcPr>
          <w:p>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51" w:type="pct"/>
            <w:gridSpan w:val="3"/>
            <w:noWrap w:val="0"/>
            <w:vAlign w:val="center"/>
          </w:tcPr>
          <w:p>
            <w:pPr>
              <w:pStyle w:val="12"/>
              <w:spacing w:after="0" w:line="560" w:lineRule="exact"/>
              <w:ind w:firstLine="0"/>
              <w:jc w:val="center"/>
              <w:rPr>
                <w:rFonts w:ascii="仿宋_GB2312" w:eastAsia="仿宋_GB2312"/>
                <w:b/>
                <w:lang w:val="en-US" w:eastAsia="zh-CN"/>
              </w:rPr>
            </w:pPr>
            <w:r>
              <w:rPr>
                <w:rFonts w:hint="eastAsia" w:ascii="仿宋_GB2312" w:eastAsia="仿宋_GB2312"/>
                <w:b/>
                <w:lang w:val="en-US" w:eastAsia="zh-CN"/>
              </w:rPr>
              <w:t>总分</w:t>
            </w:r>
          </w:p>
        </w:tc>
        <w:tc>
          <w:tcPr>
            <w:tcW w:w="848" w:type="pct"/>
            <w:noWrap w:val="0"/>
            <w:vAlign w:val="center"/>
          </w:tcPr>
          <w:p>
            <w:pPr>
              <w:widowControl/>
              <w:jc w:val="center"/>
              <w:textAlignment w:val="center"/>
              <w:rPr>
                <w:rFonts w:hint="default" w:ascii="仿宋_GB2312" w:hAnsi="仿宋_GB2312" w:eastAsia="仿宋_GB2312" w:cs="仿宋_GB2312"/>
                <w:b/>
                <w:sz w:val="28"/>
                <w:szCs w:val="28"/>
                <w:lang w:val="en-US" w:eastAsia="zh-CN" w:bidi="ar"/>
              </w:rPr>
            </w:pPr>
            <w:r>
              <w:rPr>
                <w:rFonts w:hint="eastAsia" w:ascii="仿宋_GB2312" w:hAnsi="仿宋_GB2312" w:eastAsia="仿宋_GB2312" w:cs="仿宋_GB2312"/>
                <w:b/>
                <w:sz w:val="28"/>
                <w:szCs w:val="28"/>
                <w:lang w:val="en-US" w:eastAsia="zh-CN" w:bidi="ar"/>
              </w:rPr>
              <w:t>89.77</w:t>
            </w:r>
          </w:p>
        </w:tc>
      </w:tr>
    </w:tbl>
    <w:p>
      <w:pPr>
        <w:pStyle w:val="10"/>
        <w:keepNext/>
        <w:keepLines/>
        <w:spacing w:before="0" w:after="0" w:line="560" w:lineRule="exact"/>
        <w:ind w:firstLine="642" w:firstLineChars="200"/>
        <w:jc w:val="both"/>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五</w:t>
      </w:r>
      <w:bookmarkEnd w:id="57"/>
      <w:r>
        <w:rPr>
          <w:rFonts w:hint="eastAsia" w:ascii="方正小标宋简体" w:eastAsia="方正小标宋简体"/>
          <w:b/>
          <w:bCs/>
          <w:color w:val="auto"/>
          <w:sz w:val="32"/>
          <w:szCs w:val="28"/>
          <w:lang w:val="en-US"/>
        </w:rPr>
        <w:t>、结语</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default" w:ascii="仿宋_GB2312" w:eastAsia="仿宋_GB2312"/>
          <w:color w:val="auto"/>
          <w:sz w:val="32"/>
          <w:szCs w:val="32"/>
          <w:lang w:val="en-US" w:eastAsia="zh-CN"/>
        </w:rPr>
      </w:pPr>
      <w:r>
        <w:rPr>
          <w:rFonts w:hint="eastAsia" w:ascii="仿宋_GB2312" w:eastAsia="仿宋_GB2312" w:hAnsiTheme="minorEastAsia"/>
          <w:color w:val="auto"/>
          <w:sz w:val="32"/>
          <w:szCs w:val="32"/>
          <w:lang w:val="en-US" w:eastAsia="zh-CN"/>
        </w:rPr>
        <w:t>化龙镇</w:t>
      </w:r>
      <w:r>
        <w:rPr>
          <w:rFonts w:hint="eastAsia" w:ascii="仿宋_GB2312" w:eastAsia="仿宋_GB2312"/>
          <w:color w:val="auto"/>
          <w:sz w:val="32"/>
          <w:szCs w:val="32"/>
        </w:rPr>
        <w:t>社工服务站在番禺区民政局、</w:t>
      </w:r>
      <w:r>
        <w:rPr>
          <w:rFonts w:hint="eastAsia" w:ascii="仿宋_GB2312" w:eastAsia="仿宋_GB2312"/>
          <w:color w:val="auto"/>
          <w:sz w:val="32"/>
          <w:szCs w:val="32"/>
          <w:lang w:val="en-US" w:eastAsia="zh-CN"/>
        </w:rPr>
        <w:t>化龙镇党委</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化龙镇人民政府</w:t>
      </w:r>
      <w:r>
        <w:rPr>
          <w:rFonts w:hint="eastAsia" w:ascii="仿宋_GB2312" w:eastAsia="仿宋_GB2312"/>
          <w:color w:val="auto"/>
          <w:sz w:val="32"/>
          <w:szCs w:val="32"/>
        </w:rPr>
        <w:t>的大力支持下，在</w:t>
      </w:r>
      <w:r>
        <w:rPr>
          <w:rFonts w:hint="eastAsia" w:ascii="仿宋_GB2312" w:eastAsia="仿宋_GB2312"/>
          <w:color w:val="auto"/>
          <w:sz w:val="32"/>
          <w:szCs w:val="32"/>
          <w:lang w:val="en-US" w:eastAsia="zh-CN"/>
        </w:rPr>
        <w:t>广州市番禺区普爱社会工作服务社</w:t>
      </w:r>
      <w:r>
        <w:rPr>
          <w:rFonts w:hint="eastAsia" w:ascii="仿宋_GB2312" w:eastAsia="仿宋_GB2312"/>
          <w:color w:val="auto"/>
          <w:sz w:val="32"/>
          <w:szCs w:val="32"/>
        </w:rPr>
        <w:t>的努力下，</w:t>
      </w:r>
      <w:r>
        <w:rPr>
          <w:rFonts w:hint="eastAsia" w:ascii="仿宋_GB2312" w:eastAsia="仿宋_GB2312"/>
          <w:color w:val="auto"/>
          <w:sz w:val="32"/>
          <w:szCs w:val="32"/>
          <w:lang w:eastAsia="zh-CN"/>
        </w:rPr>
        <w:t>能</w:t>
      </w:r>
      <w:r>
        <w:rPr>
          <w:rFonts w:hint="eastAsia" w:ascii="仿宋_GB2312" w:eastAsia="仿宋_GB2312"/>
          <w:color w:val="auto"/>
          <w:sz w:val="32"/>
          <w:szCs w:val="32"/>
          <w:lang w:val="en-US" w:eastAsia="zh-CN"/>
        </w:rPr>
        <w:t>坚持党的领导，积极配合镇政府的相关工作；项目人员配备充足，持证比例高；内部</w:t>
      </w:r>
      <w:r>
        <w:rPr>
          <w:rFonts w:hint="default" w:ascii="仿宋_GB2312" w:eastAsia="仿宋_GB2312" w:hAnsiTheme="minorEastAsia"/>
          <w:color w:val="auto"/>
          <w:sz w:val="32"/>
          <w:szCs w:val="32"/>
          <w:lang w:val="en-US" w:eastAsia="zh-CN"/>
        </w:rPr>
        <w:t>服务管理制度齐全，</w:t>
      </w:r>
      <w:r>
        <w:rPr>
          <w:rFonts w:hint="eastAsia" w:ascii="仿宋_GB2312" w:eastAsia="仿宋_GB2312"/>
          <w:color w:val="auto"/>
          <w:sz w:val="32"/>
          <w:szCs w:val="32"/>
          <w:lang w:val="en-US" w:eastAsia="zh-CN"/>
        </w:rPr>
        <w:t>协助镇街积极宣传政策、积极开展党建主题活动，</w:t>
      </w:r>
      <w:r>
        <w:rPr>
          <w:rFonts w:hint="eastAsia" w:ascii="仿宋_GB2312" w:eastAsia="仿宋_GB2312"/>
          <w:color w:val="auto"/>
          <w:sz w:val="32"/>
          <w:szCs w:val="32"/>
          <w:lang w:eastAsia="zh-CN"/>
        </w:rPr>
        <w:t>能够根据分层分类的结果，对困难群众和特殊群体进行常态化跟进，及时发现问题，及时回应日常需求，</w:t>
      </w:r>
      <w:r>
        <w:rPr>
          <w:rFonts w:hint="eastAsia" w:ascii="仿宋_GB2312" w:eastAsia="仿宋_GB2312" w:hAnsiTheme="minorEastAsia"/>
          <w:color w:val="auto"/>
          <w:sz w:val="32"/>
          <w:szCs w:val="32"/>
          <w:lang w:val="en-US" w:eastAsia="zh-CN"/>
        </w:rPr>
        <w:t>重视服务宣传及实务案例研究提炼</w:t>
      </w:r>
      <w:r>
        <w:rPr>
          <w:rFonts w:hint="eastAsia" w:ascii="仿宋_GB2312" w:eastAsia="仿宋_GB2312"/>
          <w:color w:val="auto"/>
          <w:sz w:val="32"/>
          <w:szCs w:val="32"/>
          <w:lang w:val="en-US" w:eastAsia="zh-CN"/>
        </w:rPr>
        <w:t>。</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建议社工站需进一步强化专业人才队伍建设，保障团队骨干力量；</w:t>
      </w:r>
      <w:r>
        <w:rPr>
          <w:rFonts w:hint="eastAsia" w:ascii="仿宋_GB2312" w:eastAsia="仿宋_GB2312"/>
          <w:color w:val="auto"/>
          <w:sz w:val="32"/>
          <w:szCs w:val="32"/>
          <w:lang w:eastAsia="zh-CN"/>
        </w:rPr>
        <w:t>加强针对困难群众和特殊群体的服务工作；</w:t>
      </w:r>
      <w:r>
        <w:rPr>
          <w:rFonts w:hint="eastAsia" w:ascii="仿宋_GB2312" w:eastAsia="仿宋_GB2312"/>
          <w:color w:val="auto"/>
          <w:sz w:val="32"/>
          <w:szCs w:val="32"/>
          <w:lang w:val="en-US" w:eastAsia="zh-CN"/>
        </w:rPr>
        <w:t>强化专业服务能力，深化调研报告和服务成效的呈现。建议重新梳理与村居委的访谈记录，明确界定共建的关注问题、治理的困难、合作的切入口，进而明确党建项目的主题或回应的问题，以理顺项目逻辑、提升党建服务成效。</w:t>
      </w:r>
    </w:p>
    <w:p>
      <w:pPr>
        <w:pStyle w:val="2"/>
        <w:rPr>
          <w:sz w:val="32"/>
          <w:szCs w:val="32"/>
          <w:lang w:eastAsia="zh-CN"/>
        </w:rPr>
      </w:pPr>
    </w:p>
    <w:p>
      <w:pPr>
        <w:pStyle w:val="2"/>
        <w:rPr>
          <w:sz w:val="32"/>
          <w:szCs w:val="32"/>
          <w:lang w:eastAsia="zh-CN"/>
        </w:rPr>
      </w:pPr>
    </w:p>
    <w:p>
      <w:pPr>
        <w:rPr>
          <w:lang w:eastAsia="zh-CN"/>
        </w:rPr>
      </w:pPr>
    </w:p>
    <w:p>
      <w:pPr>
        <w:tabs>
          <w:tab w:val="left" w:pos="7330"/>
        </w:tabs>
        <w:spacing w:line="560" w:lineRule="exact"/>
        <w:ind w:firstLine="5120" w:firstLineChars="1600"/>
        <w:jc w:val="both"/>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广州市番禺区社会组织联合会</w:t>
      </w:r>
    </w:p>
    <w:p>
      <w:pPr>
        <w:pStyle w:val="12"/>
        <w:spacing w:after="160" w:line="360" w:lineRule="auto"/>
        <w:ind w:firstLine="6080" w:firstLineChars="19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eastAsia="zh-CN"/>
        </w:rPr>
        <w:t>年</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月</w:t>
      </w:r>
      <w:r>
        <w:rPr>
          <w:rFonts w:hint="eastAsia" w:ascii="仿宋_GB2312" w:hAnsi="仿宋_GB2312" w:eastAsia="仿宋_GB2312" w:cs="仿宋_GB2312"/>
          <w:color w:val="auto"/>
          <w:sz w:val="32"/>
          <w:szCs w:val="32"/>
          <w:lang w:val="en-US" w:eastAsia="zh-CN"/>
        </w:rPr>
        <w:t>25</w:t>
      </w:r>
      <w:r>
        <w:rPr>
          <w:rFonts w:hint="eastAsia" w:ascii="仿宋_GB2312" w:hAnsi="仿宋_GB2312" w:eastAsia="仿宋_GB2312" w:cs="仿宋_GB2312"/>
          <w:color w:val="auto"/>
          <w:sz w:val="32"/>
          <w:szCs w:val="32"/>
          <w:lang w:eastAsia="zh-CN"/>
        </w:rPr>
        <w:t>日</w:t>
      </w:r>
    </w:p>
    <w:sectPr>
      <w:footerReference r:id="rId3" w:type="default"/>
      <w:footerReference r:id="rId4" w:type="even"/>
      <w:pgSz w:w="11900" w:h="16840"/>
      <w:pgMar w:top="1301" w:right="876" w:bottom="1373" w:left="885" w:header="457" w:footer="44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PMingLiU">
    <w:altName w:val="Droid Sans Fallback"/>
    <w:panose1 w:val="02020500000000000000"/>
    <w:charset w:val="88"/>
    <w:family w:val="auto"/>
    <w:pitch w:val="default"/>
    <w:sig w:usb0="00000000" w:usb1="00000000" w:usb2="00000016" w:usb3="00000000" w:csb0="00100001" w:csb1="00000000"/>
  </w:font>
  <w:font w:name="Droid Sans Fallback">
    <w:panose1 w:val="020B0502000000000001"/>
    <w:charset w:val="86"/>
    <w:family w:val="auto"/>
    <w:pitch w:val="default"/>
    <w:sig w:usb0="910002FF" w:usb1="2BDFFCFB" w:usb2="00000036" w:usb3="00000000" w:csb0="203F01FF" w:csb1="D7FF0000"/>
  </w:font>
  <w:font w:name="仿宋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Arial">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lang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FYYw/KwIAAFUEAAAOAAAAZHJz&#10;L2Uyb0RvYy54bWytVM2O0zAQviPxDpbvNG0Rq6pquipbFSFV7EoFcXYdp4nkP9luk/IA8AacuHDn&#10;ufocfHaSLlo47IGLM/aMv/H3zUwWt62S5CScr43O6WQ0pkRobopaH3L66ePm1YwSH5gumDRa5PQs&#10;PL1dvnyxaOxcTE1lZCEcAYj288bmtArBzrPM80oo5kfGCg1naZxiAVt3yArHGqArmU3H45usMa6w&#10;znDhPU7XnZP2iO45gKYsay7Whh+V0KFDdUKyAEq+qq2ny/TashQ83JelF4HInIJpSCuSwN7HNVsu&#10;2PzgmK1q3j+BPecJTzgpVmskvUKtWWDk6Oq/oFTNnfGmDCNuVNYRSYqAxWT8RJtdxaxIXCC1t1fR&#10;/f+D5R9OD47URU6nlGimUPDL92+XH78uP7+SaZSnsX6OqJ1FXGjfmhZNM5x7HEbWbelU/IIPgR/i&#10;nq/iijYQHi/NprPZGC4O37ABfvZ43Tof3gmjSDRy6lC9JCo7bX3oQoeQmE2bTS1lqqDUpMnpzes3&#10;43Th6gG41MgRSXSPjVZo923PbG+KM4g503WGt3xTI/mW+fDAHFoBD8awhHsspTRIYnqLksq4L/86&#10;j/GoELyUNGitnGpMEiXyvUblABgGww3GfjD0Ud0Z9OoEQ2h5MnHBBTmYpTPqMyZoFXPAxTRHppyG&#10;wbwLXXtjArlYrVIQes2ysNU7yyN0FM/b1TFAwKRrFKVTotcK3ZYq009GbOc/9ynq8W+w/A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ihRmPNEAAACUAQAACwAAAAAAAAABACAAAACwAwAAX3Jl&#10;bHMvLnJlbHNQSwECFAAUAAAACACHTuJAfublIPcAAADhAQAAEwAAAAAAAAABACAAAACqBAAAW0Nv&#10;bnRlbnRfVHlwZXNdLnhtbFBLAQIUAAoAAAAAAIdO4kAAAAAAAAAAAAAAAAAGAAAAAAAAAAAAEAAA&#10;AIwDAABfcmVscy9QSwECFAAUAAAACACHTuJABWGMPysCAABVBAAADgAAAAAAAAABACAAAAA1AQAA&#10;ZHJzL2Uyb0RvYy54bWxQSwECFAAUAAAACACHTuJAs0lY7tAAAAAFAQAADwAAAAAAAAABACAAAAA4&#10;AAAAZHJzL2Rvd25yZXYueG1sUEsBAhQACgAAAAAAh07iQAAAAAAAAAAAAAAAAAQAAAAAAAAAAAAQ&#10;AAAAFgAAAGRycy9QSwUGAAAAAAYABgBZAQAA0g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19</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lang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1VpzKgIAAFUEAAAOAAAAZHJz&#10;L2Uyb0RvYy54bWytVM2O0zAQviPxDpbvNG0RVVU1XZWtipAqdqUFcXYdp4nkP9luk/IA8AacuHDn&#10;ufocfHaSLlo47IGLM/aMv/H3zUyWN62S5CScr43O6WQ0pkRobopaH3L66eP21ZwSH5gumDRa5PQs&#10;PL1ZvXyxbOxCTE1lZCEcAYj2i8bmtArBLrLM80oo5kfGCg1naZxiAVt3yArHGqArmU3H41nWGFdY&#10;Z7jwHqebzkl7RPccQFOWNRcbw49K6NChOiFZACVf1dbTVXptWQoe7srSi0BkTsE0pBVJYO/jmq2W&#10;bHFwzFY175/AnvOEJ5wUqzWSXqE2LDBydPVfUKrmznhThhE3KuuIJEXAYjJ+os1DxaxIXCC1t1fR&#10;/f+D5R9O947URU5nlGimUPDL92+XH78uP7+SWZSnsX6BqAeLuNC+NS2aZjj3OIys29Kp+AUfAj/E&#10;PV/FFW0gPF6aT+fzMVwcvmED/OzxunU+vBNGkWjk1KF6SVR22vnQhQ4hMZs221rKVEGpSQMKr9+M&#10;04WrB+BSI0ck0T02WqHdtz2zvSnOIOZM1xne8m2N5Dvmwz1zaAU8GMMS7rCU0iCJ6S1KKuO+/Os8&#10;xqNC8FLSoLVyqjFJlMj3GpUDYBgMNxj7wdBHdWvQqxMMoeXJxAUX5GCWzqjPmKB1zAEX0xyZchoG&#10;8zZ07Y0J5GK9TkHoNcvCTj9YHqGjeN6ujwECJl2jKJ0SvVbotlSZfjJiO/+5T1GPf4PV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CKFGY80QAAAJQBAAALAAAAAAAAAAEAIAAAAK8DAABfcmVs&#10;cy8ucmVsc1BLAQIUABQAAAAIAIdO4kB+5uUg9wAAAOEBAAATAAAAAAAAAAEAIAAAAKkEAABbQ29u&#10;dGVudF9UeXBlc10ueG1sUEsBAhQACgAAAAAAh07iQAAAAAAAAAAAAAAAAAYAAAAAAAAAAAAQAAAA&#10;iwMAAF9yZWxzL1BLAQIUABQAAAAIAIdO4kAm1VpzKgIAAFUEAAAOAAAAAAAAAAEAIAAAADUBAABk&#10;cnMvZTJvRG9jLnhtbFBLAQIUABQAAAAIAIdO4kCzSVju0AAAAAUBAAAPAAAAAAAAAAEAIAAAADgA&#10;AABkcnMvZG93bnJldi54bWxQSwECFAAKAAAAAACHTuJAAAAAAAAAAAAAAAAABAAAAAAAAAAAABAA&#10;AAAWAAAAZHJzL1BLBQYAAAAABgAGAFkBAADR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18</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AD68B3"/>
    <w:multiLevelType w:val="singleLevel"/>
    <w:tmpl w:val="B6AD68B3"/>
    <w:lvl w:ilvl="0" w:tentative="0">
      <w:start w:val="1"/>
      <w:numFmt w:val="decimal"/>
      <w:suff w:val="nothing"/>
      <w:lvlText w:val="（%1）"/>
      <w:lvlJc w:val="left"/>
    </w:lvl>
  </w:abstractNum>
  <w:abstractNum w:abstractNumId="1">
    <w:nsid w:val="C7167EC6"/>
    <w:multiLevelType w:val="singleLevel"/>
    <w:tmpl w:val="C7167EC6"/>
    <w:lvl w:ilvl="0" w:tentative="0">
      <w:start w:val="7"/>
      <w:numFmt w:val="chineseCounting"/>
      <w:suff w:val="nothing"/>
      <w:lvlText w:val="（%1）"/>
      <w:lvlJc w:val="left"/>
      <w:rPr>
        <w:rFonts w:hint="eastAsia"/>
      </w:rPr>
    </w:lvl>
  </w:abstractNum>
  <w:abstractNum w:abstractNumId="2">
    <w:nsid w:val="00000001"/>
    <w:multiLevelType w:val="singleLevel"/>
    <w:tmpl w:val="00000001"/>
    <w:lvl w:ilvl="0" w:tentative="0">
      <w:start w:val="1"/>
      <w:numFmt w:val="decimal"/>
      <w:lvlText w:val="%1."/>
      <w:lvlJc w:val="left"/>
      <w:rPr>
        <w:rFonts w:ascii="仿宋" w:hAnsi="仿宋" w:eastAsia="仿宋" w:cs="Times New Roman"/>
        <w:b/>
        <w:bCs w:val="0"/>
        <w:i w:val="0"/>
        <w:iCs w:val="0"/>
        <w:smallCaps w:val="0"/>
        <w:color w:val="000000"/>
        <w:spacing w:val="0"/>
        <w:w w:val="100"/>
        <w:position w:val="0"/>
        <w:sz w:val="32"/>
        <w:szCs w:val="28"/>
        <w:u w:val="none"/>
        <w:shd w:val="clear" w:color="auto" w:fill="auto"/>
        <w:lang w:val="zh-TW" w:eastAsia="zh-TW" w:bidi="zh-TW"/>
      </w:rPr>
    </w:lvl>
  </w:abstractNum>
  <w:abstractNum w:abstractNumId="3">
    <w:nsid w:val="00000002"/>
    <w:multiLevelType w:val="singleLevel"/>
    <w:tmpl w:val="00000002"/>
    <w:lvl w:ilvl="0" w:tentative="0">
      <w:start w:val="1"/>
      <w:numFmt w:val="decimal"/>
      <w:lvlText w:val="%1."/>
      <w:lvlJc w:val="left"/>
      <w:rPr>
        <w:rFonts w:ascii="仿宋" w:hAnsi="仿宋" w:eastAsia="仿宋" w:cs="Times New Roman"/>
        <w:b/>
        <w:bCs w:val="0"/>
        <w:i w:val="0"/>
        <w:iCs w:val="0"/>
        <w:smallCaps w:val="0"/>
        <w:color w:val="000000"/>
        <w:spacing w:val="0"/>
        <w:w w:val="100"/>
        <w:position w:val="0"/>
        <w:sz w:val="32"/>
        <w:szCs w:val="28"/>
        <w:u w:val="none"/>
        <w:shd w:val="clear" w:color="auto" w:fill="auto"/>
        <w:lang w:val="zh-TW" w:eastAsia="zh-TW" w:bidi="zh-TW"/>
      </w:rPr>
    </w:lvl>
  </w:abstractNum>
  <w:abstractNum w:abstractNumId="4">
    <w:nsid w:val="00000004"/>
    <w:multiLevelType w:val="singleLevel"/>
    <w:tmpl w:val="00000004"/>
    <w:lvl w:ilvl="0" w:tentative="0">
      <w:start w:val="1"/>
      <w:numFmt w:val="decimal"/>
      <w:lvlText w:val="%1."/>
      <w:lvlJc w:val="left"/>
      <w:rPr>
        <w:rFonts w:ascii="Times New Roman" w:hAnsi="Times New Roman" w:eastAsia="Times New Roman" w:cs="Times New Roman"/>
        <w:b/>
        <w:bCs/>
        <w:i w:val="0"/>
        <w:iCs w:val="0"/>
        <w:smallCaps w:val="0"/>
        <w:color w:val="000000"/>
        <w:spacing w:val="0"/>
        <w:w w:val="100"/>
        <w:position w:val="0"/>
        <w:sz w:val="30"/>
        <w:szCs w:val="30"/>
        <w:u w:val="none"/>
        <w:shd w:val="clear" w:color="auto" w:fill="auto"/>
        <w:lang w:val="zh-TW" w:eastAsia="zh-TW" w:bidi="zh-TW"/>
      </w:rPr>
    </w:lvl>
  </w:abstractNum>
  <w:abstractNum w:abstractNumId="5">
    <w:nsid w:val="0053208E"/>
    <w:multiLevelType w:val="singleLevel"/>
    <w:tmpl w:val="0053208E"/>
    <w:lvl w:ilvl="0" w:tentative="0">
      <w:start w:val="1"/>
      <w:numFmt w:val="decimal"/>
      <w:lvlText w:val="%1."/>
      <w:lvlJc w:val="left"/>
      <w:rPr>
        <w:rFonts w:ascii="仿宋" w:hAnsi="仿宋" w:eastAsia="仿宋" w:cs="Times New Roman"/>
        <w:b/>
        <w:bCs w:val="0"/>
        <w:i w:val="0"/>
        <w:iCs w:val="0"/>
        <w:smallCaps w:val="0"/>
        <w:color w:val="000000"/>
        <w:spacing w:val="0"/>
        <w:w w:val="100"/>
        <w:position w:val="0"/>
        <w:sz w:val="32"/>
        <w:szCs w:val="28"/>
        <w:u w:val="none"/>
        <w:shd w:val="clear" w:color="auto" w:fill="auto"/>
        <w:lang w:val="zh-TW" w:eastAsia="zh-TW" w:bidi="zh-TW"/>
      </w:rPr>
    </w:lvl>
  </w:abstractNum>
  <w:num w:numId="1">
    <w:abstractNumId w:val="5"/>
  </w:num>
  <w:num w:numId="2">
    <w:abstractNumId w:val="2"/>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trackRevisions w:val="1"/>
  <w:documentProtection w:enforcement="0"/>
  <w:defaultTabStop w:val="420"/>
  <w:evenAndOddHeaders w:val="1"/>
  <w:drawingGridHorizontalSpacing w:val="181"/>
  <w:drawingGridVerticalSpacing w:val="181"/>
  <w:displayHorizontalDrawingGridEvery w:val="1"/>
  <w:displayVerticalDrawingGridEvery w:val="1"/>
  <w:noPunctuationKerning w:val="1"/>
  <w:characterSpacingControl w:val="compressPunctuation"/>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ZhZGYwNTVjNmEwZDlmYmM0M2UzYmUxZTMyY2ZhNTgifQ=="/>
  </w:docVars>
  <w:rsids>
    <w:rsidRoot w:val="0040785D"/>
    <w:rsid w:val="000628D7"/>
    <w:rsid w:val="000653D4"/>
    <w:rsid w:val="000669A8"/>
    <w:rsid w:val="000707EC"/>
    <w:rsid w:val="00153735"/>
    <w:rsid w:val="001543BA"/>
    <w:rsid w:val="001D6D30"/>
    <w:rsid w:val="002C77AF"/>
    <w:rsid w:val="0031205B"/>
    <w:rsid w:val="003261A9"/>
    <w:rsid w:val="00346C72"/>
    <w:rsid w:val="00347385"/>
    <w:rsid w:val="003878B8"/>
    <w:rsid w:val="003B4EB3"/>
    <w:rsid w:val="003D31DC"/>
    <w:rsid w:val="003E34FA"/>
    <w:rsid w:val="0040785D"/>
    <w:rsid w:val="0046241A"/>
    <w:rsid w:val="004A7570"/>
    <w:rsid w:val="004B3BEE"/>
    <w:rsid w:val="004C2DF8"/>
    <w:rsid w:val="004D431C"/>
    <w:rsid w:val="004F3EE1"/>
    <w:rsid w:val="004F7E29"/>
    <w:rsid w:val="00567037"/>
    <w:rsid w:val="00584628"/>
    <w:rsid w:val="00587928"/>
    <w:rsid w:val="005A2068"/>
    <w:rsid w:val="005D4F1A"/>
    <w:rsid w:val="00614C46"/>
    <w:rsid w:val="0062173D"/>
    <w:rsid w:val="006275E1"/>
    <w:rsid w:val="006538C0"/>
    <w:rsid w:val="006A0A99"/>
    <w:rsid w:val="006D594E"/>
    <w:rsid w:val="00710916"/>
    <w:rsid w:val="00714A48"/>
    <w:rsid w:val="00741C47"/>
    <w:rsid w:val="00755DF0"/>
    <w:rsid w:val="00775F46"/>
    <w:rsid w:val="00780069"/>
    <w:rsid w:val="007D05BA"/>
    <w:rsid w:val="008216CC"/>
    <w:rsid w:val="00840E3F"/>
    <w:rsid w:val="00873946"/>
    <w:rsid w:val="00893F1F"/>
    <w:rsid w:val="008D7F4E"/>
    <w:rsid w:val="008E6CB5"/>
    <w:rsid w:val="00922FBC"/>
    <w:rsid w:val="00923280"/>
    <w:rsid w:val="0092338A"/>
    <w:rsid w:val="00941150"/>
    <w:rsid w:val="0097122E"/>
    <w:rsid w:val="00981EBA"/>
    <w:rsid w:val="00991B02"/>
    <w:rsid w:val="009B278D"/>
    <w:rsid w:val="00A053E1"/>
    <w:rsid w:val="00A30B74"/>
    <w:rsid w:val="00A909D6"/>
    <w:rsid w:val="00A94F7B"/>
    <w:rsid w:val="00B46E65"/>
    <w:rsid w:val="00B519CD"/>
    <w:rsid w:val="00B63718"/>
    <w:rsid w:val="00B723D6"/>
    <w:rsid w:val="00B72C15"/>
    <w:rsid w:val="00B910E4"/>
    <w:rsid w:val="00B963AF"/>
    <w:rsid w:val="00BD3AE1"/>
    <w:rsid w:val="00C1200D"/>
    <w:rsid w:val="00C25A91"/>
    <w:rsid w:val="00C43B75"/>
    <w:rsid w:val="00C473FF"/>
    <w:rsid w:val="00C504C0"/>
    <w:rsid w:val="00C56F8F"/>
    <w:rsid w:val="00C80652"/>
    <w:rsid w:val="00C95142"/>
    <w:rsid w:val="00C97B30"/>
    <w:rsid w:val="00CD36BA"/>
    <w:rsid w:val="00CD7A0E"/>
    <w:rsid w:val="00CE0DC3"/>
    <w:rsid w:val="00D24F5D"/>
    <w:rsid w:val="00D930C4"/>
    <w:rsid w:val="00D95067"/>
    <w:rsid w:val="00DB425A"/>
    <w:rsid w:val="00DD2355"/>
    <w:rsid w:val="00DD5901"/>
    <w:rsid w:val="00DE4F4A"/>
    <w:rsid w:val="00E1379F"/>
    <w:rsid w:val="00E96C76"/>
    <w:rsid w:val="00EB23CE"/>
    <w:rsid w:val="00EF786E"/>
    <w:rsid w:val="00F00D84"/>
    <w:rsid w:val="00F03905"/>
    <w:rsid w:val="00F621C4"/>
    <w:rsid w:val="00F74221"/>
    <w:rsid w:val="00F7505A"/>
    <w:rsid w:val="00FA40E6"/>
    <w:rsid w:val="00FE6AC9"/>
    <w:rsid w:val="016941A0"/>
    <w:rsid w:val="019430D4"/>
    <w:rsid w:val="043B2EAD"/>
    <w:rsid w:val="05CD061E"/>
    <w:rsid w:val="07A04328"/>
    <w:rsid w:val="09BA0A50"/>
    <w:rsid w:val="0CED1904"/>
    <w:rsid w:val="1083680B"/>
    <w:rsid w:val="11894919"/>
    <w:rsid w:val="122C2101"/>
    <w:rsid w:val="12473866"/>
    <w:rsid w:val="1351449B"/>
    <w:rsid w:val="138C2E16"/>
    <w:rsid w:val="17034184"/>
    <w:rsid w:val="19F45A67"/>
    <w:rsid w:val="1CA73D07"/>
    <w:rsid w:val="20F37C9C"/>
    <w:rsid w:val="21635C00"/>
    <w:rsid w:val="231B319B"/>
    <w:rsid w:val="2658430F"/>
    <w:rsid w:val="32794A1C"/>
    <w:rsid w:val="338F274A"/>
    <w:rsid w:val="34C21DA4"/>
    <w:rsid w:val="39D02328"/>
    <w:rsid w:val="3AEE06D4"/>
    <w:rsid w:val="3BB47C7C"/>
    <w:rsid w:val="3BC44428"/>
    <w:rsid w:val="3C734681"/>
    <w:rsid w:val="3CEF4B2F"/>
    <w:rsid w:val="3D0E630E"/>
    <w:rsid w:val="3DE87C02"/>
    <w:rsid w:val="3FD6243D"/>
    <w:rsid w:val="42942629"/>
    <w:rsid w:val="46046F03"/>
    <w:rsid w:val="46CD7A34"/>
    <w:rsid w:val="47A36A87"/>
    <w:rsid w:val="486F624E"/>
    <w:rsid w:val="4A246FC0"/>
    <w:rsid w:val="4A3D3E09"/>
    <w:rsid w:val="4CF338F1"/>
    <w:rsid w:val="4D7C5695"/>
    <w:rsid w:val="4ECA5D66"/>
    <w:rsid w:val="501A5ADD"/>
    <w:rsid w:val="508067FB"/>
    <w:rsid w:val="50892358"/>
    <w:rsid w:val="50A43895"/>
    <w:rsid w:val="52DD6CAC"/>
    <w:rsid w:val="56A40CE5"/>
    <w:rsid w:val="57C86C54"/>
    <w:rsid w:val="5A113973"/>
    <w:rsid w:val="5A4A08C9"/>
    <w:rsid w:val="5C627366"/>
    <w:rsid w:val="5CE67A24"/>
    <w:rsid w:val="5F5631DE"/>
    <w:rsid w:val="5FF0585E"/>
    <w:rsid w:val="639C78DE"/>
    <w:rsid w:val="66FF37C4"/>
    <w:rsid w:val="677E06BF"/>
    <w:rsid w:val="68E464EF"/>
    <w:rsid w:val="68F348EA"/>
    <w:rsid w:val="69557DDE"/>
    <w:rsid w:val="69726A9D"/>
    <w:rsid w:val="6EA83A3B"/>
    <w:rsid w:val="700C6F8E"/>
    <w:rsid w:val="75864A53"/>
    <w:rsid w:val="76001EAB"/>
    <w:rsid w:val="76FA7DCB"/>
    <w:rsid w:val="7B065502"/>
    <w:rsid w:val="7B4C229B"/>
    <w:rsid w:val="7D284F5A"/>
    <w:rsid w:val="7DAC4138"/>
    <w:rsid w:val="7E76499E"/>
    <w:rsid w:val="7FBEFB01"/>
    <w:rsid w:val="F05B4D68"/>
    <w:rsid w:val="FCE3CEFB"/>
    <w:rsid w:val="FFB7C6D9"/>
    <w:rsid w:val="FFFA07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Pr>
    <w:rPr>
      <w:rFonts w:ascii="Times New Roman" w:hAnsi="Times New Roman" w:eastAsia="Times New Roman" w:cs="Times New Roman"/>
      <w:color w:val="000000"/>
      <w:sz w:val="24"/>
      <w:szCs w:val="24"/>
      <w:lang w:val="en-US" w:eastAsia="en-US" w:bidi="en-US"/>
    </w:rPr>
  </w:style>
  <w:style w:type="paragraph" w:styleId="2">
    <w:name w:val="heading 2"/>
    <w:basedOn w:val="1"/>
    <w:next w:val="1"/>
    <w:qFormat/>
    <w:uiPriority w:val="0"/>
    <w:pPr>
      <w:keepNext/>
      <w:keepLines/>
      <w:spacing w:before="260" w:after="260" w:line="413" w:lineRule="auto"/>
      <w:outlineLvl w:val="1"/>
    </w:pPr>
    <w:rPr>
      <w:rFonts w:ascii="Arial" w:hAnsi="Arial" w:eastAsia="宋体"/>
      <w:b/>
      <w:sz w:val="32"/>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30"/>
    <w:qFormat/>
    <w:uiPriority w:val="0"/>
    <w:pPr>
      <w:spacing w:after="120"/>
    </w:pPr>
  </w:style>
  <w:style w:type="paragraph" w:styleId="4">
    <w:name w:val="footer"/>
    <w:basedOn w:val="1"/>
    <w:link w:val="28"/>
    <w:qFormat/>
    <w:uiPriority w:val="0"/>
    <w:pPr>
      <w:tabs>
        <w:tab w:val="center" w:pos="4153"/>
        <w:tab w:val="right" w:pos="8306"/>
      </w:tabs>
      <w:snapToGrid w:val="0"/>
    </w:pPr>
    <w:rPr>
      <w:sz w:val="18"/>
      <w:szCs w:val="18"/>
    </w:rPr>
  </w:style>
  <w:style w:type="paragraph" w:styleId="5">
    <w:name w:val="header"/>
    <w:basedOn w:val="1"/>
    <w:link w:val="27"/>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Heading #1|1_"/>
    <w:basedOn w:val="8"/>
    <w:link w:val="10"/>
    <w:qFormat/>
    <w:uiPriority w:val="0"/>
    <w:rPr>
      <w:rFonts w:ascii="宋体" w:hAnsi="宋体" w:eastAsia="宋体" w:cs="宋体"/>
      <w:sz w:val="40"/>
      <w:szCs w:val="40"/>
      <w:u w:val="none"/>
      <w:shd w:val="clear" w:color="auto" w:fill="auto"/>
      <w:lang w:val="zh-TW" w:eastAsia="zh-TW" w:bidi="zh-TW"/>
    </w:rPr>
  </w:style>
  <w:style w:type="paragraph" w:customStyle="1" w:styleId="10">
    <w:name w:val="Heading #1|1"/>
    <w:basedOn w:val="1"/>
    <w:link w:val="9"/>
    <w:qFormat/>
    <w:uiPriority w:val="0"/>
    <w:pPr>
      <w:spacing w:before="320" w:after="4320" w:line="541" w:lineRule="exact"/>
      <w:jc w:val="center"/>
      <w:outlineLvl w:val="0"/>
    </w:pPr>
    <w:rPr>
      <w:rFonts w:ascii="宋体" w:hAnsi="宋体" w:eastAsia="宋体" w:cs="宋体"/>
      <w:sz w:val="40"/>
      <w:szCs w:val="40"/>
      <w:lang w:val="zh-TW" w:eastAsia="zh-TW" w:bidi="zh-TW"/>
    </w:rPr>
  </w:style>
  <w:style w:type="character" w:customStyle="1" w:styleId="11">
    <w:name w:val="Body text|1_"/>
    <w:basedOn w:val="8"/>
    <w:link w:val="12"/>
    <w:qFormat/>
    <w:uiPriority w:val="0"/>
    <w:rPr>
      <w:rFonts w:ascii="宋体" w:hAnsi="宋体" w:eastAsia="宋体" w:cs="宋体"/>
      <w:sz w:val="28"/>
      <w:szCs w:val="28"/>
      <w:u w:val="none"/>
      <w:shd w:val="clear" w:color="auto" w:fill="auto"/>
      <w:lang w:val="zh-TW" w:eastAsia="zh-TW" w:bidi="zh-TW"/>
    </w:rPr>
  </w:style>
  <w:style w:type="paragraph" w:customStyle="1" w:styleId="12">
    <w:name w:val="Body text|1"/>
    <w:basedOn w:val="1"/>
    <w:link w:val="11"/>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13">
    <w:name w:val="Header or footer|2_"/>
    <w:basedOn w:val="8"/>
    <w:link w:val="14"/>
    <w:qFormat/>
    <w:uiPriority w:val="0"/>
    <w:rPr>
      <w:sz w:val="20"/>
      <w:szCs w:val="20"/>
      <w:u w:val="none"/>
      <w:shd w:val="clear" w:color="auto" w:fill="auto"/>
      <w:lang w:val="zh-TW" w:eastAsia="zh-TW" w:bidi="zh-TW"/>
    </w:rPr>
  </w:style>
  <w:style w:type="paragraph" w:customStyle="1" w:styleId="14">
    <w:name w:val="Header or footer|2"/>
    <w:basedOn w:val="1"/>
    <w:link w:val="13"/>
    <w:qFormat/>
    <w:uiPriority w:val="0"/>
    <w:rPr>
      <w:sz w:val="20"/>
      <w:szCs w:val="20"/>
      <w:lang w:val="zh-TW" w:eastAsia="zh-TW" w:bidi="zh-TW"/>
    </w:rPr>
  </w:style>
  <w:style w:type="character" w:customStyle="1" w:styleId="15">
    <w:name w:val="Header or footer|1_"/>
    <w:basedOn w:val="8"/>
    <w:link w:val="16"/>
    <w:qFormat/>
    <w:uiPriority w:val="0"/>
    <w:rPr>
      <w:rFonts w:ascii="宋体" w:hAnsi="宋体" w:eastAsia="宋体" w:cs="宋体"/>
      <w:sz w:val="26"/>
      <w:szCs w:val="26"/>
      <w:u w:val="none"/>
      <w:shd w:val="clear" w:color="auto" w:fill="auto"/>
      <w:lang w:val="zh-TW" w:eastAsia="zh-TW" w:bidi="zh-TW"/>
    </w:rPr>
  </w:style>
  <w:style w:type="paragraph" w:customStyle="1" w:styleId="16">
    <w:name w:val="Header or footer|1"/>
    <w:basedOn w:val="1"/>
    <w:link w:val="15"/>
    <w:qFormat/>
    <w:uiPriority w:val="0"/>
    <w:rPr>
      <w:rFonts w:ascii="宋体" w:hAnsi="宋体" w:eastAsia="宋体" w:cs="宋体"/>
      <w:sz w:val="26"/>
      <w:szCs w:val="26"/>
      <w:lang w:val="zh-TW" w:eastAsia="zh-TW" w:bidi="zh-TW"/>
    </w:rPr>
  </w:style>
  <w:style w:type="character" w:customStyle="1" w:styleId="17">
    <w:name w:val="Body text|2_"/>
    <w:basedOn w:val="8"/>
    <w:link w:val="18"/>
    <w:qFormat/>
    <w:uiPriority w:val="0"/>
    <w:rPr>
      <w:rFonts w:ascii="宋体" w:hAnsi="宋体" w:eastAsia="宋体" w:cs="宋体"/>
      <w:sz w:val="22"/>
      <w:szCs w:val="22"/>
      <w:u w:val="none"/>
      <w:shd w:val="clear" w:color="auto" w:fill="auto"/>
      <w:lang w:val="zh-TW" w:eastAsia="zh-TW" w:bidi="zh-TW"/>
    </w:rPr>
  </w:style>
  <w:style w:type="paragraph" w:customStyle="1" w:styleId="18">
    <w:name w:val="Body text|2"/>
    <w:basedOn w:val="1"/>
    <w:link w:val="17"/>
    <w:qFormat/>
    <w:uiPriority w:val="0"/>
    <w:pPr>
      <w:spacing w:after="240"/>
    </w:pPr>
    <w:rPr>
      <w:rFonts w:ascii="宋体" w:hAnsi="宋体" w:eastAsia="宋体" w:cs="宋体"/>
      <w:sz w:val="22"/>
      <w:szCs w:val="22"/>
      <w:lang w:val="zh-TW" w:eastAsia="zh-TW" w:bidi="zh-TW"/>
    </w:rPr>
  </w:style>
  <w:style w:type="character" w:customStyle="1" w:styleId="19">
    <w:name w:val="Other|1_"/>
    <w:basedOn w:val="8"/>
    <w:link w:val="20"/>
    <w:qFormat/>
    <w:uiPriority w:val="0"/>
    <w:rPr>
      <w:rFonts w:ascii="宋体" w:hAnsi="宋体" w:eastAsia="宋体" w:cs="宋体"/>
      <w:sz w:val="28"/>
      <w:szCs w:val="28"/>
      <w:u w:val="none"/>
      <w:shd w:val="clear" w:color="auto" w:fill="auto"/>
      <w:lang w:val="zh-TW" w:eastAsia="zh-TW" w:bidi="zh-TW"/>
    </w:rPr>
  </w:style>
  <w:style w:type="paragraph" w:customStyle="1" w:styleId="20">
    <w:name w:val="Other|1"/>
    <w:basedOn w:val="1"/>
    <w:link w:val="19"/>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21">
    <w:name w:val="Other|2_"/>
    <w:basedOn w:val="8"/>
    <w:link w:val="22"/>
    <w:qFormat/>
    <w:uiPriority w:val="0"/>
    <w:rPr>
      <w:rFonts w:ascii="宋体" w:hAnsi="宋体" w:eastAsia="宋体" w:cs="宋体"/>
      <w:sz w:val="15"/>
      <w:szCs w:val="15"/>
      <w:u w:val="none"/>
      <w:shd w:val="clear" w:color="auto" w:fill="auto"/>
      <w:lang w:val="zh-TW" w:eastAsia="zh-TW" w:bidi="zh-TW"/>
    </w:rPr>
  </w:style>
  <w:style w:type="paragraph" w:customStyle="1" w:styleId="22">
    <w:name w:val="Other|2"/>
    <w:basedOn w:val="1"/>
    <w:link w:val="21"/>
    <w:qFormat/>
    <w:uiPriority w:val="0"/>
    <w:pPr>
      <w:spacing w:line="177" w:lineRule="exact"/>
      <w:jc w:val="center"/>
    </w:pPr>
    <w:rPr>
      <w:rFonts w:ascii="宋体" w:hAnsi="宋体" w:eastAsia="宋体" w:cs="宋体"/>
      <w:sz w:val="15"/>
      <w:szCs w:val="15"/>
      <w:lang w:val="zh-TW" w:eastAsia="zh-TW" w:bidi="zh-TW"/>
    </w:rPr>
  </w:style>
  <w:style w:type="character" w:customStyle="1" w:styleId="23">
    <w:name w:val="Body text|3_"/>
    <w:basedOn w:val="8"/>
    <w:link w:val="24"/>
    <w:qFormat/>
    <w:uiPriority w:val="0"/>
    <w:rPr>
      <w:rFonts w:ascii="宋体" w:hAnsi="宋体" w:eastAsia="宋体" w:cs="宋体"/>
      <w:sz w:val="15"/>
      <w:szCs w:val="15"/>
      <w:u w:val="none"/>
      <w:shd w:val="clear" w:color="auto" w:fill="auto"/>
      <w:lang w:val="zh-TW" w:eastAsia="zh-TW" w:bidi="zh-TW"/>
    </w:rPr>
  </w:style>
  <w:style w:type="paragraph" w:customStyle="1" w:styleId="24">
    <w:name w:val="Body text|3"/>
    <w:basedOn w:val="1"/>
    <w:link w:val="23"/>
    <w:qFormat/>
    <w:uiPriority w:val="0"/>
    <w:rPr>
      <w:rFonts w:ascii="宋体" w:hAnsi="宋体" w:eastAsia="宋体" w:cs="宋体"/>
      <w:sz w:val="15"/>
      <w:szCs w:val="15"/>
      <w:lang w:val="zh-TW" w:eastAsia="zh-TW" w:bidi="zh-TW"/>
    </w:rPr>
  </w:style>
  <w:style w:type="character" w:customStyle="1" w:styleId="25">
    <w:name w:val="Picture caption|1_"/>
    <w:basedOn w:val="8"/>
    <w:link w:val="26"/>
    <w:qFormat/>
    <w:uiPriority w:val="0"/>
    <w:rPr>
      <w:rFonts w:ascii="宋体" w:hAnsi="宋体" w:eastAsia="宋体" w:cs="宋体"/>
      <w:sz w:val="20"/>
      <w:szCs w:val="20"/>
      <w:u w:val="none"/>
      <w:shd w:val="clear" w:color="auto" w:fill="auto"/>
      <w:lang w:val="zh-TW" w:eastAsia="zh-TW" w:bidi="zh-TW"/>
    </w:rPr>
  </w:style>
  <w:style w:type="paragraph" w:customStyle="1" w:styleId="26">
    <w:name w:val="Picture caption|1"/>
    <w:basedOn w:val="1"/>
    <w:link w:val="25"/>
    <w:qFormat/>
    <w:uiPriority w:val="0"/>
    <w:pPr>
      <w:jc w:val="center"/>
    </w:pPr>
    <w:rPr>
      <w:rFonts w:ascii="宋体" w:hAnsi="宋体" w:eastAsia="宋体" w:cs="宋体"/>
      <w:sz w:val="20"/>
      <w:szCs w:val="20"/>
      <w:lang w:val="zh-TW" w:eastAsia="zh-TW" w:bidi="zh-TW"/>
    </w:rPr>
  </w:style>
  <w:style w:type="character" w:customStyle="1" w:styleId="27">
    <w:name w:val="页眉 Char"/>
    <w:basedOn w:val="8"/>
    <w:link w:val="5"/>
    <w:qFormat/>
    <w:uiPriority w:val="0"/>
    <w:rPr>
      <w:rFonts w:eastAsia="Times New Roman"/>
      <w:color w:val="000000"/>
      <w:sz w:val="18"/>
      <w:szCs w:val="18"/>
      <w:lang w:eastAsia="en-US" w:bidi="en-US"/>
    </w:rPr>
  </w:style>
  <w:style w:type="character" w:customStyle="1" w:styleId="28">
    <w:name w:val="页脚 Char"/>
    <w:basedOn w:val="8"/>
    <w:link w:val="4"/>
    <w:qFormat/>
    <w:uiPriority w:val="0"/>
    <w:rPr>
      <w:rFonts w:eastAsia="Times New Roman"/>
      <w:color w:val="000000"/>
      <w:sz w:val="18"/>
      <w:szCs w:val="18"/>
      <w:lang w:eastAsia="en-US" w:bidi="en-US"/>
    </w:rPr>
  </w:style>
  <w:style w:type="paragraph" w:customStyle="1" w:styleId="29">
    <w:name w:val="NOTE_Normal"/>
    <w:basedOn w:val="1"/>
    <w:next w:val="3"/>
    <w:qFormat/>
    <w:uiPriority w:val="0"/>
    <w:pPr>
      <w:spacing w:after="160" w:line="259" w:lineRule="auto"/>
      <w:jc w:val="both"/>
    </w:pPr>
    <w:rPr>
      <w:rFonts w:ascii="Calibri" w:hAnsi="Calibri" w:eastAsia="宋体" w:cs="Arial"/>
      <w:color w:val="auto"/>
      <w:kern w:val="2"/>
      <w:sz w:val="21"/>
      <w:lang w:eastAsia="zh-CN" w:bidi="ar-SA"/>
    </w:rPr>
  </w:style>
  <w:style w:type="character" w:customStyle="1" w:styleId="30">
    <w:name w:val="正文文本 Char"/>
    <w:basedOn w:val="8"/>
    <w:link w:val="3"/>
    <w:qFormat/>
    <w:uiPriority w:val="0"/>
    <w:rPr>
      <w:rFonts w:eastAsia="Times New Roman"/>
      <w:color w:val="000000"/>
      <w:sz w:val="24"/>
      <w:szCs w:val="24"/>
      <w:lang w:eastAsia="en-US" w:bidi="en-US"/>
    </w:rPr>
  </w:style>
  <w:style w:type="character" w:customStyle="1" w:styleId="31">
    <w:name w:val="font11"/>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17</Pages>
  <Words>9840</Words>
  <Characters>10147</Characters>
  <Lines>70</Lines>
  <Paragraphs>19</Paragraphs>
  <TotalTime>52</TotalTime>
  <ScaleCrop>false</ScaleCrop>
  <LinksUpToDate>false</LinksUpToDate>
  <CharactersWithSpaces>10150</CharactersWithSpaces>
  <Application>WPS Office_11.8.2.1116_F1E327BC-269C-435d-A152-05C5408002CA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2023-08-15T23:15:00Z</dcterms:created>
  <dc:creator>WPS Office</dc:creator>
  <cp:lastModifiedBy>彭裕惠</cp:lastModifiedBy>
  <dcterms:modified xsi:type="dcterms:W3CDTF">2025-03-19T10:56:53Z</dcterms:modified>
  <dc:title>KM_C364e-20200923144555</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2052-11.8.2.1116</vt:lpwstr>
  </property>
  <property fmtid="{D5CDD505-2E9C-101B-9397-08002B2CF9AE}" pid="3" name="ICV">
    <vt:lpwstr>B123CC3B9A554EDEBFC349E6417F5155_13</vt:lpwstr>
  </property>
  <property fmtid="{D5CDD505-2E9C-101B-9397-08002B2CF9AE}" pid="4" name="KSOTemplateDocerSaveRecord">
    <vt:lpwstr>eyJoZGlkIjoiZDZhZGYwNTVjNmEwZDlmYmM0M2UzYmUxZTMyY2ZhNTgiLCJ1c2VySWQiOiIyOTU1NTMyNTMifQ==</vt:lpwstr>
  </property>
</Properties>
</file>