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E067DB">
      <w:pPr>
        <w:keepNext w:val="0"/>
        <w:keepLines w:val="0"/>
        <w:pageBreakBefore w:val="0"/>
        <w:kinsoku/>
        <w:wordWrap/>
        <w:overflowPunct/>
        <w:topLinePunct w:val="0"/>
        <w:autoSpaceDE/>
        <w:autoSpaceDN/>
        <w:bidi w:val="0"/>
        <w:adjustRightInd/>
        <w:snapToGrid/>
        <w:spacing w:line="580" w:lineRule="exact"/>
        <w:textAlignment w:val="auto"/>
        <w:rPr>
          <w:rFonts w:hint="eastAsia" w:ascii="楷体_GB2312" w:hAnsi="楷体_GB2312" w:eastAsia="楷体_GB2312" w:cs="楷体_GB2312"/>
          <w:color w:val="auto"/>
          <w:sz w:val="28"/>
          <w:szCs w:val="28"/>
          <w:lang w:eastAsia="zh-CN"/>
        </w:rPr>
      </w:pPr>
      <w:r>
        <w:rPr>
          <w:rFonts w:hint="eastAsia" w:ascii="楷体_GB2312" w:hAnsi="楷体_GB2312" w:eastAsia="楷体_GB2312" w:cs="楷体_GB2312"/>
          <w:color w:val="auto"/>
          <w:sz w:val="28"/>
          <w:szCs w:val="28"/>
        </w:rPr>
        <w:t>番禺区十八届人大五次会议文件</w:t>
      </w:r>
      <w:r>
        <w:rPr>
          <w:rFonts w:hint="eastAsia" w:ascii="楷体_GB2312" w:hAnsi="楷体_GB2312" w:eastAsia="楷体_GB2312" w:cs="楷体_GB2312"/>
          <w:color w:val="auto"/>
          <w:sz w:val="28"/>
          <w:szCs w:val="28"/>
          <w:lang w:eastAsia="zh-CN"/>
        </w:rPr>
        <w:t>（</w:t>
      </w:r>
      <w:r>
        <w:rPr>
          <w:rFonts w:hint="eastAsia" w:ascii="楷体_GB2312" w:hAnsi="楷体_GB2312" w:eastAsia="楷体_GB2312" w:cs="楷体_GB2312"/>
          <w:color w:val="auto"/>
          <w:sz w:val="28"/>
          <w:szCs w:val="28"/>
          <w:lang w:val="en-US" w:eastAsia="zh-CN"/>
        </w:rPr>
        <w:t>3</w:t>
      </w:r>
      <w:r>
        <w:rPr>
          <w:rFonts w:hint="eastAsia" w:ascii="楷体_GB2312" w:hAnsi="楷体_GB2312" w:eastAsia="楷体_GB2312" w:cs="楷体_GB2312"/>
          <w:color w:val="auto"/>
          <w:sz w:val="28"/>
          <w:szCs w:val="28"/>
          <w:lang w:eastAsia="zh-CN"/>
        </w:rPr>
        <w:t>）</w:t>
      </w:r>
    </w:p>
    <w:p w14:paraId="6A20DE11">
      <w:pPr>
        <w:pStyle w:val="2"/>
        <w:keepNext w:val="0"/>
        <w:keepLines w:val="0"/>
        <w:pageBreakBefore w:val="0"/>
        <w:kinsoku/>
        <w:wordWrap/>
        <w:overflowPunct/>
        <w:topLinePunct w:val="0"/>
        <w:autoSpaceDE/>
        <w:autoSpaceDN/>
        <w:bidi w:val="0"/>
        <w:adjustRightInd/>
        <w:snapToGrid/>
        <w:spacing w:line="580" w:lineRule="exact"/>
        <w:ind w:firstLine="320"/>
        <w:textAlignment w:val="auto"/>
        <w:rPr>
          <w:rFonts w:hint="eastAsia"/>
          <w:color w:val="auto"/>
        </w:rPr>
      </w:pPr>
    </w:p>
    <w:p w14:paraId="3370AB4C">
      <w:pPr>
        <w:pStyle w:val="3"/>
        <w:rPr>
          <w:rFonts w:hint="eastAsia"/>
        </w:rPr>
      </w:pPr>
    </w:p>
    <w:p w14:paraId="553691F4">
      <w:pPr>
        <w:keepNext w:val="0"/>
        <w:keepLines w:val="0"/>
        <w:pageBreakBefore w:val="0"/>
        <w:kinsoku/>
        <w:wordWrap/>
        <w:overflowPunct/>
        <w:topLinePunct w:val="0"/>
        <w:autoSpaceDE/>
        <w:autoSpaceDN/>
        <w:bidi w:val="0"/>
        <w:adjustRightInd/>
        <w:snapToGrid/>
        <w:spacing w:line="580" w:lineRule="exact"/>
        <w:ind w:firstLine="880" w:firstLineChars="200"/>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广州市番禺区2024年预算执行情况</w:t>
      </w:r>
    </w:p>
    <w:p w14:paraId="39AA5AE5">
      <w:pPr>
        <w:keepNext w:val="0"/>
        <w:keepLines w:val="0"/>
        <w:pageBreakBefore w:val="0"/>
        <w:kinsoku/>
        <w:wordWrap/>
        <w:overflowPunct/>
        <w:topLinePunct w:val="0"/>
        <w:autoSpaceDE/>
        <w:autoSpaceDN/>
        <w:bidi w:val="0"/>
        <w:adjustRightInd/>
        <w:snapToGrid/>
        <w:spacing w:line="580" w:lineRule="exact"/>
        <w:ind w:firstLine="1760" w:firstLineChars="400"/>
        <w:textAlignment w:val="auto"/>
        <w:rPr>
          <w:rFonts w:hint="eastAsia" w:ascii="仿宋_GB2312" w:hAnsi="仿宋_GB2312" w:eastAsia="仿宋_GB2312" w:cs="仿宋_GB2312"/>
          <w:b w:val="0"/>
          <w:bCs w:val="0"/>
          <w:color w:val="auto"/>
          <w:sz w:val="32"/>
          <w:szCs w:val="32"/>
        </w:rPr>
      </w:pPr>
      <w:r>
        <w:rPr>
          <w:rFonts w:hint="eastAsia" w:ascii="方正小标宋简体" w:hAnsi="方正小标宋简体" w:eastAsia="方正小标宋简体" w:cs="方正小标宋简体"/>
          <w:b w:val="0"/>
          <w:bCs w:val="0"/>
          <w:color w:val="auto"/>
          <w:sz w:val="44"/>
          <w:szCs w:val="44"/>
        </w:rPr>
        <w:t>和2025年预算草案的报告</w:t>
      </w:r>
    </w:p>
    <w:p w14:paraId="23F8D426">
      <w:pPr>
        <w:pStyle w:val="2"/>
        <w:keepNext w:val="0"/>
        <w:keepLines w:val="0"/>
        <w:pageBreakBefore w:val="0"/>
        <w:kinsoku/>
        <w:wordWrap/>
        <w:overflowPunct/>
        <w:topLinePunct w:val="0"/>
        <w:autoSpaceDE/>
        <w:autoSpaceDN/>
        <w:bidi w:val="0"/>
        <w:adjustRightInd/>
        <w:snapToGrid/>
        <w:spacing w:line="580" w:lineRule="exact"/>
        <w:ind w:firstLine="320"/>
        <w:textAlignment w:val="auto"/>
        <w:rPr>
          <w:rFonts w:hint="eastAsia"/>
          <w:color w:val="auto"/>
        </w:rPr>
      </w:pPr>
    </w:p>
    <w:p w14:paraId="661AC35C">
      <w:pPr>
        <w:keepNext w:val="0"/>
        <w:keepLines w:val="0"/>
        <w:pageBreakBefore w:val="0"/>
        <w:widowControl/>
        <w:kinsoku/>
        <w:wordWrap/>
        <w:overflowPunct/>
        <w:topLinePunct w:val="0"/>
        <w:autoSpaceDE/>
        <w:autoSpaceDN/>
        <w:bidi w:val="0"/>
        <w:adjustRightInd/>
        <w:snapToGrid/>
        <w:spacing w:line="580" w:lineRule="exact"/>
        <w:jc w:val="center"/>
        <w:textAlignment w:val="auto"/>
        <w:rPr>
          <w:rFonts w:hint="eastAsia" w:ascii="楷体_GB2312" w:hAnsi="楷体_GB2312" w:eastAsia="楷体_GB2312" w:cs="楷体_GB2312"/>
          <w:color w:val="auto"/>
          <w:sz w:val="32"/>
          <w:szCs w:val="32"/>
        </w:rPr>
      </w:pPr>
      <w:r>
        <w:rPr>
          <w:rFonts w:ascii="Times New Roman" w:hAnsi="Times New Roman"/>
          <w:sz w:val="44"/>
          <w:szCs w:val="44"/>
        </w:rPr>
        <w:t>—</w:t>
      </w:r>
      <w:r>
        <w:rPr>
          <w:rFonts w:hint="eastAsia" w:ascii="楷体_GB2312" w:hAnsi="楷体_GB2312" w:eastAsia="楷体_GB2312" w:cs="楷体_GB2312"/>
          <w:color w:val="auto"/>
          <w:kern w:val="0"/>
          <w:sz w:val="32"/>
          <w:szCs w:val="32"/>
          <w:lang w:val="en-US" w:eastAsia="zh-CN"/>
        </w:rPr>
        <w:t>2025年2</w:t>
      </w:r>
      <w:r>
        <w:rPr>
          <w:rFonts w:hint="eastAsia" w:ascii="楷体_GB2312" w:hAnsi="楷体_GB2312" w:eastAsia="楷体_GB2312" w:cs="楷体_GB2312"/>
          <w:color w:val="auto"/>
          <w:kern w:val="0"/>
          <w:sz w:val="32"/>
          <w:szCs w:val="32"/>
        </w:rPr>
        <w:t>月</w:t>
      </w:r>
      <w:r>
        <w:rPr>
          <w:rFonts w:hint="eastAsia" w:ascii="楷体_GB2312" w:hAnsi="楷体_GB2312" w:eastAsia="楷体_GB2312" w:cs="楷体_GB2312"/>
          <w:color w:val="auto"/>
          <w:kern w:val="0"/>
          <w:sz w:val="32"/>
          <w:szCs w:val="32"/>
          <w:lang w:val="en-US" w:eastAsia="zh-CN"/>
        </w:rPr>
        <w:t>26</w:t>
      </w:r>
      <w:r>
        <w:rPr>
          <w:rFonts w:hint="eastAsia" w:ascii="楷体_GB2312" w:hAnsi="楷体_GB2312" w:eastAsia="楷体_GB2312" w:cs="楷体_GB2312"/>
          <w:color w:val="auto"/>
          <w:kern w:val="0"/>
          <w:sz w:val="32"/>
          <w:szCs w:val="32"/>
        </w:rPr>
        <w:t>日</w:t>
      </w:r>
      <w:r>
        <w:rPr>
          <w:rFonts w:hint="eastAsia" w:ascii="楷体_GB2312" w:hAnsi="楷体_GB2312" w:eastAsia="楷体_GB2312" w:cs="楷体_GB2312"/>
          <w:color w:val="auto"/>
          <w:sz w:val="32"/>
          <w:szCs w:val="32"/>
        </w:rPr>
        <w:t>在广州市番禺区第</w:t>
      </w:r>
      <w:r>
        <w:rPr>
          <w:rFonts w:hint="eastAsia" w:ascii="楷体_GB2312" w:hAnsi="楷体_GB2312" w:eastAsia="楷体_GB2312" w:cs="楷体_GB2312"/>
          <w:color w:val="auto"/>
          <w:sz w:val="32"/>
          <w:szCs w:val="32"/>
          <w:lang w:eastAsia="zh-CN"/>
        </w:rPr>
        <w:t>十八</w:t>
      </w:r>
      <w:r>
        <w:rPr>
          <w:rFonts w:hint="eastAsia" w:ascii="楷体_GB2312" w:hAnsi="楷体_GB2312" w:eastAsia="楷体_GB2312" w:cs="楷体_GB2312"/>
          <w:color w:val="auto"/>
          <w:sz w:val="32"/>
          <w:szCs w:val="32"/>
        </w:rPr>
        <w:t>届人民代表大会</w:t>
      </w:r>
    </w:p>
    <w:p w14:paraId="3973DCAF">
      <w:pPr>
        <w:keepNext w:val="0"/>
        <w:keepLines w:val="0"/>
        <w:pageBreakBefore w:val="0"/>
        <w:widowControl/>
        <w:kinsoku/>
        <w:wordWrap/>
        <w:overflowPunct/>
        <w:topLinePunct w:val="0"/>
        <w:autoSpaceDE/>
        <w:autoSpaceDN/>
        <w:bidi w:val="0"/>
        <w:adjustRightInd/>
        <w:snapToGrid/>
        <w:spacing w:line="580" w:lineRule="exact"/>
        <w:jc w:val="center"/>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val="en-US" w:eastAsia="zh-CN"/>
        </w:rPr>
        <w:t>五</w:t>
      </w:r>
      <w:r>
        <w:rPr>
          <w:rFonts w:hint="eastAsia" w:ascii="楷体_GB2312" w:hAnsi="楷体_GB2312" w:eastAsia="楷体_GB2312" w:cs="楷体_GB2312"/>
          <w:color w:val="auto"/>
          <w:sz w:val="32"/>
          <w:szCs w:val="32"/>
        </w:rPr>
        <w:t>次会议上</w:t>
      </w:r>
    </w:p>
    <w:p w14:paraId="4D1DDEE4">
      <w:pPr>
        <w:pStyle w:val="3"/>
        <w:keepNext w:val="0"/>
        <w:keepLines w:val="0"/>
        <w:pageBreakBefore w:val="0"/>
        <w:kinsoku/>
        <w:wordWrap/>
        <w:overflowPunct/>
        <w:topLinePunct w:val="0"/>
        <w:autoSpaceDE/>
        <w:autoSpaceDN/>
        <w:bidi w:val="0"/>
        <w:adjustRightInd/>
        <w:snapToGrid/>
        <w:spacing w:line="580" w:lineRule="exact"/>
        <w:textAlignment w:val="auto"/>
        <w:rPr>
          <w:rFonts w:hint="eastAsia" w:ascii="楷体_GB2312" w:hAnsi="楷体_GB2312" w:eastAsia="楷体_GB2312" w:cs="楷体_GB2312"/>
          <w:color w:val="auto"/>
          <w:sz w:val="32"/>
          <w:szCs w:val="32"/>
        </w:rPr>
      </w:pPr>
    </w:p>
    <w:p w14:paraId="6AE78CF4">
      <w:pPr>
        <w:pStyle w:val="2"/>
        <w:keepNext w:val="0"/>
        <w:keepLines w:val="0"/>
        <w:pageBreakBefore w:val="0"/>
        <w:kinsoku/>
        <w:wordWrap/>
        <w:overflowPunct/>
        <w:topLinePunct w:val="0"/>
        <w:autoSpaceDE/>
        <w:autoSpaceDN/>
        <w:bidi w:val="0"/>
        <w:adjustRightInd/>
        <w:snapToGrid/>
        <w:spacing w:line="580" w:lineRule="exact"/>
        <w:ind w:firstLine="1920" w:firstLineChars="6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kern w:val="0"/>
          <w:sz w:val="32"/>
          <w:szCs w:val="32"/>
          <w:lang w:val="en-US" w:eastAsia="zh-CN" w:bidi="ar-SA"/>
        </w:rPr>
        <w:t>广州市番禺区财政局局长  周健民</w:t>
      </w:r>
    </w:p>
    <w:p w14:paraId="7149C463">
      <w:pPr>
        <w:pStyle w:val="2"/>
        <w:keepNext w:val="0"/>
        <w:keepLines w:val="0"/>
        <w:pageBreakBefore w:val="0"/>
        <w:kinsoku/>
        <w:wordWrap/>
        <w:overflowPunct/>
        <w:topLinePunct w:val="0"/>
        <w:autoSpaceDE/>
        <w:autoSpaceDN/>
        <w:bidi w:val="0"/>
        <w:adjustRightInd/>
        <w:snapToGrid/>
        <w:spacing w:line="580" w:lineRule="exact"/>
        <w:ind w:firstLine="1980" w:firstLineChars="600"/>
        <w:textAlignment w:val="auto"/>
        <w:rPr>
          <w:rFonts w:hint="eastAsia" w:ascii="楷体_GB2312" w:hAnsi="楷体_GB2312" w:eastAsia="楷体_GB2312" w:cs="楷体_GB2312"/>
          <w:color w:val="auto"/>
          <w:szCs w:val="32"/>
        </w:rPr>
      </w:pPr>
    </w:p>
    <w:p w14:paraId="15931092">
      <w:pPr>
        <w:pStyle w:val="2"/>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各位代表：</w:t>
      </w:r>
    </w:p>
    <w:p w14:paraId="5F2F0133">
      <w:pPr>
        <w:pStyle w:val="2"/>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cs="仿宋_GB2312"/>
          <w:b w:val="0"/>
          <w:bCs w:val="0"/>
          <w:color w:val="auto"/>
          <w:szCs w:val="32"/>
        </w:rPr>
      </w:pPr>
      <w:r>
        <w:rPr>
          <w:rFonts w:hint="eastAsia" w:ascii="仿宋_GB2312" w:hAnsi="仿宋_GB2312" w:eastAsia="仿宋_GB2312" w:cs="仿宋_GB2312"/>
          <w:b w:val="0"/>
          <w:bCs w:val="0"/>
          <w:color w:val="auto"/>
          <w:sz w:val="32"/>
          <w:szCs w:val="32"/>
        </w:rPr>
        <w:t>受区人民政府委托，现将我区2024年预算执行情况和2025年预算草案报告如下，请予审议。</w:t>
      </w:r>
    </w:p>
    <w:p w14:paraId="7E1C272F">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一、2024年预算执行情况</w:t>
      </w:r>
    </w:p>
    <w:p w14:paraId="267D144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cs="仿宋_GB2312"/>
          <w:b w:val="0"/>
          <w:bCs w:val="0"/>
          <w:color w:val="auto"/>
          <w:sz w:val="32"/>
          <w:szCs w:val="32"/>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2024年是新中国成立75周年，</w:t>
      </w:r>
      <w:r>
        <w:rPr>
          <w:rFonts w:hint="eastAsia" w:ascii="仿宋_GB2312" w:hAnsi="仿宋_GB2312" w:eastAsia="仿宋_GB2312" w:cs="仿宋_GB2312"/>
          <w:b w:val="0"/>
          <w:bCs w:val="0"/>
          <w:color w:val="auto"/>
          <w:kern w:val="0"/>
          <w:sz w:val="32"/>
          <w:szCs w:val="32"/>
          <w:highlight w:val="none"/>
          <w:u w:val="none" w:color="auto"/>
          <w:lang w:val="en-US" w:eastAsia="zh-CN"/>
        </w:rPr>
        <w:t>是实现“十四五”规划任务目标的关键一年</w:t>
      </w:r>
      <w:r>
        <w:rPr>
          <w:rFonts w:hint="eastAsia" w:ascii="仿宋_GB2312" w:hAnsi="仿宋_GB2312" w:eastAsia="仿宋_GB2312" w:cs="仿宋_GB2312"/>
          <w:b w:val="0"/>
          <w:bCs w:val="0"/>
          <w:color w:val="auto"/>
          <w:kern w:val="2"/>
          <w:sz w:val="32"/>
          <w:szCs w:val="32"/>
          <w:highlight w:val="none"/>
          <w:lang w:val="en-US" w:eastAsia="zh-CN" w:bidi="ar-SA"/>
        </w:rPr>
        <w:t>，我区坚持</w:t>
      </w:r>
      <w:r>
        <w:rPr>
          <w:rFonts w:hint="eastAsia" w:ascii="仿宋_GB2312" w:hAnsi="仿宋_GB2312" w:eastAsia="仿宋_GB2312" w:cs="仿宋_GB2312"/>
          <w:b w:val="0"/>
          <w:bCs w:val="0"/>
          <w:color w:val="auto"/>
          <w:kern w:val="0"/>
          <w:sz w:val="32"/>
          <w:szCs w:val="32"/>
          <w:highlight w:val="none"/>
          <w:u w:val="none" w:color="auto"/>
          <w:lang w:val="en-US" w:eastAsia="zh-CN"/>
        </w:rPr>
        <w:t>全面</w:t>
      </w:r>
      <w:r>
        <w:rPr>
          <w:rFonts w:hint="eastAsia" w:ascii="仿宋_GB2312" w:hAnsi="仿宋_GB2312" w:eastAsia="仿宋_GB2312" w:cs="仿宋_GB2312"/>
          <w:b w:val="0"/>
          <w:bCs w:val="0"/>
          <w:color w:val="auto"/>
          <w:spacing w:val="0"/>
          <w:kern w:val="0"/>
          <w:sz w:val="32"/>
          <w:szCs w:val="32"/>
          <w:highlight w:val="none"/>
          <w:u w:val="none" w:color="auto"/>
          <w:lang w:eastAsia="zh-CN"/>
        </w:rPr>
        <w:t>学习贯彻党的二十大</w:t>
      </w:r>
      <w:r>
        <w:rPr>
          <w:rFonts w:hint="eastAsia" w:ascii="仿宋_GB2312" w:hAnsi="仿宋_GB2312" w:eastAsia="仿宋_GB2312" w:cs="仿宋_GB2312"/>
          <w:b w:val="0"/>
          <w:bCs w:val="0"/>
          <w:color w:val="auto"/>
          <w:spacing w:val="0"/>
          <w:kern w:val="0"/>
          <w:sz w:val="32"/>
          <w:szCs w:val="32"/>
          <w:highlight w:val="none"/>
          <w:u w:val="none" w:color="auto"/>
          <w:lang w:val="en-US" w:eastAsia="zh-CN"/>
        </w:rPr>
        <w:t>和二十届二中、三中全会精神，深入贯彻落实习近平总书记视察广东重要讲话、重要指示精神，</w:t>
      </w:r>
      <w:r>
        <w:rPr>
          <w:rFonts w:hint="eastAsia" w:ascii="仿宋_GB2312" w:hAnsi="仿宋_GB2312" w:cs="仿宋_GB2312"/>
          <w:color w:val="auto"/>
          <w:kern w:val="0"/>
          <w:szCs w:val="32"/>
          <w:highlight w:val="none"/>
          <w:u w:val="none" w:color="auto"/>
        </w:rPr>
        <w:t>聚焦全面落实“三新一高”，持续落实省委“1310”具体部署、市委“1312”思路举措，锚定“十二个之进”深入推进粤港澳大湾区建设</w:t>
      </w:r>
      <w:r>
        <w:rPr>
          <w:rFonts w:hint="eastAsia" w:ascii="仿宋_GB2312" w:hAnsi="仿宋_GB2312" w:eastAsia="仿宋_GB2312" w:cs="仿宋_GB2312"/>
          <w:b w:val="0"/>
          <w:bCs w:val="0"/>
          <w:color w:val="auto"/>
          <w:spacing w:val="0"/>
          <w:kern w:val="0"/>
          <w:sz w:val="32"/>
          <w:szCs w:val="32"/>
          <w:highlight w:val="none"/>
          <w:u w:val="none" w:color="auto"/>
          <w:lang w:val="en-US" w:eastAsia="zh-CN"/>
        </w:rPr>
        <w:t>和区委“十二个方面走在前列、争当示范”重点任务</w:t>
      </w:r>
      <w:r>
        <w:rPr>
          <w:rFonts w:hint="eastAsia" w:ascii="仿宋_GB2312" w:hAnsi="仿宋_GB2312" w:eastAsia="仿宋_GB2312" w:cs="仿宋_GB2312"/>
          <w:b w:val="0"/>
          <w:bCs w:val="0"/>
          <w:color w:val="auto"/>
          <w:kern w:val="2"/>
          <w:sz w:val="32"/>
          <w:szCs w:val="32"/>
          <w:highlight w:val="none"/>
          <w:lang w:val="en-US" w:eastAsia="zh-CN" w:bidi="ar-SA"/>
        </w:rPr>
        <w:t>，坚持积极的财政政策适度加力、提质增效，加大财政政策力度，加强重点领域保障，积极防范化解风险，促进经济持续回升向好。区第十八届人大四次会议</w:t>
      </w:r>
      <w:r>
        <w:rPr>
          <w:rFonts w:hint="eastAsia" w:ascii="仿宋_GB2312" w:hAnsi="仿宋_GB2312" w:cs="仿宋_GB2312"/>
          <w:b w:val="0"/>
          <w:bCs w:val="0"/>
          <w:color w:val="auto"/>
          <w:kern w:val="2"/>
          <w:sz w:val="32"/>
          <w:szCs w:val="32"/>
          <w:highlight w:val="none"/>
          <w:lang w:val="en-US" w:eastAsia="zh-CN" w:bidi="ar-SA"/>
        </w:rPr>
        <w:t>批准</w:t>
      </w:r>
      <w:r>
        <w:rPr>
          <w:rFonts w:hint="eastAsia" w:ascii="仿宋_GB2312" w:hAnsi="仿宋_GB2312" w:eastAsia="仿宋_GB2312" w:cs="仿宋_GB2312"/>
          <w:b w:val="0"/>
          <w:bCs w:val="0"/>
          <w:color w:val="auto"/>
          <w:kern w:val="2"/>
          <w:sz w:val="32"/>
          <w:szCs w:val="32"/>
          <w:highlight w:val="none"/>
          <w:lang w:val="en-US" w:eastAsia="zh-CN" w:bidi="ar-SA"/>
        </w:rPr>
        <w:t>的预算和第十八届人大常委会三十三次、第十八届人大常委会三十七次会议</w:t>
      </w:r>
      <w:r>
        <w:rPr>
          <w:rFonts w:hint="eastAsia" w:ascii="仿宋_GB2312" w:hAnsi="仿宋_GB2312" w:cs="仿宋_GB2312"/>
          <w:b w:val="0"/>
          <w:bCs w:val="0"/>
          <w:color w:val="auto"/>
          <w:kern w:val="2"/>
          <w:sz w:val="32"/>
          <w:szCs w:val="32"/>
          <w:highlight w:val="none"/>
          <w:lang w:val="en-US" w:eastAsia="zh-CN" w:bidi="ar-SA"/>
        </w:rPr>
        <w:t>批准</w:t>
      </w:r>
      <w:r>
        <w:rPr>
          <w:rFonts w:hint="eastAsia" w:ascii="仿宋_GB2312" w:hAnsi="仿宋_GB2312" w:eastAsia="仿宋_GB2312" w:cs="仿宋_GB2312"/>
          <w:b w:val="0"/>
          <w:bCs w:val="0"/>
          <w:color w:val="auto"/>
          <w:kern w:val="2"/>
          <w:sz w:val="32"/>
          <w:szCs w:val="32"/>
          <w:highlight w:val="none"/>
          <w:lang w:val="en-US" w:eastAsia="zh-CN" w:bidi="ar-SA"/>
        </w:rPr>
        <w:t>的预算调整方案执行情况良好。具体执行情况如下:</w:t>
      </w:r>
    </w:p>
    <w:p w14:paraId="72BC18C6">
      <w:pPr>
        <w:keepNext w:val="0"/>
        <w:keepLines w:val="0"/>
        <w:pageBreakBefore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（一）一般公共预算执行情况</w:t>
      </w:r>
      <w:r>
        <w:rPr>
          <w:rStyle w:val="18"/>
          <w:rFonts w:hint="eastAsia" w:ascii="楷体_GB2312" w:hAnsi="楷体_GB2312" w:eastAsia="楷体_GB2312" w:cs="楷体_GB2312"/>
          <w:b w:val="0"/>
          <w:bCs w:val="0"/>
          <w:color w:val="auto"/>
          <w:sz w:val="32"/>
          <w:szCs w:val="32"/>
          <w:lang w:val="en-US" w:eastAsia="zh-CN"/>
        </w:rPr>
        <w:footnoteReference w:id="0"/>
      </w:r>
    </w:p>
    <w:p w14:paraId="42BCF7DF">
      <w:pPr>
        <w:keepNext w:val="0"/>
        <w:keepLines w:val="0"/>
        <w:pageBreakBefore w:val="0"/>
        <w:numPr>
          <w:ilvl w:val="0"/>
          <w:numId w:val="0"/>
        </w:numPr>
        <w:kinsoku/>
        <w:wordWrap/>
        <w:overflowPunct/>
        <w:topLinePunct w:val="0"/>
        <w:autoSpaceDE/>
        <w:autoSpaceDN/>
        <w:bidi w:val="0"/>
        <w:adjustRightInd/>
        <w:snapToGrid/>
        <w:spacing w:line="560" w:lineRule="exact"/>
        <w:ind w:leftChars="200" w:right="0" w:rightChars="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highlight w:val="none"/>
          <w:lang w:val="en-US" w:eastAsia="zh-CN"/>
        </w:rPr>
        <w:t>1.</w:t>
      </w:r>
      <w:r>
        <w:rPr>
          <w:rFonts w:hint="eastAsia" w:ascii="仿宋_GB2312" w:hAnsi="仿宋_GB2312" w:eastAsia="仿宋_GB2312" w:cs="仿宋_GB2312"/>
          <w:b/>
          <w:bCs/>
          <w:color w:val="auto"/>
          <w:sz w:val="32"/>
          <w:szCs w:val="32"/>
          <w:highlight w:val="none"/>
        </w:rPr>
        <w:t>收入执行情况</w:t>
      </w:r>
    </w:p>
    <w:p w14:paraId="0C6CBBA5">
      <w:pPr>
        <w:pStyle w:val="2"/>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2024年全区</w:t>
      </w:r>
      <w:r>
        <w:rPr>
          <w:rFonts w:hint="eastAsia" w:ascii="仿宋_GB2312" w:hAnsi="仿宋_GB2312" w:eastAsia="仿宋_GB2312" w:cs="仿宋_GB2312"/>
          <w:b w:val="0"/>
          <w:bCs w:val="0"/>
          <w:color w:val="auto"/>
          <w:sz w:val="32"/>
          <w:szCs w:val="32"/>
          <w:highlight w:val="none"/>
        </w:rPr>
        <w:t>一般公共预算收入</w:t>
      </w:r>
      <w:r>
        <w:rPr>
          <w:rFonts w:hint="eastAsia" w:ascii="仿宋_GB2312" w:hAnsi="仿宋_GB2312" w:eastAsia="仿宋_GB2312" w:cs="仿宋_GB2312"/>
          <w:b w:val="0"/>
          <w:bCs w:val="0"/>
          <w:color w:val="auto"/>
          <w:sz w:val="32"/>
          <w:szCs w:val="32"/>
          <w:highlight w:val="none"/>
          <w:lang w:val="en-US" w:eastAsia="zh-CN"/>
        </w:rPr>
        <w:t>1,196,119</w:t>
      </w:r>
      <w:r>
        <w:rPr>
          <w:rFonts w:hint="eastAsia" w:ascii="仿宋_GB2312" w:hAnsi="仿宋_GB2312" w:eastAsia="仿宋_GB2312" w:cs="仿宋_GB2312"/>
          <w:b w:val="0"/>
          <w:bCs w:val="0"/>
          <w:color w:val="auto"/>
          <w:sz w:val="32"/>
          <w:szCs w:val="32"/>
          <w:highlight w:val="none"/>
        </w:rPr>
        <w:t>万元，完成年</w:t>
      </w:r>
      <w:r>
        <w:rPr>
          <w:rFonts w:hint="eastAsia" w:ascii="仿宋_GB2312" w:hAnsi="仿宋_GB2312" w:eastAsia="仿宋_GB2312" w:cs="仿宋_GB2312"/>
          <w:b w:val="0"/>
          <w:bCs w:val="0"/>
          <w:color w:val="auto"/>
          <w:sz w:val="32"/>
          <w:szCs w:val="32"/>
          <w:highlight w:val="none"/>
          <w:lang w:val="en-US" w:eastAsia="zh-CN"/>
        </w:rPr>
        <w:t>度</w:t>
      </w:r>
      <w:r>
        <w:rPr>
          <w:rFonts w:hint="eastAsia" w:ascii="仿宋_GB2312" w:hAnsi="仿宋_GB2312" w:eastAsia="仿宋_GB2312" w:cs="仿宋_GB2312"/>
          <w:b w:val="0"/>
          <w:bCs w:val="0"/>
          <w:color w:val="auto"/>
          <w:sz w:val="32"/>
          <w:szCs w:val="32"/>
          <w:highlight w:val="none"/>
        </w:rPr>
        <w:t>预算的</w:t>
      </w:r>
      <w:r>
        <w:rPr>
          <w:rFonts w:hint="eastAsia" w:ascii="仿宋_GB2312" w:hAnsi="仿宋_GB2312" w:eastAsia="仿宋_GB2312" w:cs="仿宋_GB2312"/>
          <w:b w:val="0"/>
          <w:bCs w:val="0"/>
          <w:color w:val="auto"/>
          <w:sz w:val="32"/>
          <w:szCs w:val="32"/>
          <w:highlight w:val="none"/>
          <w:lang w:val="en-US" w:eastAsia="zh-CN"/>
        </w:rPr>
        <w:t>100.02%，比2023年增收12,099万元，增长1.02%。</w:t>
      </w:r>
      <w:r>
        <w:rPr>
          <w:rFonts w:hint="eastAsia" w:ascii="仿宋_GB2312" w:hAnsi="仿宋_GB2312" w:eastAsia="仿宋_GB2312" w:cs="仿宋_GB2312"/>
          <w:b w:val="0"/>
          <w:bCs w:val="0"/>
          <w:color w:val="auto"/>
          <w:sz w:val="32"/>
          <w:szCs w:val="32"/>
          <w:highlight w:val="none"/>
        </w:rPr>
        <w:t>其中：税收收入832</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rPr>
        <w:t>465万元，同比</w:t>
      </w:r>
      <w:r>
        <w:rPr>
          <w:rFonts w:hint="eastAsia" w:ascii="仿宋_GB2312" w:hAnsi="仿宋_GB2312" w:eastAsia="仿宋_GB2312" w:cs="仿宋_GB2312"/>
          <w:b w:val="0"/>
          <w:bCs w:val="0"/>
          <w:color w:val="auto"/>
          <w:sz w:val="32"/>
          <w:szCs w:val="32"/>
          <w:highlight w:val="none"/>
          <w:lang w:val="en-US" w:eastAsia="zh-CN"/>
        </w:rPr>
        <w:t>增</w:t>
      </w:r>
      <w:r>
        <w:rPr>
          <w:rFonts w:hint="eastAsia" w:ascii="仿宋_GB2312" w:hAnsi="仿宋_GB2312" w:eastAsia="仿宋_GB2312" w:cs="仿宋_GB2312"/>
          <w:b w:val="0"/>
          <w:bCs w:val="0"/>
          <w:color w:val="auto"/>
          <w:sz w:val="32"/>
          <w:szCs w:val="32"/>
          <w:highlight w:val="none"/>
        </w:rPr>
        <w:t>收</w:t>
      </w:r>
      <w:r>
        <w:rPr>
          <w:rFonts w:hint="eastAsia" w:ascii="仿宋_GB2312" w:hAnsi="仿宋_GB2312" w:eastAsia="仿宋_GB2312" w:cs="仿宋_GB2312"/>
          <w:b w:val="0"/>
          <w:bCs w:val="0"/>
          <w:color w:val="auto"/>
          <w:sz w:val="32"/>
          <w:szCs w:val="32"/>
          <w:highlight w:val="none"/>
          <w:lang w:val="en-US" w:eastAsia="zh-CN"/>
        </w:rPr>
        <w:t>13,248</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增长1.62%</w:t>
      </w:r>
      <w:r>
        <w:rPr>
          <w:rFonts w:hint="eastAsia" w:ascii="仿宋_GB2312" w:hAnsi="仿宋_GB2312" w:eastAsia="仿宋_GB2312" w:cs="仿宋_GB2312"/>
          <w:b w:val="0"/>
          <w:bCs w:val="0"/>
          <w:color w:val="auto"/>
          <w:sz w:val="32"/>
          <w:szCs w:val="32"/>
          <w:highlight w:val="none"/>
        </w:rPr>
        <w:t>；非税收入</w:t>
      </w:r>
      <w:r>
        <w:rPr>
          <w:rFonts w:hint="eastAsia" w:ascii="仿宋_GB2312" w:hAnsi="仿宋_GB2312" w:eastAsia="仿宋_GB2312" w:cs="仿宋_GB2312"/>
          <w:b w:val="0"/>
          <w:bCs w:val="0"/>
          <w:color w:val="auto"/>
          <w:sz w:val="32"/>
          <w:szCs w:val="32"/>
          <w:highlight w:val="none"/>
          <w:lang w:val="en-US" w:eastAsia="zh-CN"/>
        </w:rPr>
        <w:t>363,654</w:t>
      </w:r>
      <w:r>
        <w:rPr>
          <w:rFonts w:hint="eastAsia" w:ascii="仿宋_GB2312" w:hAnsi="仿宋_GB2312" w:eastAsia="仿宋_GB2312" w:cs="仿宋_GB2312"/>
          <w:b w:val="0"/>
          <w:bCs w:val="0"/>
          <w:color w:val="auto"/>
          <w:sz w:val="32"/>
          <w:szCs w:val="32"/>
          <w:highlight w:val="none"/>
        </w:rPr>
        <w:t>万元，同比</w:t>
      </w:r>
      <w:r>
        <w:rPr>
          <w:rFonts w:hint="eastAsia" w:ascii="仿宋_GB2312" w:hAnsi="仿宋_GB2312" w:eastAsia="仿宋_GB2312" w:cs="仿宋_GB2312"/>
          <w:b w:val="0"/>
          <w:bCs w:val="0"/>
          <w:color w:val="auto"/>
          <w:sz w:val="32"/>
          <w:szCs w:val="32"/>
          <w:highlight w:val="none"/>
          <w:lang w:val="en-US" w:eastAsia="zh-CN"/>
        </w:rPr>
        <w:t>减</w:t>
      </w:r>
      <w:r>
        <w:rPr>
          <w:rFonts w:hint="eastAsia" w:ascii="仿宋_GB2312" w:hAnsi="仿宋_GB2312" w:eastAsia="仿宋_GB2312" w:cs="仿宋_GB2312"/>
          <w:b w:val="0"/>
          <w:bCs w:val="0"/>
          <w:color w:val="auto"/>
          <w:sz w:val="32"/>
          <w:szCs w:val="32"/>
          <w:highlight w:val="none"/>
        </w:rPr>
        <w:t>收</w:t>
      </w:r>
      <w:r>
        <w:rPr>
          <w:rFonts w:hint="eastAsia" w:ascii="仿宋_GB2312" w:hAnsi="仿宋_GB2312" w:eastAsia="仿宋_GB2312" w:cs="仿宋_GB2312"/>
          <w:b w:val="0"/>
          <w:bCs w:val="0"/>
          <w:color w:val="auto"/>
          <w:sz w:val="32"/>
          <w:szCs w:val="32"/>
          <w:highlight w:val="none"/>
          <w:lang w:val="en-US" w:eastAsia="zh-CN"/>
        </w:rPr>
        <w:t>1,149</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下降</w:t>
      </w:r>
      <w:r>
        <w:rPr>
          <w:rFonts w:hint="eastAsia" w:ascii="仿宋_GB2312" w:hAnsi="仿宋_GB2312" w:eastAsia="仿宋_GB2312" w:cs="仿宋_GB2312"/>
          <w:b w:val="0"/>
          <w:bCs w:val="0"/>
          <w:color w:val="auto"/>
          <w:sz w:val="32"/>
          <w:szCs w:val="32"/>
          <w:highlight w:val="none"/>
          <w:lang w:val="en-US" w:eastAsia="zh-CN"/>
        </w:rPr>
        <w:t>0.32</w:t>
      </w:r>
      <w:r>
        <w:rPr>
          <w:rFonts w:hint="eastAsia" w:ascii="仿宋_GB2312" w:hAnsi="仿宋_GB2312" w:eastAsia="仿宋_GB2312" w:cs="仿宋_GB2312"/>
          <w:b w:val="0"/>
          <w:bCs w:val="0"/>
          <w:color w:val="auto"/>
          <w:sz w:val="32"/>
          <w:szCs w:val="32"/>
          <w:highlight w:val="none"/>
        </w:rPr>
        <w:t>%。加上上级补助收入</w:t>
      </w:r>
      <w:r>
        <w:rPr>
          <w:rFonts w:hint="eastAsia" w:ascii="仿宋_GB2312" w:hAnsi="仿宋_GB2312" w:eastAsia="仿宋_GB2312" w:cs="仿宋_GB2312"/>
          <w:b w:val="0"/>
          <w:bCs w:val="0"/>
          <w:color w:val="auto"/>
          <w:sz w:val="32"/>
          <w:szCs w:val="32"/>
          <w:highlight w:val="none"/>
          <w:lang w:val="en-US" w:eastAsia="zh-CN"/>
        </w:rPr>
        <w:t>681,390</w:t>
      </w:r>
      <w:r>
        <w:rPr>
          <w:rFonts w:hint="eastAsia" w:ascii="仿宋_GB2312" w:hAnsi="仿宋_GB2312" w:eastAsia="仿宋_GB2312" w:cs="仿宋_GB2312"/>
          <w:b w:val="0"/>
          <w:bCs w:val="0"/>
          <w:color w:val="auto"/>
          <w:sz w:val="32"/>
          <w:szCs w:val="32"/>
          <w:highlight w:val="none"/>
        </w:rPr>
        <w:t>万元、动用预算稳定调节基金</w:t>
      </w:r>
      <w:r>
        <w:rPr>
          <w:rFonts w:hint="eastAsia" w:ascii="仿宋_GB2312" w:hAnsi="仿宋_GB2312" w:eastAsia="仿宋_GB2312" w:cs="仿宋_GB2312"/>
          <w:b w:val="0"/>
          <w:bCs w:val="0"/>
          <w:color w:val="auto"/>
          <w:sz w:val="32"/>
          <w:szCs w:val="32"/>
          <w:highlight w:val="none"/>
          <w:lang w:val="en-US" w:eastAsia="zh-CN"/>
        </w:rPr>
        <w:t>39,012</w:t>
      </w:r>
      <w:r>
        <w:rPr>
          <w:rFonts w:hint="eastAsia" w:ascii="仿宋_GB2312" w:hAnsi="仿宋_GB2312" w:eastAsia="仿宋_GB2312" w:cs="仿宋_GB2312"/>
          <w:b w:val="0"/>
          <w:bCs w:val="0"/>
          <w:color w:val="auto"/>
          <w:sz w:val="32"/>
          <w:szCs w:val="32"/>
          <w:highlight w:val="none"/>
        </w:rPr>
        <w:t>万元、调入资金</w:t>
      </w:r>
      <w:r>
        <w:rPr>
          <w:rFonts w:hint="eastAsia" w:ascii="仿宋_GB2312" w:hAnsi="仿宋_GB2312" w:cs="仿宋_GB2312"/>
          <w:b w:val="0"/>
          <w:bCs w:val="0"/>
          <w:color w:val="auto"/>
          <w:sz w:val="32"/>
          <w:szCs w:val="32"/>
          <w:highlight w:val="none"/>
          <w:lang w:val="en-US" w:eastAsia="zh-CN"/>
        </w:rPr>
        <w:t>159,290</w:t>
      </w:r>
      <w:r>
        <w:rPr>
          <w:rFonts w:hint="eastAsia" w:ascii="仿宋_GB2312" w:hAnsi="仿宋_GB2312" w:eastAsia="仿宋_GB2312" w:cs="仿宋_GB2312"/>
          <w:b w:val="0"/>
          <w:bCs w:val="0"/>
          <w:color w:val="auto"/>
          <w:sz w:val="32"/>
          <w:szCs w:val="32"/>
          <w:highlight w:val="none"/>
        </w:rPr>
        <w:t>万元、上年</w:t>
      </w:r>
      <w:r>
        <w:rPr>
          <w:rFonts w:hint="eastAsia" w:ascii="仿宋_GB2312" w:hAnsi="仿宋_GB2312" w:eastAsia="仿宋_GB2312" w:cs="仿宋_GB2312"/>
          <w:b w:val="0"/>
          <w:bCs w:val="0"/>
          <w:color w:val="auto"/>
          <w:sz w:val="32"/>
          <w:szCs w:val="32"/>
          <w:highlight w:val="none"/>
          <w:lang w:val="en-US" w:eastAsia="zh-CN"/>
        </w:rPr>
        <w:t>区镇年终</w:t>
      </w:r>
      <w:r>
        <w:rPr>
          <w:rFonts w:hint="eastAsia" w:ascii="仿宋_GB2312" w:hAnsi="仿宋_GB2312" w:eastAsia="仿宋_GB2312" w:cs="仿宋_GB2312"/>
          <w:b w:val="0"/>
          <w:bCs w:val="0"/>
          <w:color w:val="auto"/>
          <w:sz w:val="32"/>
          <w:szCs w:val="32"/>
          <w:highlight w:val="none"/>
        </w:rPr>
        <w:t>结转</w:t>
      </w:r>
      <w:r>
        <w:rPr>
          <w:rFonts w:hint="eastAsia" w:ascii="仿宋_GB2312" w:hAnsi="仿宋_GB2312" w:eastAsia="仿宋_GB2312" w:cs="仿宋_GB2312"/>
          <w:b w:val="0"/>
          <w:bCs w:val="0"/>
          <w:color w:val="auto"/>
          <w:sz w:val="32"/>
          <w:szCs w:val="32"/>
          <w:highlight w:val="none"/>
          <w:lang w:val="en-US" w:eastAsia="zh-CN"/>
        </w:rPr>
        <w:t>结余99,673</w:t>
      </w:r>
      <w:r>
        <w:rPr>
          <w:rFonts w:hint="eastAsia" w:ascii="仿宋_GB2312" w:hAnsi="仿宋_GB2312" w:eastAsia="仿宋_GB2312" w:cs="仿宋_GB2312"/>
          <w:b w:val="0"/>
          <w:bCs w:val="0"/>
          <w:color w:val="auto"/>
          <w:sz w:val="32"/>
          <w:szCs w:val="32"/>
          <w:highlight w:val="none"/>
        </w:rPr>
        <w:t>万元、一般债务转贷收入</w:t>
      </w:r>
      <w:r>
        <w:rPr>
          <w:rFonts w:hint="eastAsia" w:ascii="仿宋_GB2312" w:hAnsi="仿宋_GB2312" w:eastAsia="仿宋_GB2312" w:cs="仿宋_GB2312"/>
          <w:b w:val="0"/>
          <w:bCs w:val="0"/>
          <w:color w:val="auto"/>
          <w:sz w:val="32"/>
          <w:szCs w:val="32"/>
          <w:highlight w:val="none"/>
          <w:lang w:val="en-US" w:eastAsia="zh-CN"/>
        </w:rPr>
        <w:t>32,756</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后</w:t>
      </w: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年一般公共预算总收入</w:t>
      </w:r>
      <w:r>
        <w:rPr>
          <w:rFonts w:hint="eastAsia" w:ascii="仿宋_GB2312" w:hAnsi="仿宋_GB2312" w:cs="仿宋_GB2312"/>
          <w:b w:val="0"/>
          <w:bCs w:val="0"/>
          <w:color w:val="auto"/>
          <w:sz w:val="32"/>
          <w:szCs w:val="32"/>
          <w:highlight w:val="none"/>
          <w:lang w:val="en-US" w:eastAsia="zh-CN"/>
        </w:rPr>
        <w:t>2,208,240</w:t>
      </w:r>
      <w:r>
        <w:rPr>
          <w:rFonts w:hint="eastAsia" w:ascii="仿宋_GB2312" w:hAnsi="仿宋_GB2312" w:eastAsia="仿宋_GB2312" w:cs="仿宋_GB2312"/>
          <w:b w:val="0"/>
          <w:bCs w:val="0"/>
          <w:color w:val="auto"/>
          <w:sz w:val="32"/>
          <w:szCs w:val="32"/>
          <w:highlight w:val="none"/>
        </w:rPr>
        <w:t>万元。</w:t>
      </w:r>
    </w:p>
    <w:p w14:paraId="317366CE">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主要收入项目执行情况，税收收入方面：增值税收入</w:t>
      </w:r>
      <w:r>
        <w:rPr>
          <w:rFonts w:hint="eastAsia" w:ascii="仿宋_GB2312" w:hAnsi="仿宋_GB2312" w:eastAsia="仿宋_GB2312" w:cs="仿宋_GB2312"/>
          <w:b w:val="0"/>
          <w:bCs w:val="0"/>
          <w:color w:val="auto"/>
          <w:sz w:val="32"/>
          <w:szCs w:val="32"/>
          <w:highlight w:val="none"/>
          <w:lang w:val="en-US" w:eastAsia="zh-CN"/>
        </w:rPr>
        <w:t>346,327</w:t>
      </w:r>
      <w:r>
        <w:rPr>
          <w:rFonts w:hint="eastAsia" w:ascii="仿宋_GB2312" w:hAnsi="仿宋_GB2312" w:eastAsia="仿宋_GB2312" w:cs="仿宋_GB2312"/>
          <w:b w:val="0"/>
          <w:bCs w:val="0"/>
          <w:color w:val="auto"/>
          <w:sz w:val="32"/>
          <w:szCs w:val="32"/>
          <w:highlight w:val="none"/>
        </w:rPr>
        <w:t>万元，企业所得税收入</w:t>
      </w:r>
      <w:r>
        <w:rPr>
          <w:rFonts w:hint="eastAsia" w:ascii="仿宋_GB2312" w:hAnsi="仿宋_GB2312" w:eastAsia="仿宋_GB2312" w:cs="仿宋_GB2312"/>
          <w:b w:val="0"/>
          <w:bCs w:val="0"/>
          <w:color w:val="auto"/>
          <w:sz w:val="32"/>
          <w:szCs w:val="32"/>
          <w:highlight w:val="none"/>
          <w:lang w:val="en-US" w:eastAsia="zh-CN"/>
        </w:rPr>
        <w:t>184,407</w:t>
      </w:r>
      <w:r>
        <w:rPr>
          <w:rFonts w:hint="eastAsia" w:ascii="仿宋_GB2312" w:hAnsi="仿宋_GB2312" w:eastAsia="仿宋_GB2312" w:cs="仿宋_GB2312"/>
          <w:b w:val="0"/>
          <w:bCs w:val="0"/>
          <w:color w:val="auto"/>
          <w:sz w:val="32"/>
          <w:szCs w:val="32"/>
          <w:highlight w:val="none"/>
        </w:rPr>
        <w:t>万元，城市维护建设税收入</w:t>
      </w:r>
      <w:r>
        <w:rPr>
          <w:rFonts w:hint="eastAsia" w:ascii="仿宋_GB2312" w:hAnsi="仿宋_GB2312" w:eastAsia="仿宋_GB2312" w:cs="仿宋_GB2312"/>
          <w:b w:val="0"/>
          <w:bCs w:val="0"/>
          <w:color w:val="auto"/>
          <w:sz w:val="32"/>
          <w:szCs w:val="32"/>
          <w:highlight w:val="none"/>
          <w:lang w:val="en-US" w:eastAsia="zh-CN"/>
        </w:rPr>
        <w:t>90,718</w:t>
      </w:r>
      <w:r>
        <w:rPr>
          <w:rFonts w:hint="eastAsia" w:ascii="仿宋_GB2312" w:hAnsi="仿宋_GB2312" w:eastAsia="仿宋_GB2312" w:cs="仿宋_GB2312"/>
          <w:b w:val="0"/>
          <w:bCs w:val="0"/>
          <w:color w:val="auto"/>
          <w:sz w:val="32"/>
          <w:szCs w:val="32"/>
          <w:highlight w:val="none"/>
        </w:rPr>
        <w:t>万元，房产税收入</w:t>
      </w:r>
      <w:r>
        <w:rPr>
          <w:rFonts w:hint="eastAsia" w:ascii="仿宋_GB2312" w:hAnsi="仿宋_GB2312" w:eastAsia="仿宋_GB2312" w:cs="仿宋_GB2312"/>
          <w:b w:val="0"/>
          <w:bCs w:val="0"/>
          <w:color w:val="auto"/>
          <w:sz w:val="32"/>
          <w:szCs w:val="32"/>
          <w:highlight w:val="none"/>
          <w:lang w:val="en-US" w:eastAsia="zh-CN"/>
        </w:rPr>
        <w:t>124,354</w:t>
      </w:r>
      <w:r>
        <w:rPr>
          <w:rFonts w:hint="eastAsia" w:ascii="仿宋_GB2312" w:hAnsi="仿宋_GB2312" w:eastAsia="仿宋_GB2312" w:cs="仿宋_GB2312"/>
          <w:b w:val="0"/>
          <w:bCs w:val="0"/>
          <w:color w:val="auto"/>
          <w:sz w:val="32"/>
          <w:szCs w:val="32"/>
          <w:highlight w:val="none"/>
        </w:rPr>
        <w:t>万元，印花税收入</w:t>
      </w:r>
      <w:r>
        <w:rPr>
          <w:rFonts w:hint="eastAsia" w:ascii="仿宋_GB2312" w:hAnsi="仿宋_GB2312" w:eastAsia="仿宋_GB2312" w:cs="仿宋_GB2312"/>
          <w:b w:val="0"/>
          <w:bCs w:val="0"/>
          <w:color w:val="auto"/>
          <w:sz w:val="32"/>
          <w:szCs w:val="32"/>
          <w:highlight w:val="none"/>
          <w:lang w:val="en-US" w:eastAsia="zh-CN"/>
        </w:rPr>
        <w:t>44,491</w:t>
      </w:r>
      <w:r>
        <w:rPr>
          <w:rFonts w:hint="eastAsia" w:ascii="仿宋_GB2312" w:hAnsi="仿宋_GB2312" w:eastAsia="仿宋_GB2312" w:cs="仿宋_GB2312"/>
          <w:b w:val="0"/>
          <w:bCs w:val="0"/>
          <w:color w:val="auto"/>
          <w:sz w:val="32"/>
          <w:szCs w:val="32"/>
          <w:highlight w:val="none"/>
        </w:rPr>
        <w:t>万元，城镇土地使用税收入</w:t>
      </w:r>
      <w:r>
        <w:rPr>
          <w:rFonts w:hint="eastAsia" w:ascii="仿宋_GB2312" w:hAnsi="仿宋_GB2312" w:eastAsia="仿宋_GB2312" w:cs="仿宋_GB2312"/>
          <w:b w:val="0"/>
          <w:bCs w:val="0"/>
          <w:color w:val="auto"/>
          <w:sz w:val="32"/>
          <w:szCs w:val="32"/>
          <w:highlight w:val="none"/>
          <w:lang w:val="en-US" w:eastAsia="zh-CN"/>
        </w:rPr>
        <w:t>10,604</w:t>
      </w:r>
      <w:r>
        <w:rPr>
          <w:rFonts w:hint="eastAsia" w:ascii="仿宋_GB2312" w:hAnsi="仿宋_GB2312" w:eastAsia="仿宋_GB2312" w:cs="仿宋_GB2312"/>
          <w:b w:val="0"/>
          <w:bCs w:val="0"/>
          <w:color w:val="auto"/>
          <w:sz w:val="32"/>
          <w:szCs w:val="32"/>
          <w:highlight w:val="none"/>
        </w:rPr>
        <w:t>万元，车船税收入</w:t>
      </w:r>
      <w:r>
        <w:rPr>
          <w:rFonts w:hint="eastAsia" w:ascii="仿宋_GB2312" w:hAnsi="仿宋_GB2312" w:eastAsia="仿宋_GB2312" w:cs="仿宋_GB2312"/>
          <w:b w:val="0"/>
          <w:bCs w:val="0"/>
          <w:color w:val="auto"/>
          <w:sz w:val="32"/>
          <w:szCs w:val="32"/>
          <w:highlight w:val="none"/>
          <w:lang w:val="en-US" w:eastAsia="zh-CN"/>
        </w:rPr>
        <w:t>22,983</w:t>
      </w:r>
      <w:r>
        <w:rPr>
          <w:rFonts w:hint="eastAsia" w:ascii="仿宋_GB2312" w:hAnsi="仿宋_GB2312" w:eastAsia="仿宋_GB2312" w:cs="仿宋_GB2312"/>
          <w:b w:val="0"/>
          <w:bCs w:val="0"/>
          <w:color w:val="auto"/>
          <w:sz w:val="32"/>
          <w:szCs w:val="32"/>
          <w:highlight w:val="none"/>
        </w:rPr>
        <w:t>万元，耕地占用税收入</w:t>
      </w:r>
      <w:r>
        <w:rPr>
          <w:rFonts w:hint="eastAsia" w:ascii="仿宋_GB2312" w:hAnsi="仿宋_GB2312" w:eastAsia="仿宋_GB2312" w:cs="仿宋_GB2312"/>
          <w:b w:val="0"/>
          <w:bCs w:val="0"/>
          <w:color w:val="auto"/>
          <w:sz w:val="32"/>
          <w:szCs w:val="32"/>
          <w:highlight w:val="none"/>
          <w:lang w:val="en-US" w:eastAsia="zh-CN"/>
        </w:rPr>
        <w:t>7,674</w:t>
      </w:r>
      <w:r>
        <w:rPr>
          <w:rFonts w:hint="eastAsia" w:ascii="仿宋_GB2312" w:hAnsi="仿宋_GB2312" w:eastAsia="仿宋_GB2312" w:cs="仿宋_GB2312"/>
          <w:b w:val="0"/>
          <w:bCs w:val="0"/>
          <w:color w:val="auto"/>
          <w:sz w:val="32"/>
          <w:szCs w:val="32"/>
          <w:highlight w:val="none"/>
        </w:rPr>
        <w:t>万元，环境保护税收入</w:t>
      </w:r>
      <w:r>
        <w:rPr>
          <w:rFonts w:hint="eastAsia" w:ascii="仿宋_GB2312" w:hAnsi="仿宋_GB2312" w:eastAsia="仿宋_GB2312" w:cs="仿宋_GB2312"/>
          <w:b w:val="0"/>
          <w:bCs w:val="0"/>
          <w:color w:val="auto"/>
          <w:sz w:val="32"/>
          <w:szCs w:val="32"/>
          <w:highlight w:val="none"/>
          <w:lang w:val="en-US" w:eastAsia="zh-CN"/>
        </w:rPr>
        <w:t>856</w:t>
      </w:r>
      <w:r>
        <w:rPr>
          <w:rFonts w:hint="eastAsia" w:ascii="仿宋_GB2312" w:hAnsi="仿宋_GB2312" w:eastAsia="仿宋_GB2312" w:cs="仿宋_GB2312"/>
          <w:b w:val="0"/>
          <w:bCs w:val="0"/>
          <w:color w:val="auto"/>
          <w:sz w:val="32"/>
          <w:szCs w:val="32"/>
          <w:highlight w:val="none"/>
        </w:rPr>
        <w:t>万元，其他税收收入</w:t>
      </w:r>
      <w:r>
        <w:rPr>
          <w:rFonts w:hint="eastAsia" w:ascii="仿宋_GB2312" w:hAnsi="仿宋_GB2312" w:eastAsia="仿宋_GB2312" w:cs="仿宋_GB2312"/>
          <w:b w:val="0"/>
          <w:bCs w:val="0"/>
          <w:color w:val="auto"/>
          <w:sz w:val="32"/>
          <w:szCs w:val="32"/>
          <w:highlight w:val="none"/>
          <w:lang w:val="en-US" w:eastAsia="zh-CN"/>
        </w:rPr>
        <w:t>51</w:t>
      </w:r>
      <w:r>
        <w:rPr>
          <w:rFonts w:hint="eastAsia" w:ascii="仿宋_GB2312" w:hAnsi="仿宋_GB2312" w:eastAsia="仿宋_GB2312" w:cs="仿宋_GB2312"/>
          <w:b w:val="0"/>
          <w:bCs w:val="0"/>
          <w:color w:val="auto"/>
          <w:sz w:val="32"/>
          <w:szCs w:val="32"/>
          <w:highlight w:val="none"/>
        </w:rPr>
        <w:t>万元。非税收入方面：专项收入</w:t>
      </w:r>
      <w:r>
        <w:rPr>
          <w:rFonts w:hint="eastAsia" w:ascii="仿宋_GB2312" w:hAnsi="仿宋_GB2312" w:eastAsia="仿宋_GB2312" w:cs="仿宋_GB2312"/>
          <w:b w:val="0"/>
          <w:bCs w:val="0"/>
          <w:color w:val="auto"/>
          <w:sz w:val="32"/>
          <w:szCs w:val="32"/>
          <w:highlight w:val="none"/>
          <w:lang w:val="en-US" w:eastAsia="zh-CN"/>
        </w:rPr>
        <w:t>76,944</w:t>
      </w:r>
      <w:r>
        <w:rPr>
          <w:rFonts w:hint="eastAsia" w:ascii="仿宋_GB2312" w:hAnsi="仿宋_GB2312" w:eastAsia="仿宋_GB2312" w:cs="仿宋_GB2312"/>
          <w:b w:val="0"/>
          <w:bCs w:val="0"/>
          <w:color w:val="auto"/>
          <w:sz w:val="32"/>
          <w:szCs w:val="32"/>
          <w:highlight w:val="none"/>
        </w:rPr>
        <w:t>万元，行政事业性收费收入</w:t>
      </w:r>
      <w:r>
        <w:rPr>
          <w:rFonts w:hint="eastAsia" w:ascii="仿宋_GB2312" w:hAnsi="仿宋_GB2312" w:eastAsia="仿宋_GB2312" w:cs="仿宋_GB2312"/>
          <w:b w:val="0"/>
          <w:bCs w:val="0"/>
          <w:color w:val="auto"/>
          <w:sz w:val="32"/>
          <w:szCs w:val="32"/>
          <w:highlight w:val="none"/>
          <w:lang w:val="en-US" w:eastAsia="zh-CN"/>
        </w:rPr>
        <w:t>17,837</w:t>
      </w:r>
      <w:r>
        <w:rPr>
          <w:rFonts w:hint="eastAsia" w:ascii="仿宋_GB2312" w:hAnsi="仿宋_GB2312" w:eastAsia="仿宋_GB2312" w:cs="仿宋_GB2312"/>
          <w:b w:val="0"/>
          <w:bCs w:val="0"/>
          <w:color w:val="auto"/>
          <w:sz w:val="32"/>
          <w:szCs w:val="32"/>
          <w:highlight w:val="none"/>
        </w:rPr>
        <w:t>万元，罚没收入</w:t>
      </w:r>
      <w:r>
        <w:rPr>
          <w:rFonts w:hint="eastAsia" w:ascii="仿宋_GB2312" w:hAnsi="仿宋_GB2312" w:eastAsia="仿宋_GB2312" w:cs="仿宋_GB2312"/>
          <w:b w:val="0"/>
          <w:bCs w:val="0"/>
          <w:color w:val="auto"/>
          <w:sz w:val="32"/>
          <w:szCs w:val="32"/>
          <w:highlight w:val="none"/>
          <w:lang w:val="en-US" w:eastAsia="zh-CN"/>
        </w:rPr>
        <w:t>63,119</w:t>
      </w:r>
      <w:r>
        <w:rPr>
          <w:rFonts w:hint="eastAsia" w:ascii="仿宋_GB2312" w:hAnsi="仿宋_GB2312" w:eastAsia="仿宋_GB2312" w:cs="仿宋_GB2312"/>
          <w:b w:val="0"/>
          <w:bCs w:val="0"/>
          <w:color w:val="auto"/>
          <w:sz w:val="32"/>
          <w:szCs w:val="32"/>
          <w:highlight w:val="none"/>
        </w:rPr>
        <w:t>万元，国有资源（资产）有偿使用收入</w:t>
      </w:r>
      <w:r>
        <w:rPr>
          <w:rFonts w:hint="eastAsia" w:ascii="仿宋_GB2312" w:hAnsi="仿宋_GB2312" w:eastAsia="仿宋_GB2312" w:cs="仿宋_GB2312"/>
          <w:b w:val="0"/>
          <w:bCs w:val="0"/>
          <w:color w:val="auto"/>
          <w:sz w:val="32"/>
          <w:szCs w:val="32"/>
          <w:highlight w:val="none"/>
          <w:lang w:val="en-US" w:eastAsia="zh-CN"/>
        </w:rPr>
        <w:t>161,852</w:t>
      </w:r>
      <w:r>
        <w:rPr>
          <w:rFonts w:hint="eastAsia" w:ascii="仿宋_GB2312" w:hAnsi="仿宋_GB2312" w:eastAsia="仿宋_GB2312" w:cs="仿宋_GB2312"/>
          <w:b w:val="0"/>
          <w:bCs w:val="0"/>
          <w:color w:val="auto"/>
          <w:sz w:val="32"/>
          <w:szCs w:val="32"/>
          <w:highlight w:val="none"/>
        </w:rPr>
        <w:t>万元，政府住房基金收入</w:t>
      </w:r>
      <w:r>
        <w:rPr>
          <w:rFonts w:hint="eastAsia" w:ascii="仿宋_GB2312" w:hAnsi="仿宋_GB2312" w:eastAsia="仿宋_GB2312" w:cs="仿宋_GB2312"/>
          <w:b w:val="0"/>
          <w:bCs w:val="0"/>
          <w:color w:val="auto"/>
          <w:sz w:val="32"/>
          <w:szCs w:val="32"/>
          <w:highlight w:val="none"/>
          <w:lang w:val="en-US" w:eastAsia="zh-CN"/>
        </w:rPr>
        <w:t>3,467</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其他收入</w:t>
      </w:r>
      <w:r>
        <w:rPr>
          <w:rFonts w:hint="eastAsia" w:ascii="仿宋_GB2312" w:hAnsi="仿宋_GB2312" w:eastAsia="仿宋_GB2312" w:cs="仿宋_GB2312"/>
          <w:b w:val="0"/>
          <w:bCs w:val="0"/>
          <w:color w:val="auto"/>
          <w:sz w:val="32"/>
          <w:szCs w:val="32"/>
          <w:highlight w:val="none"/>
          <w:lang w:val="en-US" w:eastAsia="zh-CN"/>
        </w:rPr>
        <w:t>40,435</w:t>
      </w:r>
      <w:r>
        <w:rPr>
          <w:rFonts w:hint="eastAsia" w:ascii="仿宋_GB2312" w:hAnsi="仿宋_GB2312" w:eastAsia="仿宋_GB2312" w:cs="仿宋_GB2312"/>
          <w:b w:val="0"/>
          <w:bCs w:val="0"/>
          <w:color w:val="auto"/>
          <w:sz w:val="32"/>
          <w:szCs w:val="32"/>
          <w:highlight w:val="none"/>
        </w:rPr>
        <w:t>万元。</w:t>
      </w:r>
    </w:p>
    <w:p w14:paraId="6E9E56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200" w:right="0" w:rightChars="0" w:firstLine="0" w:firstLineChars="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2.支出执行情况</w:t>
      </w:r>
    </w:p>
    <w:p w14:paraId="11912171">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eastAsia" w:ascii="仿宋_GB2312" w:hAnsi="仿宋_GB2312" w:cs="仿宋_GB2312"/>
          <w:b w:val="0"/>
          <w:bCs w:val="0"/>
          <w:color w:val="auto"/>
          <w:szCs w:val="32"/>
        </w:rPr>
      </w:pP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年全区一般公共预算支出</w:t>
      </w: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cs="仿宋_GB2312"/>
          <w:b w:val="0"/>
          <w:bCs w:val="0"/>
          <w:color w:val="auto"/>
          <w:sz w:val="32"/>
          <w:szCs w:val="32"/>
          <w:highlight w:val="none"/>
          <w:lang w:val="en-US" w:eastAsia="zh-CN"/>
        </w:rPr>
        <w:t>762,326</w:t>
      </w:r>
      <w:r>
        <w:rPr>
          <w:rFonts w:hint="eastAsia" w:ascii="仿宋_GB2312" w:hAnsi="仿宋_GB2312" w:eastAsia="仿宋_GB2312" w:cs="仿宋_GB2312"/>
          <w:b w:val="0"/>
          <w:bCs w:val="0"/>
          <w:color w:val="auto"/>
          <w:sz w:val="32"/>
          <w:szCs w:val="32"/>
          <w:highlight w:val="none"/>
        </w:rPr>
        <w:t>万元，比202</w:t>
      </w: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rPr>
        <w:t>年</w:t>
      </w:r>
      <w:r>
        <w:rPr>
          <w:rFonts w:hint="eastAsia" w:ascii="仿宋_GB2312" w:hAnsi="仿宋_GB2312" w:eastAsia="仿宋_GB2312" w:cs="仿宋_GB2312"/>
          <w:b w:val="0"/>
          <w:bCs w:val="0"/>
          <w:color w:val="auto"/>
          <w:sz w:val="32"/>
          <w:szCs w:val="32"/>
          <w:highlight w:val="none"/>
          <w:lang w:eastAsia="zh-CN"/>
        </w:rPr>
        <w:t>减</w:t>
      </w:r>
      <w:r>
        <w:rPr>
          <w:rFonts w:hint="eastAsia" w:ascii="仿宋_GB2312" w:hAnsi="仿宋_GB2312" w:eastAsia="仿宋_GB2312" w:cs="仿宋_GB2312"/>
          <w:b w:val="0"/>
          <w:bCs w:val="0"/>
          <w:color w:val="auto"/>
          <w:sz w:val="32"/>
          <w:szCs w:val="32"/>
          <w:highlight w:val="none"/>
        </w:rPr>
        <w:t>支</w:t>
      </w:r>
      <w:r>
        <w:rPr>
          <w:rFonts w:hint="eastAsia" w:ascii="仿宋_GB2312" w:hAnsi="仿宋_GB2312" w:cs="仿宋_GB2312"/>
          <w:b w:val="0"/>
          <w:bCs w:val="0"/>
          <w:color w:val="auto"/>
          <w:sz w:val="32"/>
          <w:szCs w:val="32"/>
          <w:highlight w:val="none"/>
          <w:lang w:val="en-US" w:eastAsia="zh-CN"/>
        </w:rPr>
        <w:t>148,055</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下降7.</w:t>
      </w:r>
      <w:r>
        <w:rPr>
          <w:rFonts w:hint="eastAsia" w:ascii="仿宋_GB2312" w:hAnsi="仿宋_GB2312" w:cs="仿宋_GB2312"/>
          <w:b w:val="0"/>
          <w:bCs w:val="0"/>
          <w:color w:val="auto"/>
          <w:sz w:val="32"/>
          <w:szCs w:val="32"/>
          <w:highlight w:val="none"/>
          <w:lang w:val="en-US" w:eastAsia="zh-CN"/>
        </w:rPr>
        <w:t>75</w:t>
      </w:r>
      <w:r>
        <w:rPr>
          <w:rFonts w:hint="eastAsia" w:ascii="仿宋_GB2312" w:hAnsi="仿宋_GB2312" w:eastAsia="仿宋_GB2312" w:cs="仿宋_GB2312"/>
          <w:b w:val="0"/>
          <w:bCs w:val="0"/>
          <w:color w:val="auto"/>
          <w:sz w:val="32"/>
          <w:szCs w:val="32"/>
          <w:highlight w:val="none"/>
        </w:rPr>
        <w:t>%。加上上解支出</w:t>
      </w:r>
      <w:r>
        <w:rPr>
          <w:rFonts w:hint="eastAsia" w:ascii="仿宋_GB2312" w:hAnsi="仿宋_GB2312" w:cs="仿宋_GB2312"/>
          <w:b w:val="0"/>
          <w:bCs w:val="0"/>
          <w:color w:val="auto"/>
          <w:sz w:val="32"/>
          <w:szCs w:val="32"/>
          <w:highlight w:val="none"/>
          <w:lang w:val="en-US" w:eastAsia="zh-CN"/>
        </w:rPr>
        <w:t>390,368</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安排</w:t>
      </w:r>
      <w:r>
        <w:rPr>
          <w:rFonts w:hint="eastAsia" w:ascii="仿宋_GB2312" w:hAnsi="仿宋_GB2312" w:eastAsia="仿宋_GB2312" w:cs="仿宋_GB2312"/>
          <w:b w:val="0"/>
          <w:bCs w:val="0"/>
          <w:color w:val="auto"/>
          <w:sz w:val="32"/>
          <w:szCs w:val="32"/>
          <w:highlight w:val="none"/>
        </w:rPr>
        <w:t>预算稳定调节基金</w:t>
      </w:r>
      <w:r>
        <w:rPr>
          <w:rFonts w:hint="eastAsia" w:ascii="仿宋_GB2312" w:hAnsi="仿宋_GB2312" w:eastAsia="仿宋_GB2312" w:cs="仿宋_GB2312"/>
          <w:b w:val="0"/>
          <w:bCs w:val="0"/>
          <w:color w:val="auto"/>
          <w:sz w:val="32"/>
          <w:szCs w:val="32"/>
          <w:highlight w:val="none"/>
          <w:lang w:val="en-US" w:eastAsia="zh-CN"/>
        </w:rPr>
        <w:t>260</w:t>
      </w:r>
      <w:r>
        <w:rPr>
          <w:rFonts w:hint="eastAsia" w:ascii="仿宋_GB2312" w:hAnsi="仿宋_GB2312" w:eastAsia="仿宋_GB2312" w:cs="仿宋_GB2312"/>
          <w:b w:val="0"/>
          <w:bCs w:val="0"/>
          <w:color w:val="auto"/>
          <w:sz w:val="32"/>
          <w:szCs w:val="32"/>
          <w:highlight w:val="none"/>
        </w:rPr>
        <w:t>万元、债务还本支出</w:t>
      </w:r>
      <w:r>
        <w:rPr>
          <w:rFonts w:hint="eastAsia" w:ascii="仿宋_GB2312" w:hAnsi="仿宋_GB2312" w:eastAsia="仿宋_GB2312" w:cs="仿宋_GB2312"/>
          <w:b w:val="0"/>
          <w:bCs w:val="0"/>
          <w:color w:val="auto"/>
          <w:sz w:val="32"/>
          <w:szCs w:val="32"/>
          <w:highlight w:val="none"/>
          <w:lang w:val="en-US" w:eastAsia="zh-CN"/>
        </w:rPr>
        <w:t>32,756</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区域间转移性支出</w:t>
      </w:r>
      <w:r>
        <w:rPr>
          <w:rFonts w:hint="eastAsia" w:ascii="仿宋_GB2312" w:hAnsi="仿宋_GB2312" w:cs="仿宋_GB2312"/>
          <w:b w:val="0"/>
          <w:bCs w:val="0"/>
          <w:color w:val="auto"/>
          <w:sz w:val="32"/>
          <w:szCs w:val="32"/>
          <w:highlight w:val="none"/>
          <w:lang w:val="en-US" w:eastAsia="zh-CN"/>
        </w:rPr>
        <w:t>14,467</w:t>
      </w:r>
      <w:r>
        <w:rPr>
          <w:rFonts w:hint="eastAsia" w:ascii="仿宋_GB2312" w:hAnsi="仿宋_GB2312" w:eastAsia="仿宋_GB2312" w:cs="仿宋_GB2312"/>
          <w:b w:val="0"/>
          <w:bCs w:val="0"/>
          <w:color w:val="auto"/>
          <w:sz w:val="32"/>
          <w:szCs w:val="32"/>
          <w:highlight w:val="none"/>
          <w:lang w:val="en-US" w:eastAsia="zh-CN"/>
        </w:rPr>
        <w:t>万元</w:t>
      </w:r>
      <w:r>
        <w:rPr>
          <w:rFonts w:hint="eastAsia" w:ascii="仿宋_GB2312" w:hAnsi="仿宋_GB2312" w:eastAsia="仿宋_GB2312" w:cs="仿宋_GB2312"/>
          <w:b w:val="0"/>
          <w:bCs w:val="0"/>
          <w:color w:val="auto"/>
          <w:sz w:val="32"/>
          <w:szCs w:val="32"/>
          <w:highlight w:val="none"/>
        </w:rPr>
        <w:t>后，202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年一般公共预算总支出</w:t>
      </w:r>
      <w:r>
        <w:rPr>
          <w:rFonts w:hint="eastAsia" w:ascii="仿宋_GB2312" w:hAnsi="仿宋_GB2312" w:cs="仿宋_GB2312"/>
          <w:b w:val="0"/>
          <w:bCs w:val="0"/>
          <w:color w:val="auto"/>
          <w:sz w:val="32"/>
          <w:szCs w:val="32"/>
          <w:highlight w:val="none"/>
          <w:lang w:val="en-US" w:eastAsia="zh-CN"/>
        </w:rPr>
        <w:t>2,200,177</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区镇</w:t>
      </w:r>
      <w:r>
        <w:rPr>
          <w:rFonts w:hint="eastAsia" w:ascii="仿宋_GB2312" w:hAnsi="仿宋_GB2312" w:eastAsia="仿宋_GB2312" w:cs="仿宋_GB2312"/>
          <w:b w:val="0"/>
          <w:bCs w:val="0"/>
          <w:color w:val="auto"/>
          <w:sz w:val="32"/>
          <w:szCs w:val="32"/>
          <w:highlight w:val="none"/>
        </w:rPr>
        <w:t>年终结</w:t>
      </w:r>
      <w:r>
        <w:rPr>
          <w:rFonts w:hint="eastAsia" w:ascii="仿宋_GB2312" w:hAnsi="仿宋_GB2312" w:eastAsia="仿宋_GB2312" w:cs="仿宋_GB2312"/>
          <w:b w:val="0"/>
          <w:bCs w:val="0"/>
          <w:color w:val="auto"/>
          <w:sz w:val="32"/>
          <w:szCs w:val="32"/>
          <w:highlight w:val="none"/>
          <w:lang w:eastAsia="zh-CN"/>
        </w:rPr>
        <w:t>转</w:t>
      </w:r>
      <w:r>
        <w:rPr>
          <w:rFonts w:hint="eastAsia" w:ascii="仿宋_GB2312" w:hAnsi="仿宋_GB2312" w:cs="仿宋_GB2312"/>
          <w:b w:val="0"/>
          <w:bCs w:val="0"/>
          <w:color w:val="auto"/>
          <w:sz w:val="32"/>
          <w:szCs w:val="32"/>
          <w:highlight w:val="none"/>
          <w:lang w:eastAsia="zh-CN"/>
        </w:rPr>
        <w:t>结余</w:t>
      </w:r>
      <w:r>
        <w:rPr>
          <w:rFonts w:hint="eastAsia" w:ascii="仿宋_GB2312" w:hAnsi="仿宋_GB2312" w:eastAsia="仿宋_GB2312" w:cs="仿宋_GB2312"/>
          <w:b w:val="0"/>
          <w:bCs w:val="0"/>
          <w:color w:val="auto"/>
          <w:sz w:val="32"/>
          <w:szCs w:val="32"/>
          <w:highlight w:val="none"/>
          <w:lang w:val="en-US" w:eastAsia="zh-CN"/>
        </w:rPr>
        <w:t>8,06</w:t>
      </w:r>
      <w:r>
        <w:rPr>
          <w:rFonts w:hint="eastAsia" w:ascii="仿宋_GB2312" w:hAnsi="仿宋_GB2312" w:cs="仿宋_GB2312"/>
          <w:b w:val="0"/>
          <w:bCs w:val="0"/>
          <w:color w:val="auto"/>
          <w:sz w:val="32"/>
          <w:szCs w:val="32"/>
          <w:highlight w:val="none"/>
          <w:lang w:val="en-US" w:eastAsia="zh-CN"/>
        </w:rPr>
        <w:t>3</w:t>
      </w:r>
      <w:r>
        <w:rPr>
          <w:rFonts w:hint="eastAsia" w:ascii="仿宋_GB2312" w:hAnsi="仿宋_GB2312" w:eastAsia="仿宋_GB2312" w:cs="仿宋_GB2312"/>
          <w:b w:val="0"/>
          <w:bCs w:val="0"/>
          <w:color w:val="auto"/>
          <w:sz w:val="32"/>
          <w:szCs w:val="32"/>
          <w:highlight w:val="none"/>
        </w:rPr>
        <w:t>万元。</w:t>
      </w:r>
    </w:p>
    <w:p w14:paraId="1A7211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200" w:right="0" w:rightChars="0" w:firstLine="0" w:firstLineChars="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3.转移支付支出执行情况</w:t>
      </w:r>
    </w:p>
    <w:p w14:paraId="49B7A2C1">
      <w:pPr>
        <w:keepNext w:val="0"/>
        <w:keepLines w:val="0"/>
        <w:pageBreakBefore w:val="0"/>
        <w:widowControl w:val="0"/>
        <w:kinsoku/>
        <w:wordWrap/>
        <w:overflowPunct/>
        <w:topLinePunct w:val="0"/>
        <w:autoSpaceDE/>
        <w:autoSpaceDN/>
        <w:bidi w:val="0"/>
        <w:adjustRightInd/>
        <w:snapToGrid/>
        <w:spacing w:line="560" w:lineRule="exact"/>
        <w:ind w:left="0" w:right="0" w:firstLine="63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年我区收到上级一般公共预算补助收入</w:t>
      </w:r>
      <w:r>
        <w:rPr>
          <w:rFonts w:hint="eastAsia" w:ascii="仿宋_GB2312" w:hAnsi="仿宋_GB2312" w:eastAsia="仿宋_GB2312" w:cs="仿宋_GB2312"/>
          <w:b w:val="0"/>
          <w:bCs w:val="0"/>
          <w:color w:val="auto"/>
          <w:sz w:val="32"/>
          <w:szCs w:val="32"/>
          <w:highlight w:val="none"/>
          <w:lang w:val="en-US" w:eastAsia="zh-CN"/>
        </w:rPr>
        <w:t>681,390</w:t>
      </w:r>
      <w:r>
        <w:rPr>
          <w:rFonts w:hint="eastAsia" w:ascii="仿宋_GB2312" w:hAnsi="仿宋_GB2312" w:eastAsia="仿宋_GB2312" w:cs="仿宋_GB2312"/>
          <w:b w:val="0"/>
          <w:bCs w:val="0"/>
          <w:color w:val="auto"/>
          <w:sz w:val="32"/>
          <w:szCs w:val="32"/>
          <w:highlight w:val="none"/>
        </w:rPr>
        <w:t>万元，其中：税收返还收入</w:t>
      </w:r>
      <w:r>
        <w:rPr>
          <w:rFonts w:hint="eastAsia" w:ascii="仿宋_GB2312" w:hAnsi="仿宋_GB2312" w:eastAsia="仿宋_GB2312" w:cs="仿宋_GB2312"/>
          <w:b w:val="0"/>
          <w:bCs w:val="0"/>
          <w:color w:val="auto"/>
          <w:sz w:val="32"/>
          <w:szCs w:val="32"/>
          <w:highlight w:val="none"/>
          <w:lang w:val="en-US" w:eastAsia="zh-CN"/>
        </w:rPr>
        <w:t>250,790</w:t>
      </w:r>
      <w:r>
        <w:rPr>
          <w:rFonts w:hint="eastAsia" w:ascii="仿宋_GB2312" w:hAnsi="仿宋_GB2312" w:eastAsia="仿宋_GB2312" w:cs="仿宋_GB2312"/>
          <w:b w:val="0"/>
          <w:bCs w:val="0"/>
          <w:color w:val="auto"/>
          <w:sz w:val="32"/>
          <w:szCs w:val="32"/>
          <w:highlight w:val="none"/>
        </w:rPr>
        <w:t>万元，一般性转移支付收入</w:t>
      </w:r>
      <w:r>
        <w:rPr>
          <w:rFonts w:hint="eastAsia" w:ascii="仿宋_GB2312" w:hAnsi="仿宋_GB2312" w:eastAsia="仿宋_GB2312" w:cs="仿宋_GB2312"/>
          <w:b w:val="0"/>
          <w:bCs w:val="0"/>
          <w:color w:val="auto"/>
          <w:sz w:val="32"/>
          <w:szCs w:val="32"/>
          <w:highlight w:val="none"/>
          <w:lang w:val="en-US" w:eastAsia="zh-CN"/>
        </w:rPr>
        <w:t>281,622</w:t>
      </w:r>
      <w:r>
        <w:rPr>
          <w:rFonts w:hint="eastAsia" w:ascii="仿宋_GB2312" w:hAnsi="仿宋_GB2312" w:eastAsia="仿宋_GB2312" w:cs="仿宋_GB2312"/>
          <w:b w:val="0"/>
          <w:bCs w:val="0"/>
          <w:color w:val="auto"/>
          <w:sz w:val="32"/>
          <w:szCs w:val="32"/>
          <w:highlight w:val="none"/>
        </w:rPr>
        <w:t>万元，专项转移支付收入</w:t>
      </w:r>
      <w:r>
        <w:rPr>
          <w:rFonts w:hint="eastAsia" w:ascii="仿宋_GB2312" w:hAnsi="仿宋_GB2312" w:eastAsia="仿宋_GB2312" w:cs="仿宋_GB2312"/>
          <w:b w:val="0"/>
          <w:bCs w:val="0"/>
          <w:color w:val="auto"/>
          <w:sz w:val="32"/>
          <w:szCs w:val="32"/>
          <w:highlight w:val="none"/>
          <w:lang w:val="en-US" w:eastAsia="zh-CN"/>
        </w:rPr>
        <w:t>148,978</w:t>
      </w:r>
      <w:r>
        <w:rPr>
          <w:rFonts w:hint="eastAsia" w:ascii="仿宋_GB2312" w:hAnsi="仿宋_GB2312" w:eastAsia="仿宋_GB2312" w:cs="仿宋_GB2312"/>
          <w:b w:val="0"/>
          <w:bCs w:val="0"/>
          <w:color w:val="auto"/>
          <w:sz w:val="32"/>
          <w:szCs w:val="32"/>
          <w:highlight w:val="none"/>
        </w:rPr>
        <w:t>万元。</w:t>
      </w:r>
    </w:p>
    <w:p w14:paraId="07DB1141">
      <w:pPr>
        <w:keepNext w:val="0"/>
        <w:keepLines w:val="0"/>
        <w:pageBreakBefore w:val="0"/>
        <w:widowControl w:val="0"/>
        <w:kinsoku/>
        <w:wordWrap/>
        <w:overflowPunct/>
        <w:topLinePunct w:val="0"/>
        <w:autoSpaceDE/>
        <w:autoSpaceDN/>
        <w:bidi w:val="0"/>
        <w:adjustRightInd/>
        <w:snapToGrid/>
        <w:spacing w:line="560" w:lineRule="exact"/>
        <w:ind w:left="0" w:right="0" w:firstLine="63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年区本级一般公共预算补助镇级支出</w:t>
      </w:r>
      <w:r>
        <w:rPr>
          <w:rFonts w:hint="eastAsia" w:ascii="仿宋_GB2312" w:hAnsi="仿宋_GB2312" w:eastAsia="仿宋_GB2312" w:cs="仿宋_GB2312"/>
          <w:b w:val="0"/>
          <w:bCs w:val="0"/>
          <w:color w:val="auto"/>
          <w:sz w:val="32"/>
          <w:szCs w:val="32"/>
          <w:highlight w:val="none"/>
          <w:lang w:val="en-US" w:eastAsia="zh-CN"/>
        </w:rPr>
        <w:t>270,583</w:t>
      </w:r>
      <w:r>
        <w:rPr>
          <w:rFonts w:hint="eastAsia" w:ascii="仿宋_GB2312" w:hAnsi="仿宋_GB2312" w:eastAsia="仿宋_GB2312" w:cs="仿宋_GB2312"/>
          <w:b w:val="0"/>
          <w:bCs w:val="0"/>
          <w:color w:val="auto"/>
          <w:sz w:val="32"/>
          <w:szCs w:val="32"/>
          <w:highlight w:val="none"/>
        </w:rPr>
        <w:t>万元，其中：税收返还支出</w:t>
      </w:r>
      <w:r>
        <w:rPr>
          <w:rFonts w:hint="eastAsia" w:ascii="仿宋_GB2312" w:hAnsi="仿宋_GB2312" w:eastAsia="仿宋_GB2312" w:cs="仿宋_GB2312"/>
          <w:b w:val="0"/>
          <w:bCs w:val="0"/>
          <w:color w:val="auto"/>
          <w:sz w:val="32"/>
          <w:szCs w:val="32"/>
          <w:highlight w:val="none"/>
          <w:lang w:val="en-US" w:eastAsia="zh-CN"/>
        </w:rPr>
        <w:t>153,110</w:t>
      </w:r>
      <w:r>
        <w:rPr>
          <w:rFonts w:hint="eastAsia" w:ascii="仿宋_GB2312" w:hAnsi="仿宋_GB2312" w:eastAsia="仿宋_GB2312" w:cs="仿宋_GB2312"/>
          <w:b w:val="0"/>
          <w:bCs w:val="0"/>
          <w:color w:val="auto"/>
          <w:sz w:val="32"/>
          <w:szCs w:val="32"/>
          <w:highlight w:val="none"/>
        </w:rPr>
        <w:t>万元，一般性转移支付支出</w:t>
      </w:r>
      <w:r>
        <w:rPr>
          <w:rFonts w:hint="eastAsia" w:ascii="仿宋_GB2312" w:hAnsi="仿宋_GB2312" w:eastAsia="仿宋_GB2312" w:cs="仿宋_GB2312"/>
          <w:b w:val="0"/>
          <w:bCs w:val="0"/>
          <w:color w:val="auto"/>
          <w:sz w:val="32"/>
          <w:szCs w:val="32"/>
          <w:highlight w:val="none"/>
          <w:lang w:val="en-US" w:eastAsia="zh-CN"/>
        </w:rPr>
        <w:t>70,934</w:t>
      </w:r>
      <w:r>
        <w:rPr>
          <w:rFonts w:hint="eastAsia" w:ascii="仿宋_GB2312" w:hAnsi="仿宋_GB2312" w:eastAsia="仿宋_GB2312" w:cs="仿宋_GB2312"/>
          <w:b w:val="0"/>
          <w:bCs w:val="0"/>
          <w:color w:val="auto"/>
          <w:sz w:val="32"/>
          <w:szCs w:val="32"/>
          <w:highlight w:val="none"/>
        </w:rPr>
        <w:t>万元，专项转移支付支出</w:t>
      </w:r>
      <w:r>
        <w:rPr>
          <w:rFonts w:hint="eastAsia" w:ascii="仿宋_GB2312" w:hAnsi="仿宋_GB2312" w:eastAsia="仿宋_GB2312" w:cs="仿宋_GB2312"/>
          <w:b w:val="0"/>
          <w:bCs w:val="0"/>
          <w:color w:val="auto"/>
          <w:sz w:val="32"/>
          <w:szCs w:val="32"/>
          <w:highlight w:val="none"/>
          <w:lang w:val="en-US" w:eastAsia="zh-CN"/>
        </w:rPr>
        <w:t>46,539</w:t>
      </w:r>
      <w:r>
        <w:rPr>
          <w:rFonts w:hint="eastAsia" w:ascii="仿宋_GB2312" w:hAnsi="仿宋_GB2312" w:eastAsia="仿宋_GB2312" w:cs="仿宋_GB2312"/>
          <w:b w:val="0"/>
          <w:bCs w:val="0"/>
          <w:color w:val="auto"/>
          <w:sz w:val="32"/>
          <w:szCs w:val="32"/>
          <w:highlight w:val="none"/>
        </w:rPr>
        <w:t>万元。</w:t>
      </w:r>
    </w:p>
    <w:p w14:paraId="2B57B1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200" w:right="0" w:rightChars="0" w:firstLine="0" w:firstLineChars="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4.预算稳定调节基金、上年结转资金及预备费执行情况</w:t>
      </w:r>
    </w:p>
    <w:p w14:paraId="07DF5B28">
      <w:pPr>
        <w:keepNext w:val="0"/>
        <w:keepLines w:val="0"/>
        <w:pageBreakBefore w:val="0"/>
        <w:widowControl w:val="0"/>
        <w:kinsoku/>
        <w:wordWrap/>
        <w:overflowPunct/>
        <w:topLinePunct w:val="0"/>
        <w:autoSpaceDE/>
        <w:autoSpaceDN/>
        <w:bidi w:val="0"/>
        <w:adjustRightInd/>
        <w:snapToGrid/>
        <w:spacing w:line="560" w:lineRule="exact"/>
        <w:ind w:left="0" w:right="0" w:firstLine="63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截至202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年底，</w:t>
      </w:r>
      <w:r>
        <w:rPr>
          <w:rFonts w:hint="eastAsia" w:ascii="仿宋_GB2312" w:hAnsi="仿宋_GB2312" w:eastAsia="仿宋_GB2312" w:cs="仿宋_GB2312"/>
          <w:b w:val="0"/>
          <w:bCs w:val="0"/>
          <w:color w:val="auto"/>
          <w:sz w:val="32"/>
          <w:szCs w:val="32"/>
          <w:highlight w:val="none"/>
          <w:lang w:val="en-US" w:eastAsia="zh-CN"/>
        </w:rPr>
        <w:t>2023年结转的</w:t>
      </w:r>
      <w:r>
        <w:rPr>
          <w:rFonts w:hint="eastAsia" w:ascii="仿宋_GB2312" w:hAnsi="仿宋_GB2312" w:eastAsia="仿宋_GB2312" w:cs="仿宋_GB2312"/>
          <w:b w:val="0"/>
          <w:bCs w:val="0"/>
          <w:color w:val="auto"/>
          <w:sz w:val="32"/>
          <w:szCs w:val="32"/>
          <w:highlight w:val="none"/>
        </w:rPr>
        <w:t>区本级预算稳定调节基金</w:t>
      </w:r>
      <w:r>
        <w:rPr>
          <w:rFonts w:hint="eastAsia" w:ascii="仿宋_GB2312" w:hAnsi="仿宋_GB2312" w:eastAsia="仿宋_GB2312" w:cs="仿宋_GB2312"/>
          <w:b w:val="0"/>
          <w:bCs w:val="0"/>
          <w:color w:val="auto"/>
          <w:sz w:val="32"/>
          <w:szCs w:val="32"/>
          <w:highlight w:val="none"/>
          <w:lang w:val="en-US" w:eastAsia="zh-CN"/>
        </w:rPr>
        <w:t>39,012万元已全部动用，</w:t>
      </w:r>
      <w:r>
        <w:rPr>
          <w:rFonts w:hint="eastAsia" w:ascii="仿宋_GB2312" w:hAnsi="仿宋_GB2312" w:eastAsia="仿宋_GB2312" w:cs="仿宋_GB2312"/>
          <w:b w:val="0"/>
          <w:bCs w:val="0"/>
          <w:color w:val="auto"/>
          <w:sz w:val="32"/>
          <w:szCs w:val="32"/>
          <w:highlight w:val="none"/>
        </w:rPr>
        <w:t>区级一般公共预算上年结转资金</w:t>
      </w:r>
      <w:r>
        <w:rPr>
          <w:rFonts w:hint="eastAsia" w:ascii="仿宋_GB2312" w:hAnsi="仿宋_GB2312" w:eastAsia="仿宋_GB2312" w:cs="仿宋_GB2312"/>
          <w:b w:val="0"/>
          <w:bCs w:val="0"/>
          <w:color w:val="auto"/>
          <w:sz w:val="32"/>
          <w:szCs w:val="32"/>
          <w:highlight w:val="none"/>
          <w:lang w:val="en-US" w:eastAsia="zh-CN"/>
        </w:rPr>
        <w:t>99,673</w:t>
      </w:r>
      <w:r>
        <w:rPr>
          <w:rFonts w:hint="eastAsia" w:ascii="仿宋_GB2312" w:hAnsi="仿宋_GB2312" w:eastAsia="仿宋_GB2312" w:cs="仿宋_GB2312"/>
          <w:b w:val="0"/>
          <w:bCs w:val="0"/>
          <w:color w:val="auto"/>
          <w:sz w:val="32"/>
          <w:szCs w:val="32"/>
          <w:highlight w:val="none"/>
        </w:rPr>
        <w:t>万元基本支出完毕。202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年初区本级安排预备费</w:t>
      </w:r>
      <w:r>
        <w:rPr>
          <w:rFonts w:hint="eastAsia" w:ascii="仿宋_GB2312" w:hAnsi="仿宋_GB2312" w:eastAsia="仿宋_GB2312" w:cs="仿宋_GB2312"/>
          <w:b w:val="0"/>
          <w:bCs w:val="0"/>
          <w:color w:val="auto"/>
          <w:sz w:val="32"/>
          <w:szCs w:val="32"/>
          <w:highlight w:val="none"/>
          <w:lang w:val="en-US" w:eastAsia="zh-CN"/>
        </w:rPr>
        <w:t>20,827</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年中无</w:t>
      </w:r>
      <w:r>
        <w:rPr>
          <w:rFonts w:hint="eastAsia" w:ascii="仿宋_GB2312" w:hAnsi="仿宋_GB2312" w:eastAsia="仿宋_GB2312" w:cs="仿宋_GB2312"/>
          <w:b w:val="0"/>
          <w:bCs w:val="0"/>
          <w:color w:val="auto"/>
          <w:sz w:val="32"/>
          <w:szCs w:val="32"/>
          <w:highlight w:val="none"/>
          <w:lang w:val="en-US" w:eastAsia="zh-CN"/>
        </w:rPr>
        <w:t>动用。</w:t>
      </w:r>
      <w:r>
        <w:rPr>
          <w:rFonts w:hint="eastAsia" w:ascii="仿宋_GB2312" w:hAnsi="仿宋_GB2312" w:eastAsia="仿宋_GB2312" w:cs="仿宋_GB2312"/>
          <w:b w:val="0"/>
          <w:bCs w:val="0"/>
          <w:color w:val="auto"/>
          <w:sz w:val="32"/>
          <w:szCs w:val="32"/>
          <w:highlight w:val="none"/>
        </w:rPr>
        <w:t>上述资金年度完整执行情况将在202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年决算报告中反映。</w:t>
      </w:r>
    </w:p>
    <w:p w14:paraId="4E19A03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楷体_GB2312" w:hAnsi="楷体_GB2312" w:eastAsia="楷体_GB2312" w:cs="楷体_GB2312"/>
          <w:b w:val="0"/>
          <w:bCs w:val="0"/>
          <w:color w:val="auto"/>
          <w:sz w:val="32"/>
          <w:szCs w:val="32"/>
          <w:lang w:val="en-US" w:eastAsia="zh-CN"/>
        </w:rPr>
      </w:pPr>
    </w:p>
    <w:p w14:paraId="2F41CC1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（二）政府性基金预算执行情况</w:t>
      </w:r>
    </w:p>
    <w:p w14:paraId="4A129274">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年全区政府性基金收入</w:t>
      </w:r>
      <w:r>
        <w:rPr>
          <w:rFonts w:hint="eastAsia" w:ascii="仿宋_GB2312" w:hAnsi="仿宋_GB2312" w:cs="仿宋_GB2312"/>
          <w:b w:val="0"/>
          <w:bCs w:val="0"/>
          <w:color w:val="auto"/>
          <w:sz w:val="32"/>
          <w:szCs w:val="32"/>
          <w:highlight w:val="none"/>
          <w:lang w:val="en-US" w:eastAsia="zh-CN"/>
        </w:rPr>
        <w:t>459,811</w:t>
      </w:r>
      <w:r>
        <w:rPr>
          <w:rFonts w:hint="eastAsia" w:ascii="仿宋_GB2312" w:hAnsi="仿宋_GB2312" w:eastAsia="仿宋_GB2312" w:cs="仿宋_GB2312"/>
          <w:b w:val="0"/>
          <w:bCs w:val="0"/>
          <w:color w:val="auto"/>
          <w:sz w:val="32"/>
          <w:szCs w:val="32"/>
          <w:highlight w:val="none"/>
        </w:rPr>
        <w:t>万元，完成年</w:t>
      </w:r>
      <w:r>
        <w:rPr>
          <w:rFonts w:hint="eastAsia" w:ascii="仿宋_GB2312" w:hAnsi="仿宋_GB2312" w:eastAsia="仿宋_GB2312" w:cs="仿宋_GB2312"/>
          <w:b w:val="0"/>
          <w:bCs w:val="0"/>
          <w:color w:val="auto"/>
          <w:sz w:val="32"/>
          <w:szCs w:val="32"/>
          <w:highlight w:val="none"/>
          <w:lang w:val="en-US" w:eastAsia="zh-CN"/>
        </w:rPr>
        <w:t>度</w:t>
      </w:r>
      <w:r>
        <w:rPr>
          <w:rFonts w:hint="eastAsia" w:ascii="仿宋_GB2312" w:hAnsi="仿宋_GB2312" w:eastAsia="仿宋_GB2312" w:cs="仿宋_GB2312"/>
          <w:b w:val="0"/>
          <w:bCs w:val="0"/>
          <w:color w:val="auto"/>
          <w:sz w:val="32"/>
          <w:szCs w:val="32"/>
          <w:highlight w:val="none"/>
        </w:rPr>
        <w:t>预算的</w:t>
      </w:r>
      <w:r>
        <w:rPr>
          <w:rFonts w:hint="eastAsia" w:ascii="仿宋_GB2312" w:hAnsi="仿宋_GB2312" w:cs="仿宋_GB2312"/>
          <w:b w:val="0"/>
          <w:bCs w:val="0"/>
          <w:color w:val="auto"/>
          <w:sz w:val="32"/>
          <w:szCs w:val="32"/>
          <w:highlight w:val="none"/>
          <w:lang w:val="en-US" w:eastAsia="zh-CN"/>
        </w:rPr>
        <w:t>99.60</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kern w:val="0"/>
          <w:sz w:val="32"/>
          <w:szCs w:val="32"/>
          <w:highlight w:val="none"/>
        </w:rPr>
        <w:t>比202</w:t>
      </w:r>
      <w:r>
        <w:rPr>
          <w:rFonts w:hint="eastAsia" w:ascii="仿宋_GB2312" w:hAnsi="仿宋_GB2312" w:eastAsia="仿宋_GB2312" w:cs="仿宋_GB2312"/>
          <w:b w:val="0"/>
          <w:bCs w:val="0"/>
          <w:color w:val="auto"/>
          <w:kern w:val="0"/>
          <w:sz w:val="32"/>
          <w:szCs w:val="32"/>
          <w:highlight w:val="none"/>
          <w:lang w:val="en-US" w:eastAsia="zh-CN"/>
        </w:rPr>
        <w:t>3</w:t>
      </w:r>
      <w:r>
        <w:rPr>
          <w:rFonts w:hint="eastAsia" w:ascii="仿宋_GB2312" w:hAnsi="仿宋_GB2312" w:eastAsia="仿宋_GB2312" w:cs="仿宋_GB2312"/>
          <w:b w:val="0"/>
          <w:bCs w:val="0"/>
          <w:color w:val="auto"/>
          <w:kern w:val="0"/>
          <w:sz w:val="32"/>
          <w:szCs w:val="32"/>
          <w:highlight w:val="none"/>
        </w:rPr>
        <w:t>年</w:t>
      </w:r>
      <w:r>
        <w:rPr>
          <w:rFonts w:hint="eastAsia" w:ascii="仿宋_GB2312" w:hAnsi="仿宋_GB2312" w:eastAsia="仿宋_GB2312" w:cs="仿宋_GB2312"/>
          <w:b w:val="0"/>
          <w:bCs w:val="0"/>
          <w:color w:val="auto"/>
          <w:kern w:val="0"/>
          <w:sz w:val="32"/>
          <w:szCs w:val="32"/>
          <w:highlight w:val="none"/>
          <w:lang w:eastAsia="zh-CN"/>
        </w:rPr>
        <w:t>减</w:t>
      </w:r>
      <w:r>
        <w:rPr>
          <w:rFonts w:hint="eastAsia" w:ascii="仿宋_GB2312" w:hAnsi="仿宋_GB2312" w:eastAsia="仿宋_GB2312" w:cs="仿宋_GB2312"/>
          <w:b w:val="0"/>
          <w:bCs w:val="0"/>
          <w:color w:val="auto"/>
          <w:sz w:val="32"/>
          <w:szCs w:val="32"/>
          <w:highlight w:val="none"/>
        </w:rPr>
        <w:t>收</w:t>
      </w:r>
      <w:r>
        <w:rPr>
          <w:rFonts w:hint="eastAsia" w:ascii="仿宋_GB2312" w:hAnsi="仿宋_GB2312" w:cs="仿宋_GB2312"/>
          <w:b w:val="0"/>
          <w:bCs w:val="0"/>
          <w:color w:val="auto"/>
          <w:sz w:val="32"/>
          <w:szCs w:val="32"/>
          <w:highlight w:val="none"/>
          <w:lang w:val="en-US" w:eastAsia="zh-CN"/>
        </w:rPr>
        <w:t>441,884</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下降</w:t>
      </w:r>
      <w:r>
        <w:rPr>
          <w:rFonts w:hint="eastAsia" w:ascii="仿宋_GB2312" w:hAnsi="仿宋_GB2312" w:cs="仿宋_GB2312"/>
          <w:b w:val="0"/>
          <w:bCs w:val="0"/>
          <w:color w:val="auto"/>
          <w:sz w:val="32"/>
          <w:szCs w:val="32"/>
          <w:highlight w:val="none"/>
          <w:lang w:val="en-US" w:eastAsia="zh-CN"/>
        </w:rPr>
        <w:t>49.01</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，主要是今年土地出让收入</w:t>
      </w:r>
      <w:r>
        <w:rPr>
          <w:rFonts w:hint="eastAsia" w:ascii="仿宋_GB2312" w:hAnsi="仿宋_GB2312" w:eastAsia="仿宋_GB2312" w:cs="仿宋_GB2312"/>
          <w:b w:val="0"/>
          <w:bCs w:val="0"/>
          <w:color w:val="auto"/>
          <w:sz w:val="32"/>
          <w:szCs w:val="32"/>
          <w:highlight w:val="none"/>
          <w:lang w:val="en-US" w:eastAsia="zh-CN"/>
        </w:rPr>
        <w:t>大幅下降</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其中国有土地使用权出让收入</w:t>
      </w:r>
      <w:r>
        <w:rPr>
          <w:rFonts w:hint="eastAsia" w:ascii="仿宋_GB2312" w:hAnsi="仿宋_GB2312" w:cs="仿宋_GB2312"/>
          <w:b w:val="0"/>
          <w:bCs w:val="0"/>
          <w:color w:val="auto"/>
          <w:sz w:val="32"/>
          <w:szCs w:val="32"/>
          <w:highlight w:val="none"/>
          <w:lang w:val="en-US" w:eastAsia="zh-CN"/>
        </w:rPr>
        <w:t>359,956</w:t>
      </w:r>
      <w:r>
        <w:rPr>
          <w:rFonts w:hint="eastAsia" w:ascii="仿宋_GB2312" w:hAnsi="仿宋_GB2312" w:eastAsia="仿宋_GB2312" w:cs="仿宋_GB2312"/>
          <w:b w:val="0"/>
          <w:bCs w:val="0"/>
          <w:color w:val="auto"/>
          <w:sz w:val="32"/>
          <w:szCs w:val="32"/>
          <w:highlight w:val="none"/>
        </w:rPr>
        <w:t>万元、彩票公益金收入</w:t>
      </w:r>
      <w:r>
        <w:rPr>
          <w:rFonts w:hint="eastAsia" w:ascii="仿宋_GB2312" w:hAnsi="仿宋_GB2312" w:eastAsia="仿宋_GB2312" w:cs="仿宋_GB2312"/>
          <w:b w:val="0"/>
          <w:bCs w:val="0"/>
          <w:color w:val="auto"/>
          <w:sz w:val="32"/>
          <w:szCs w:val="32"/>
          <w:highlight w:val="none"/>
          <w:lang w:val="en-US" w:eastAsia="zh-CN"/>
        </w:rPr>
        <w:t>4,438</w:t>
      </w:r>
      <w:r>
        <w:rPr>
          <w:rFonts w:hint="eastAsia" w:ascii="仿宋_GB2312" w:hAnsi="仿宋_GB2312" w:eastAsia="仿宋_GB2312" w:cs="仿宋_GB2312"/>
          <w:b w:val="0"/>
          <w:bCs w:val="0"/>
          <w:color w:val="auto"/>
          <w:sz w:val="32"/>
          <w:szCs w:val="32"/>
          <w:highlight w:val="none"/>
        </w:rPr>
        <w:t>万元、城市基础设施配套费收入</w:t>
      </w:r>
      <w:r>
        <w:rPr>
          <w:rFonts w:hint="eastAsia" w:ascii="仿宋_GB2312" w:hAnsi="仿宋_GB2312" w:eastAsia="仿宋_GB2312" w:cs="仿宋_GB2312"/>
          <w:b w:val="0"/>
          <w:bCs w:val="0"/>
          <w:color w:val="auto"/>
          <w:sz w:val="32"/>
          <w:szCs w:val="32"/>
          <w:highlight w:val="none"/>
          <w:lang w:val="en-US" w:eastAsia="zh-CN"/>
        </w:rPr>
        <w:t>61,983</w:t>
      </w:r>
      <w:r>
        <w:rPr>
          <w:rFonts w:hint="eastAsia" w:ascii="仿宋_GB2312" w:hAnsi="仿宋_GB2312" w:eastAsia="仿宋_GB2312" w:cs="仿宋_GB2312"/>
          <w:b w:val="0"/>
          <w:bCs w:val="0"/>
          <w:color w:val="auto"/>
          <w:sz w:val="32"/>
          <w:szCs w:val="32"/>
          <w:highlight w:val="none"/>
        </w:rPr>
        <w:t>万元、污水处理费收入</w:t>
      </w:r>
      <w:r>
        <w:rPr>
          <w:rFonts w:hint="eastAsia" w:ascii="仿宋_GB2312" w:hAnsi="仿宋_GB2312" w:eastAsia="仿宋_GB2312" w:cs="仿宋_GB2312"/>
          <w:b w:val="0"/>
          <w:bCs w:val="0"/>
          <w:color w:val="auto"/>
          <w:sz w:val="32"/>
          <w:szCs w:val="32"/>
          <w:highlight w:val="none"/>
          <w:lang w:val="en-US" w:eastAsia="zh-CN"/>
        </w:rPr>
        <w:t>33,434</w:t>
      </w:r>
      <w:r>
        <w:rPr>
          <w:rFonts w:hint="eastAsia" w:ascii="仿宋_GB2312" w:hAnsi="仿宋_GB2312" w:eastAsia="仿宋_GB2312" w:cs="仿宋_GB2312"/>
          <w:b w:val="0"/>
          <w:bCs w:val="0"/>
          <w:color w:val="auto"/>
          <w:sz w:val="32"/>
          <w:szCs w:val="32"/>
          <w:highlight w:val="none"/>
        </w:rPr>
        <w:t>万元。加上上级补助收入</w:t>
      </w:r>
      <w:r>
        <w:rPr>
          <w:rFonts w:hint="eastAsia" w:ascii="仿宋_GB2312" w:hAnsi="仿宋_GB2312" w:eastAsia="仿宋_GB2312" w:cs="仿宋_GB2312"/>
          <w:b w:val="0"/>
          <w:bCs w:val="0"/>
          <w:color w:val="auto"/>
          <w:sz w:val="32"/>
          <w:szCs w:val="32"/>
          <w:highlight w:val="none"/>
          <w:lang w:val="en-US" w:eastAsia="zh-CN"/>
        </w:rPr>
        <w:t>130,770</w:t>
      </w:r>
      <w:r>
        <w:rPr>
          <w:rFonts w:hint="eastAsia" w:ascii="仿宋_GB2312" w:hAnsi="仿宋_GB2312" w:eastAsia="仿宋_GB2312" w:cs="仿宋_GB2312"/>
          <w:b w:val="0"/>
          <w:bCs w:val="0"/>
          <w:color w:val="auto"/>
          <w:sz w:val="32"/>
          <w:szCs w:val="32"/>
          <w:highlight w:val="none"/>
        </w:rPr>
        <w:t>万元、专项债务转贷收入</w:t>
      </w:r>
      <w:r>
        <w:rPr>
          <w:rFonts w:hint="eastAsia" w:ascii="仿宋_GB2312" w:hAnsi="仿宋_GB2312" w:eastAsia="仿宋_GB2312" w:cs="仿宋_GB2312"/>
          <w:b w:val="0"/>
          <w:bCs w:val="0"/>
          <w:color w:val="auto"/>
          <w:sz w:val="32"/>
          <w:szCs w:val="32"/>
          <w:highlight w:val="none"/>
          <w:lang w:val="en-US" w:eastAsia="zh-CN"/>
        </w:rPr>
        <w:t>866,475</w:t>
      </w:r>
      <w:r>
        <w:rPr>
          <w:rFonts w:hint="eastAsia" w:ascii="仿宋_GB2312" w:hAnsi="仿宋_GB2312" w:eastAsia="仿宋_GB2312" w:cs="仿宋_GB2312"/>
          <w:b w:val="0"/>
          <w:bCs w:val="0"/>
          <w:color w:val="auto"/>
          <w:sz w:val="32"/>
          <w:szCs w:val="32"/>
          <w:highlight w:val="none"/>
        </w:rPr>
        <w:t>万元、上年</w:t>
      </w:r>
      <w:r>
        <w:rPr>
          <w:rFonts w:hint="eastAsia" w:ascii="仿宋_GB2312" w:hAnsi="仿宋_GB2312" w:eastAsia="仿宋_GB2312" w:cs="仿宋_GB2312"/>
          <w:b w:val="0"/>
          <w:bCs w:val="0"/>
          <w:color w:val="auto"/>
          <w:sz w:val="32"/>
          <w:szCs w:val="32"/>
          <w:highlight w:val="none"/>
          <w:lang w:val="en-US" w:eastAsia="zh-CN"/>
        </w:rPr>
        <w:t>区镇年终结转</w:t>
      </w:r>
      <w:r>
        <w:rPr>
          <w:rFonts w:hint="eastAsia" w:ascii="仿宋_GB2312" w:hAnsi="仿宋_GB2312" w:eastAsia="仿宋_GB2312" w:cs="仿宋_GB2312"/>
          <w:b w:val="0"/>
          <w:bCs w:val="0"/>
          <w:color w:val="auto"/>
          <w:sz w:val="32"/>
          <w:szCs w:val="32"/>
          <w:highlight w:val="none"/>
        </w:rPr>
        <w:t>结余</w:t>
      </w:r>
      <w:r>
        <w:rPr>
          <w:rFonts w:hint="eastAsia" w:ascii="仿宋_GB2312" w:hAnsi="仿宋_GB2312" w:eastAsia="仿宋_GB2312" w:cs="仿宋_GB2312"/>
          <w:b w:val="0"/>
          <w:bCs w:val="0"/>
          <w:color w:val="auto"/>
          <w:sz w:val="32"/>
          <w:szCs w:val="32"/>
          <w:highlight w:val="none"/>
          <w:lang w:val="en-US" w:eastAsia="zh-CN"/>
        </w:rPr>
        <w:t>13,545万</w:t>
      </w:r>
      <w:r>
        <w:rPr>
          <w:rFonts w:hint="eastAsia" w:ascii="仿宋_GB2312" w:hAnsi="仿宋_GB2312" w:eastAsia="仿宋_GB2312" w:cs="仿宋_GB2312"/>
          <w:b w:val="0"/>
          <w:bCs w:val="0"/>
          <w:color w:val="auto"/>
          <w:sz w:val="32"/>
          <w:szCs w:val="32"/>
          <w:highlight w:val="none"/>
        </w:rPr>
        <w:t>元</w:t>
      </w:r>
      <w:r>
        <w:rPr>
          <w:rFonts w:hint="eastAsia" w:ascii="仿宋_GB2312" w:hAnsi="仿宋_GB2312" w:eastAsia="仿宋_GB2312" w:cs="仿宋_GB2312"/>
          <w:b w:val="0"/>
          <w:bCs w:val="0"/>
          <w:color w:val="auto"/>
          <w:sz w:val="32"/>
          <w:szCs w:val="32"/>
          <w:highlight w:val="none"/>
          <w:lang w:eastAsia="zh-CN"/>
        </w:rPr>
        <w:t>后</w:t>
      </w: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eastAsia" w:ascii="仿宋_GB2312" w:hAnsi="仿宋_GB2312" w:eastAsia="仿宋_GB2312" w:cs="仿宋_GB2312"/>
          <w:b w:val="0"/>
          <w:bCs w:val="0"/>
          <w:color w:val="auto"/>
          <w:sz w:val="32"/>
          <w:szCs w:val="32"/>
          <w:highlight w:val="none"/>
        </w:rPr>
        <w:t>年政府性基金预算总收入</w:t>
      </w: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cs="仿宋_GB2312"/>
          <w:b w:val="0"/>
          <w:bCs w:val="0"/>
          <w:color w:val="auto"/>
          <w:sz w:val="32"/>
          <w:szCs w:val="32"/>
          <w:highlight w:val="none"/>
          <w:lang w:val="en-US" w:eastAsia="zh-CN"/>
        </w:rPr>
        <w:t>,470,601</w:t>
      </w:r>
      <w:r>
        <w:rPr>
          <w:rFonts w:hint="eastAsia" w:ascii="仿宋_GB2312" w:hAnsi="仿宋_GB2312" w:eastAsia="仿宋_GB2312" w:cs="仿宋_GB2312"/>
          <w:b w:val="0"/>
          <w:bCs w:val="0"/>
          <w:color w:val="auto"/>
          <w:sz w:val="32"/>
          <w:szCs w:val="32"/>
          <w:highlight w:val="none"/>
        </w:rPr>
        <w:t>万元。</w:t>
      </w:r>
    </w:p>
    <w:p w14:paraId="59076A27">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eastAsia" w:ascii="仿宋_GB2312" w:hAnsi="仿宋_GB2312" w:cs="仿宋_GB2312"/>
          <w:b w:val="0"/>
          <w:bCs w:val="0"/>
          <w:color w:val="auto"/>
          <w:szCs w:val="32"/>
          <w:highlight w:val="none"/>
        </w:rPr>
      </w:pPr>
      <w:r>
        <w:rPr>
          <w:rFonts w:hint="eastAsia" w:ascii="仿宋_GB2312" w:hAnsi="仿宋_GB2312" w:eastAsia="仿宋_GB2312" w:cs="仿宋_GB2312"/>
          <w:b w:val="0"/>
          <w:bCs w:val="0"/>
          <w:color w:val="auto"/>
          <w:sz w:val="32"/>
          <w:szCs w:val="32"/>
          <w:highlight w:val="none"/>
        </w:rPr>
        <w:t>全年政府性基金支出</w:t>
      </w:r>
      <w:r>
        <w:rPr>
          <w:rFonts w:hint="eastAsia" w:ascii="仿宋_GB2312" w:hAnsi="仿宋_GB2312" w:cs="仿宋_GB2312"/>
          <w:b w:val="0"/>
          <w:bCs w:val="0"/>
          <w:color w:val="auto"/>
          <w:sz w:val="32"/>
          <w:szCs w:val="32"/>
          <w:highlight w:val="none"/>
          <w:lang w:val="en-US" w:eastAsia="zh-CN"/>
        </w:rPr>
        <w:t>1,015,186</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kern w:val="0"/>
          <w:sz w:val="32"/>
          <w:szCs w:val="32"/>
          <w:highlight w:val="none"/>
        </w:rPr>
        <w:t>比202</w:t>
      </w:r>
      <w:r>
        <w:rPr>
          <w:rFonts w:hint="eastAsia" w:ascii="仿宋_GB2312" w:hAnsi="仿宋_GB2312" w:eastAsia="仿宋_GB2312" w:cs="仿宋_GB2312"/>
          <w:b w:val="0"/>
          <w:bCs w:val="0"/>
          <w:color w:val="auto"/>
          <w:kern w:val="0"/>
          <w:sz w:val="32"/>
          <w:szCs w:val="32"/>
          <w:highlight w:val="none"/>
          <w:lang w:val="en-US" w:eastAsia="zh-CN"/>
        </w:rPr>
        <w:t>3</w:t>
      </w:r>
      <w:r>
        <w:rPr>
          <w:rFonts w:hint="eastAsia" w:ascii="仿宋_GB2312" w:hAnsi="仿宋_GB2312" w:eastAsia="仿宋_GB2312" w:cs="仿宋_GB2312"/>
          <w:b w:val="0"/>
          <w:bCs w:val="0"/>
          <w:color w:val="auto"/>
          <w:kern w:val="0"/>
          <w:sz w:val="32"/>
          <w:szCs w:val="32"/>
          <w:highlight w:val="none"/>
        </w:rPr>
        <w:t>年</w:t>
      </w:r>
      <w:r>
        <w:rPr>
          <w:rFonts w:hint="eastAsia" w:ascii="仿宋_GB2312" w:hAnsi="仿宋_GB2312" w:eastAsia="仿宋_GB2312" w:cs="仿宋_GB2312"/>
          <w:b w:val="0"/>
          <w:bCs w:val="0"/>
          <w:color w:val="auto"/>
          <w:kern w:val="0"/>
          <w:sz w:val="32"/>
          <w:szCs w:val="32"/>
          <w:highlight w:val="none"/>
          <w:lang w:eastAsia="zh-CN"/>
        </w:rPr>
        <w:t>减</w:t>
      </w:r>
      <w:r>
        <w:rPr>
          <w:rFonts w:hint="eastAsia" w:ascii="仿宋_GB2312" w:hAnsi="仿宋_GB2312" w:eastAsia="仿宋_GB2312" w:cs="仿宋_GB2312"/>
          <w:b w:val="0"/>
          <w:bCs w:val="0"/>
          <w:color w:val="auto"/>
          <w:sz w:val="32"/>
          <w:szCs w:val="32"/>
          <w:highlight w:val="none"/>
        </w:rPr>
        <w:t>支</w:t>
      </w:r>
      <w:r>
        <w:rPr>
          <w:rFonts w:hint="eastAsia" w:ascii="仿宋_GB2312" w:hAnsi="仿宋_GB2312" w:cs="仿宋_GB2312"/>
          <w:b w:val="0"/>
          <w:bCs w:val="0"/>
          <w:color w:val="auto"/>
          <w:sz w:val="32"/>
          <w:szCs w:val="32"/>
          <w:highlight w:val="none"/>
          <w:lang w:val="en-US" w:eastAsia="zh-CN"/>
        </w:rPr>
        <w:t>105,675</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下降</w:t>
      </w:r>
      <w:r>
        <w:rPr>
          <w:rFonts w:hint="eastAsia" w:ascii="仿宋_GB2312" w:hAnsi="仿宋_GB2312" w:cs="仿宋_GB2312"/>
          <w:b w:val="0"/>
          <w:bCs w:val="0"/>
          <w:color w:val="auto"/>
          <w:sz w:val="32"/>
          <w:szCs w:val="32"/>
          <w:highlight w:val="none"/>
          <w:lang w:val="en-US" w:eastAsia="zh-CN"/>
        </w:rPr>
        <w:t>9.43</w:t>
      </w:r>
      <w:r>
        <w:rPr>
          <w:rFonts w:hint="eastAsia" w:ascii="仿宋_GB2312" w:hAnsi="仿宋_GB2312" w:eastAsia="仿宋_GB2312" w:cs="仿宋_GB2312"/>
          <w:b w:val="0"/>
          <w:bCs w:val="0"/>
          <w:color w:val="auto"/>
          <w:sz w:val="32"/>
          <w:szCs w:val="32"/>
          <w:highlight w:val="none"/>
        </w:rPr>
        <w:t>%；其中国有土地使用权出让支出</w:t>
      </w:r>
      <w:r>
        <w:rPr>
          <w:rFonts w:hint="eastAsia" w:ascii="仿宋_GB2312" w:hAnsi="仿宋_GB2312" w:eastAsia="仿宋_GB2312" w:cs="仿宋_GB2312"/>
          <w:b w:val="0"/>
          <w:bCs w:val="0"/>
          <w:color w:val="auto"/>
          <w:sz w:val="32"/>
          <w:szCs w:val="32"/>
          <w:highlight w:val="none"/>
          <w:lang w:val="en-US" w:eastAsia="zh-CN"/>
        </w:rPr>
        <w:t>282,852</w:t>
      </w:r>
      <w:r>
        <w:rPr>
          <w:rFonts w:hint="eastAsia" w:ascii="仿宋_GB2312" w:hAnsi="仿宋_GB2312" w:eastAsia="仿宋_GB2312" w:cs="仿宋_GB2312"/>
          <w:b w:val="0"/>
          <w:bCs w:val="0"/>
          <w:color w:val="auto"/>
          <w:sz w:val="32"/>
          <w:szCs w:val="32"/>
          <w:highlight w:val="none"/>
        </w:rPr>
        <w:t>万元，同比</w:t>
      </w:r>
      <w:r>
        <w:rPr>
          <w:rFonts w:hint="eastAsia" w:ascii="仿宋_GB2312" w:hAnsi="仿宋_GB2312" w:eastAsia="仿宋_GB2312" w:cs="仿宋_GB2312"/>
          <w:b w:val="0"/>
          <w:bCs w:val="0"/>
          <w:color w:val="auto"/>
          <w:sz w:val="32"/>
          <w:szCs w:val="32"/>
          <w:highlight w:val="none"/>
          <w:lang w:val="en-US" w:eastAsia="zh-CN"/>
        </w:rPr>
        <w:t>减</w:t>
      </w:r>
      <w:r>
        <w:rPr>
          <w:rFonts w:hint="eastAsia" w:ascii="仿宋_GB2312" w:hAnsi="仿宋_GB2312" w:eastAsia="仿宋_GB2312" w:cs="仿宋_GB2312"/>
          <w:b w:val="0"/>
          <w:bCs w:val="0"/>
          <w:color w:val="auto"/>
          <w:sz w:val="32"/>
          <w:szCs w:val="32"/>
          <w:highlight w:val="none"/>
        </w:rPr>
        <w:t>支</w:t>
      </w:r>
      <w:r>
        <w:rPr>
          <w:rFonts w:hint="eastAsia" w:ascii="仿宋_GB2312" w:hAnsi="仿宋_GB2312" w:eastAsia="仿宋_GB2312" w:cs="仿宋_GB2312"/>
          <w:b w:val="0"/>
          <w:bCs w:val="0"/>
          <w:color w:val="auto"/>
          <w:sz w:val="32"/>
          <w:szCs w:val="32"/>
          <w:highlight w:val="none"/>
          <w:lang w:val="en-US" w:eastAsia="zh-CN"/>
        </w:rPr>
        <w:t>217,865</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下降43.51</w:t>
      </w:r>
      <w:r>
        <w:rPr>
          <w:rFonts w:hint="eastAsia" w:ascii="仿宋_GB2312" w:hAnsi="仿宋_GB2312" w:eastAsia="仿宋_GB2312" w:cs="仿宋_GB2312"/>
          <w:b w:val="0"/>
          <w:bCs w:val="0"/>
          <w:color w:val="auto"/>
          <w:sz w:val="32"/>
          <w:szCs w:val="32"/>
          <w:highlight w:val="none"/>
        </w:rPr>
        <w:t>%。加上调出资金</w:t>
      </w:r>
      <w:r>
        <w:rPr>
          <w:rFonts w:hint="eastAsia" w:ascii="仿宋_GB2312" w:hAnsi="仿宋_GB2312" w:cs="仿宋_GB2312"/>
          <w:b w:val="0"/>
          <w:bCs w:val="0"/>
          <w:color w:val="auto"/>
          <w:sz w:val="32"/>
          <w:szCs w:val="32"/>
          <w:highlight w:val="none"/>
          <w:lang w:val="en-US" w:eastAsia="zh-CN"/>
        </w:rPr>
        <w:t>105,290</w:t>
      </w:r>
      <w:r>
        <w:rPr>
          <w:rFonts w:hint="eastAsia" w:ascii="仿宋_GB2312" w:hAnsi="仿宋_GB2312" w:eastAsia="仿宋_GB2312" w:cs="仿宋_GB2312"/>
          <w:b w:val="0"/>
          <w:bCs w:val="0"/>
          <w:color w:val="auto"/>
          <w:sz w:val="32"/>
          <w:szCs w:val="32"/>
          <w:highlight w:val="none"/>
        </w:rPr>
        <w:t>万元、上解支出</w:t>
      </w:r>
      <w:r>
        <w:rPr>
          <w:rFonts w:hint="eastAsia" w:ascii="仿宋_GB2312" w:hAnsi="仿宋_GB2312" w:eastAsia="仿宋_GB2312" w:cs="仿宋_GB2312"/>
          <w:b w:val="0"/>
          <w:bCs w:val="0"/>
          <w:color w:val="auto"/>
          <w:sz w:val="32"/>
          <w:szCs w:val="32"/>
          <w:highlight w:val="none"/>
          <w:lang w:val="en-US" w:eastAsia="zh-CN"/>
        </w:rPr>
        <w:t>1,018</w:t>
      </w:r>
      <w:r>
        <w:rPr>
          <w:rFonts w:hint="eastAsia" w:ascii="仿宋_GB2312" w:hAnsi="仿宋_GB2312" w:eastAsia="仿宋_GB2312" w:cs="仿宋_GB2312"/>
          <w:b w:val="0"/>
          <w:bCs w:val="0"/>
          <w:color w:val="auto"/>
          <w:sz w:val="32"/>
          <w:szCs w:val="32"/>
          <w:highlight w:val="none"/>
        </w:rPr>
        <w:t>万元、专项债务还本支出</w:t>
      </w:r>
      <w:r>
        <w:rPr>
          <w:rFonts w:hint="eastAsia" w:ascii="仿宋_GB2312" w:hAnsi="仿宋_GB2312" w:eastAsia="仿宋_GB2312" w:cs="仿宋_GB2312"/>
          <w:b w:val="0"/>
          <w:bCs w:val="0"/>
          <w:color w:val="auto"/>
          <w:sz w:val="32"/>
          <w:szCs w:val="32"/>
          <w:highlight w:val="none"/>
          <w:lang w:val="en-US" w:eastAsia="zh-CN"/>
        </w:rPr>
        <w:t>341,281</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后</w:t>
      </w:r>
      <w:r>
        <w:rPr>
          <w:rFonts w:hint="eastAsia" w:ascii="仿宋_GB2312" w:hAnsi="仿宋_GB2312" w:eastAsia="仿宋_GB2312" w:cs="仿宋_GB2312"/>
          <w:b w:val="0"/>
          <w:bCs w:val="0"/>
          <w:color w:val="auto"/>
          <w:sz w:val="32"/>
          <w:szCs w:val="32"/>
          <w:highlight w:val="none"/>
        </w:rPr>
        <w:t>，政府性基金预算总支出</w:t>
      </w:r>
      <w:r>
        <w:rPr>
          <w:rFonts w:hint="eastAsia" w:ascii="仿宋_GB2312" w:hAnsi="仿宋_GB2312" w:cs="仿宋_GB2312"/>
          <w:b w:val="0"/>
          <w:bCs w:val="0"/>
          <w:color w:val="auto"/>
          <w:sz w:val="32"/>
          <w:szCs w:val="32"/>
          <w:highlight w:val="none"/>
          <w:lang w:val="en-US" w:eastAsia="zh-CN"/>
        </w:rPr>
        <w:t>1,462,775</w:t>
      </w:r>
      <w:r>
        <w:rPr>
          <w:rFonts w:hint="eastAsia"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区镇</w:t>
      </w:r>
      <w:r>
        <w:rPr>
          <w:rFonts w:hint="eastAsia" w:ascii="仿宋_GB2312" w:hAnsi="仿宋_GB2312" w:eastAsia="仿宋_GB2312" w:cs="仿宋_GB2312"/>
          <w:b w:val="0"/>
          <w:bCs w:val="0"/>
          <w:color w:val="auto"/>
          <w:sz w:val="32"/>
          <w:szCs w:val="32"/>
          <w:highlight w:val="none"/>
        </w:rPr>
        <w:t>年终结</w:t>
      </w:r>
      <w:r>
        <w:rPr>
          <w:rFonts w:hint="eastAsia" w:ascii="仿宋_GB2312" w:hAnsi="仿宋_GB2312" w:eastAsia="仿宋_GB2312" w:cs="仿宋_GB2312"/>
          <w:b w:val="0"/>
          <w:bCs w:val="0"/>
          <w:color w:val="auto"/>
          <w:sz w:val="32"/>
          <w:szCs w:val="32"/>
          <w:highlight w:val="none"/>
          <w:lang w:eastAsia="zh-CN"/>
        </w:rPr>
        <w:t>转</w:t>
      </w:r>
      <w:r>
        <w:rPr>
          <w:rFonts w:hint="eastAsia" w:ascii="仿宋_GB2312" w:hAnsi="仿宋_GB2312" w:cs="仿宋_GB2312"/>
          <w:b w:val="0"/>
          <w:bCs w:val="0"/>
          <w:color w:val="auto"/>
          <w:sz w:val="32"/>
          <w:szCs w:val="32"/>
          <w:highlight w:val="none"/>
          <w:lang w:eastAsia="zh-CN"/>
        </w:rPr>
        <w:t>结余</w:t>
      </w:r>
      <w:r>
        <w:rPr>
          <w:rFonts w:hint="eastAsia" w:ascii="仿宋_GB2312" w:hAnsi="仿宋_GB2312" w:eastAsia="仿宋_GB2312" w:cs="仿宋_GB2312"/>
          <w:b w:val="0"/>
          <w:bCs w:val="0"/>
          <w:color w:val="auto"/>
          <w:sz w:val="32"/>
          <w:szCs w:val="32"/>
          <w:highlight w:val="none"/>
          <w:lang w:val="en-US" w:eastAsia="zh-CN"/>
        </w:rPr>
        <w:t>7,826</w:t>
      </w:r>
      <w:r>
        <w:rPr>
          <w:rFonts w:hint="eastAsia" w:ascii="仿宋_GB2312" w:hAnsi="仿宋_GB2312" w:eastAsia="仿宋_GB2312" w:cs="仿宋_GB2312"/>
          <w:b w:val="0"/>
          <w:bCs w:val="0"/>
          <w:color w:val="auto"/>
          <w:sz w:val="32"/>
          <w:szCs w:val="32"/>
          <w:highlight w:val="none"/>
        </w:rPr>
        <w:t>万元。</w:t>
      </w:r>
    </w:p>
    <w:p w14:paraId="4AD3BBA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（三）国有资本经营预算执行情况</w:t>
      </w:r>
    </w:p>
    <w:p w14:paraId="4F55479A">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default" w:ascii="仿宋_GB2312" w:hAnsi="仿宋_GB2312" w:eastAsia="仿宋_GB2312" w:cs="仿宋_GB2312"/>
          <w:b w:val="0"/>
          <w:bCs w:val="0"/>
          <w:color w:val="auto"/>
          <w:sz w:val="32"/>
          <w:szCs w:val="32"/>
          <w:highlight w:val="none"/>
        </w:rPr>
      </w:pPr>
      <w:r>
        <w:rPr>
          <w:rFonts w:hint="default"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default" w:ascii="仿宋_GB2312" w:hAnsi="仿宋_GB2312" w:eastAsia="仿宋_GB2312" w:cs="仿宋_GB2312"/>
          <w:b w:val="0"/>
          <w:bCs w:val="0"/>
          <w:color w:val="auto"/>
          <w:sz w:val="32"/>
          <w:szCs w:val="32"/>
          <w:highlight w:val="none"/>
        </w:rPr>
        <w:t>年全区国有资本经营预算收入</w:t>
      </w:r>
      <w:r>
        <w:rPr>
          <w:rFonts w:hint="eastAsia" w:ascii="仿宋_GB2312" w:hAnsi="仿宋_GB2312" w:eastAsia="仿宋_GB2312" w:cs="仿宋_GB2312"/>
          <w:b w:val="0"/>
          <w:bCs w:val="0"/>
          <w:color w:val="auto"/>
          <w:sz w:val="32"/>
          <w:szCs w:val="32"/>
          <w:highlight w:val="none"/>
          <w:lang w:val="en-US" w:eastAsia="zh-CN"/>
        </w:rPr>
        <w:t>25,172</w:t>
      </w:r>
      <w:r>
        <w:rPr>
          <w:rFonts w:hint="default" w:ascii="仿宋_GB2312" w:hAnsi="仿宋_GB2312" w:eastAsia="仿宋_GB2312" w:cs="仿宋_GB2312"/>
          <w:b w:val="0"/>
          <w:bCs w:val="0"/>
          <w:color w:val="auto"/>
          <w:sz w:val="32"/>
          <w:szCs w:val="32"/>
          <w:highlight w:val="none"/>
        </w:rPr>
        <w:t>万元，完成年</w:t>
      </w:r>
      <w:r>
        <w:rPr>
          <w:rFonts w:hint="default" w:ascii="仿宋_GB2312" w:hAnsi="仿宋_GB2312" w:eastAsia="仿宋_GB2312" w:cs="仿宋_GB2312"/>
          <w:b w:val="0"/>
          <w:bCs w:val="0"/>
          <w:color w:val="auto"/>
          <w:sz w:val="32"/>
          <w:szCs w:val="32"/>
          <w:highlight w:val="none"/>
          <w:lang w:val="en-US" w:eastAsia="zh-CN"/>
        </w:rPr>
        <w:t>度</w:t>
      </w:r>
      <w:r>
        <w:rPr>
          <w:rFonts w:hint="default" w:ascii="仿宋_GB2312" w:hAnsi="仿宋_GB2312" w:eastAsia="仿宋_GB2312" w:cs="仿宋_GB2312"/>
          <w:b w:val="0"/>
          <w:bCs w:val="0"/>
          <w:color w:val="auto"/>
          <w:sz w:val="32"/>
          <w:szCs w:val="32"/>
          <w:highlight w:val="none"/>
        </w:rPr>
        <w:t>预算的</w:t>
      </w:r>
      <w:r>
        <w:rPr>
          <w:rFonts w:hint="eastAsia" w:ascii="仿宋_GB2312" w:hAnsi="仿宋_GB2312" w:eastAsia="仿宋_GB2312" w:cs="仿宋_GB2312"/>
          <w:b w:val="0"/>
          <w:bCs w:val="0"/>
          <w:color w:val="auto"/>
          <w:sz w:val="32"/>
          <w:szCs w:val="32"/>
          <w:highlight w:val="none"/>
          <w:lang w:val="en-US" w:eastAsia="zh-CN"/>
        </w:rPr>
        <w:t>101.50</w:t>
      </w:r>
      <w:r>
        <w:rPr>
          <w:rFonts w:hint="default" w:ascii="仿宋_GB2312" w:hAnsi="仿宋_GB2312" w:eastAsia="仿宋_GB2312" w:cs="仿宋_GB2312"/>
          <w:b w:val="0"/>
          <w:bCs w:val="0"/>
          <w:color w:val="auto"/>
          <w:sz w:val="32"/>
          <w:szCs w:val="32"/>
          <w:highlight w:val="none"/>
        </w:rPr>
        <w:t>%，比202</w:t>
      </w:r>
      <w:r>
        <w:rPr>
          <w:rFonts w:hint="eastAsia" w:ascii="仿宋_GB2312" w:hAnsi="仿宋_GB2312" w:eastAsia="仿宋_GB2312" w:cs="仿宋_GB2312"/>
          <w:b w:val="0"/>
          <w:bCs w:val="0"/>
          <w:color w:val="auto"/>
          <w:sz w:val="32"/>
          <w:szCs w:val="32"/>
          <w:highlight w:val="none"/>
          <w:lang w:val="en-US" w:eastAsia="zh-CN"/>
        </w:rPr>
        <w:t>3</w:t>
      </w:r>
      <w:r>
        <w:rPr>
          <w:rFonts w:hint="default" w:ascii="仿宋_GB2312" w:hAnsi="仿宋_GB2312" w:eastAsia="仿宋_GB2312" w:cs="仿宋_GB2312"/>
          <w:b w:val="0"/>
          <w:bCs w:val="0"/>
          <w:color w:val="auto"/>
          <w:sz w:val="32"/>
          <w:szCs w:val="32"/>
          <w:highlight w:val="none"/>
        </w:rPr>
        <w:t>年</w:t>
      </w:r>
      <w:r>
        <w:rPr>
          <w:rFonts w:hint="eastAsia" w:ascii="仿宋_GB2312" w:hAnsi="仿宋_GB2312" w:eastAsia="仿宋_GB2312" w:cs="仿宋_GB2312"/>
          <w:b w:val="0"/>
          <w:bCs w:val="0"/>
          <w:color w:val="auto"/>
          <w:sz w:val="32"/>
          <w:szCs w:val="32"/>
          <w:highlight w:val="none"/>
          <w:lang w:eastAsia="zh-CN"/>
        </w:rPr>
        <w:t>增</w:t>
      </w:r>
      <w:r>
        <w:rPr>
          <w:rFonts w:hint="default" w:ascii="仿宋_GB2312" w:hAnsi="仿宋_GB2312" w:eastAsia="仿宋_GB2312" w:cs="仿宋_GB2312"/>
          <w:b w:val="0"/>
          <w:bCs w:val="0"/>
          <w:color w:val="auto"/>
          <w:sz w:val="32"/>
          <w:szCs w:val="32"/>
          <w:highlight w:val="none"/>
        </w:rPr>
        <w:t>收</w:t>
      </w:r>
      <w:r>
        <w:rPr>
          <w:rFonts w:hint="eastAsia" w:ascii="仿宋_GB2312" w:hAnsi="仿宋_GB2312" w:eastAsia="仿宋_GB2312" w:cs="仿宋_GB2312"/>
          <w:b w:val="0"/>
          <w:bCs w:val="0"/>
          <w:color w:val="auto"/>
          <w:sz w:val="32"/>
          <w:szCs w:val="32"/>
          <w:highlight w:val="none"/>
          <w:lang w:val="en-US" w:eastAsia="zh-CN"/>
        </w:rPr>
        <w:t>10,849</w:t>
      </w:r>
      <w:r>
        <w:rPr>
          <w:rFonts w:hint="default"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增长</w:t>
      </w:r>
      <w:r>
        <w:rPr>
          <w:rFonts w:hint="eastAsia" w:ascii="仿宋_GB2312" w:hAnsi="仿宋_GB2312" w:eastAsia="仿宋_GB2312" w:cs="仿宋_GB2312"/>
          <w:b w:val="0"/>
          <w:bCs w:val="0"/>
          <w:color w:val="auto"/>
          <w:sz w:val="32"/>
          <w:szCs w:val="32"/>
          <w:highlight w:val="none"/>
          <w:lang w:val="en-US" w:eastAsia="zh-CN"/>
        </w:rPr>
        <w:t>75.75</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其中：</w:t>
      </w:r>
      <w:r>
        <w:rPr>
          <w:rFonts w:hint="default" w:ascii="仿宋_GB2312" w:hAnsi="仿宋_GB2312" w:eastAsia="仿宋_GB2312" w:cs="仿宋_GB2312"/>
          <w:b w:val="0"/>
          <w:bCs w:val="0"/>
          <w:color w:val="auto"/>
          <w:sz w:val="32"/>
          <w:szCs w:val="32"/>
          <w:highlight w:val="none"/>
        </w:rPr>
        <w:t>区属国有企业上缴利润</w:t>
      </w:r>
      <w:r>
        <w:rPr>
          <w:rFonts w:hint="eastAsia" w:ascii="仿宋_GB2312" w:hAnsi="仿宋_GB2312" w:eastAsia="仿宋_GB2312" w:cs="仿宋_GB2312"/>
          <w:b w:val="0"/>
          <w:bCs w:val="0"/>
          <w:color w:val="auto"/>
          <w:sz w:val="32"/>
          <w:szCs w:val="32"/>
          <w:highlight w:val="none"/>
          <w:lang w:val="en-US" w:eastAsia="zh-CN"/>
        </w:rPr>
        <w:t>22,172</w:t>
      </w:r>
      <w:r>
        <w:rPr>
          <w:rFonts w:hint="default" w:ascii="仿宋_GB2312" w:hAnsi="仿宋_GB2312" w:eastAsia="仿宋_GB2312" w:cs="仿宋_GB2312"/>
          <w:b w:val="0"/>
          <w:bCs w:val="0"/>
          <w:color w:val="auto"/>
          <w:sz w:val="32"/>
          <w:szCs w:val="32"/>
          <w:highlight w:val="none"/>
        </w:rPr>
        <w:t>万元。加上上年结余</w:t>
      </w:r>
      <w:r>
        <w:rPr>
          <w:rFonts w:hint="eastAsia" w:ascii="仿宋_GB2312" w:hAnsi="仿宋_GB2312" w:eastAsia="仿宋_GB2312" w:cs="仿宋_GB2312"/>
          <w:b w:val="0"/>
          <w:bCs w:val="0"/>
          <w:color w:val="auto"/>
          <w:sz w:val="32"/>
          <w:szCs w:val="32"/>
          <w:highlight w:val="none"/>
          <w:lang w:val="en-US" w:eastAsia="zh-CN"/>
        </w:rPr>
        <w:t>0</w:t>
      </w:r>
      <w:r>
        <w:rPr>
          <w:rFonts w:hint="default" w:ascii="仿宋_GB2312" w:hAnsi="仿宋_GB2312" w:eastAsia="仿宋_GB2312" w:cs="仿宋_GB2312"/>
          <w:b w:val="0"/>
          <w:bCs w:val="0"/>
          <w:color w:val="auto"/>
          <w:sz w:val="32"/>
          <w:szCs w:val="32"/>
          <w:highlight w:val="none"/>
        </w:rPr>
        <w:t>万元，上级补助收入</w:t>
      </w:r>
      <w:r>
        <w:rPr>
          <w:rFonts w:hint="eastAsia" w:ascii="仿宋_GB2312" w:hAnsi="仿宋_GB2312" w:eastAsia="仿宋_GB2312" w:cs="仿宋_GB2312"/>
          <w:b w:val="0"/>
          <w:bCs w:val="0"/>
          <w:color w:val="auto"/>
          <w:sz w:val="32"/>
          <w:szCs w:val="32"/>
          <w:highlight w:val="none"/>
          <w:lang w:val="en-US" w:eastAsia="zh-CN"/>
        </w:rPr>
        <w:t>54</w:t>
      </w:r>
      <w:r>
        <w:rPr>
          <w:rFonts w:hint="default" w:ascii="仿宋_GB2312" w:hAnsi="仿宋_GB2312" w:eastAsia="仿宋_GB2312" w:cs="仿宋_GB2312"/>
          <w:b w:val="0"/>
          <w:bCs w:val="0"/>
          <w:color w:val="auto"/>
          <w:sz w:val="32"/>
          <w:szCs w:val="32"/>
          <w:highlight w:val="none"/>
        </w:rPr>
        <w:t>万元后，全区国有资本经营预算总收入为</w:t>
      </w:r>
      <w:r>
        <w:rPr>
          <w:rFonts w:hint="eastAsia" w:ascii="仿宋_GB2312" w:hAnsi="仿宋_GB2312" w:eastAsia="仿宋_GB2312" w:cs="仿宋_GB2312"/>
          <w:b w:val="0"/>
          <w:bCs w:val="0"/>
          <w:color w:val="auto"/>
          <w:sz w:val="32"/>
          <w:szCs w:val="32"/>
          <w:highlight w:val="none"/>
          <w:lang w:val="en-US" w:eastAsia="zh-CN"/>
        </w:rPr>
        <w:t>25,226</w:t>
      </w:r>
      <w:r>
        <w:rPr>
          <w:rFonts w:hint="default" w:ascii="仿宋_GB2312" w:hAnsi="仿宋_GB2312" w:eastAsia="仿宋_GB2312" w:cs="仿宋_GB2312"/>
          <w:b w:val="0"/>
          <w:bCs w:val="0"/>
          <w:color w:val="auto"/>
          <w:sz w:val="32"/>
          <w:szCs w:val="32"/>
          <w:highlight w:val="none"/>
        </w:rPr>
        <w:t>万元。</w:t>
      </w:r>
    </w:p>
    <w:p w14:paraId="1B17318E">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default" w:ascii="仿宋_GB2312" w:hAnsi="仿宋_GB2312" w:eastAsia="仿宋_GB2312" w:cs="仿宋_GB2312"/>
          <w:b w:val="0"/>
          <w:bCs w:val="0"/>
          <w:color w:val="auto"/>
          <w:sz w:val="32"/>
          <w:szCs w:val="32"/>
          <w:highlight w:val="none"/>
        </w:rPr>
      </w:pPr>
      <w:r>
        <w:rPr>
          <w:rFonts w:hint="default"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default" w:ascii="仿宋_GB2312" w:hAnsi="仿宋_GB2312" w:eastAsia="仿宋_GB2312" w:cs="仿宋_GB2312"/>
          <w:b w:val="0"/>
          <w:bCs w:val="0"/>
          <w:color w:val="auto"/>
          <w:sz w:val="32"/>
          <w:szCs w:val="32"/>
          <w:highlight w:val="none"/>
        </w:rPr>
        <w:t>年全区国有资本经营预算支出</w:t>
      </w:r>
      <w:r>
        <w:rPr>
          <w:rFonts w:hint="eastAsia" w:ascii="仿宋_GB2312" w:hAnsi="仿宋_GB2312" w:eastAsia="仿宋_GB2312" w:cs="仿宋_GB2312"/>
          <w:b w:val="0"/>
          <w:bCs w:val="0"/>
          <w:color w:val="auto"/>
          <w:sz w:val="32"/>
          <w:szCs w:val="32"/>
          <w:highlight w:val="none"/>
          <w:lang w:val="en-US" w:eastAsia="zh-CN"/>
        </w:rPr>
        <w:t>173</w:t>
      </w:r>
      <w:r>
        <w:rPr>
          <w:rFonts w:hint="default" w:ascii="仿宋_GB2312" w:hAnsi="仿宋_GB2312" w:eastAsia="仿宋_GB2312" w:cs="仿宋_GB2312"/>
          <w:b w:val="0"/>
          <w:bCs w:val="0"/>
          <w:color w:val="auto"/>
          <w:sz w:val="32"/>
          <w:szCs w:val="32"/>
          <w:highlight w:val="none"/>
        </w:rPr>
        <w:t>万元，比202</w:t>
      </w:r>
      <w:r>
        <w:rPr>
          <w:rFonts w:hint="eastAsia" w:ascii="仿宋_GB2312" w:hAnsi="仿宋_GB2312" w:eastAsia="仿宋_GB2312" w:cs="仿宋_GB2312"/>
          <w:b w:val="0"/>
          <w:bCs w:val="0"/>
          <w:color w:val="auto"/>
          <w:sz w:val="32"/>
          <w:szCs w:val="32"/>
          <w:highlight w:val="none"/>
          <w:lang w:val="en-US" w:eastAsia="zh-CN"/>
        </w:rPr>
        <w:t>3</w:t>
      </w:r>
      <w:r>
        <w:rPr>
          <w:rFonts w:hint="default" w:ascii="仿宋_GB2312" w:hAnsi="仿宋_GB2312" w:eastAsia="仿宋_GB2312" w:cs="仿宋_GB2312"/>
          <w:b w:val="0"/>
          <w:bCs w:val="0"/>
          <w:color w:val="auto"/>
          <w:sz w:val="32"/>
          <w:szCs w:val="32"/>
          <w:highlight w:val="none"/>
        </w:rPr>
        <w:t>年减支</w:t>
      </w:r>
      <w:r>
        <w:rPr>
          <w:rFonts w:hint="eastAsia" w:ascii="仿宋_GB2312" w:hAnsi="仿宋_GB2312" w:eastAsia="仿宋_GB2312" w:cs="仿宋_GB2312"/>
          <w:b w:val="0"/>
          <w:bCs w:val="0"/>
          <w:color w:val="auto"/>
          <w:sz w:val="32"/>
          <w:szCs w:val="32"/>
          <w:highlight w:val="none"/>
          <w:lang w:val="en-US" w:eastAsia="zh-CN"/>
        </w:rPr>
        <w:t>40</w:t>
      </w:r>
      <w:r>
        <w:rPr>
          <w:rFonts w:hint="default" w:ascii="仿宋_GB2312" w:hAnsi="仿宋_GB2312" w:eastAsia="仿宋_GB2312" w:cs="仿宋_GB2312"/>
          <w:b w:val="0"/>
          <w:bCs w:val="0"/>
          <w:color w:val="auto"/>
          <w:sz w:val="32"/>
          <w:szCs w:val="32"/>
          <w:highlight w:val="none"/>
        </w:rPr>
        <w:t>万元，下降</w:t>
      </w:r>
      <w:r>
        <w:rPr>
          <w:rFonts w:hint="eastAsia" w:ascii="仿宋_GB2312" w:hAnsi="仿宋_GB2312" w:eastAsia="仿宋_GB2312" w:cs="仿宋_GB2312"/>
          <w:b w:val="0"/>
          <w:bCs w:val="0"/>
          <w:color w:val="auto"/>
          <w:sz w:val="32"/>
          <w:szCs w:val="32"/>
          <w:highlight w:val="none"/>
          <w:lang w:val="en-US" w:eastAsia="zh-CN"/>
        </w:rPr>
        <w:t>18.78</w:t>
      </w:r>
      <w:r>
        <w:rPr>
          <w:rFonts w:hint="default" w:ascii="仿宋_GB2312" w:hAnsi="仿宋_GB2312" w:eastAsia="仿宋_GB2312" w:cs="仿宋_GB2312"/>
          <w:b w:val="0"/>
          <w:bCs w:val="0"/>
          <w:color w:val="auto"/>
          <w:sz w:val="32"/>
          <w:szCs w:val="32"/>
          <w:highlight w:val="none"/>
        </w:rPr>
        <w:t>%。加上调出资金</w:t>
      </w:r>
      <w:r>
        <w:rPr>
          <w:rFonts w:hint="eastAsia" w:ascii="仿宋_GB2312" w:hAnsi="仿宋_GB2312" w:eastAsia="仿宋_GB2312" w:cs="仿宋_GB2312"/>
          <w:b w:val="0"/>
          <w:bCs w:val="0"/>
          <w:color w:val="auto"/>
          <w:sz w:val="32"/>
          <w:szCs w:val="32"/>
          <w:highlight w:val="none"/>
          <w:lang w:val="en-US" w:eastAsia="zh-CN"/>
        </w:rPr>
        <w:t>25,053</w:t>
      </w:r>
      <w:r>
        <w:rPr>
          <w:rFonts w:hint="default" w:ascii="仿宋_GB2312" w:hAnsi="仿宋_GB2312" w:eastAsia="仿宋_GB2312" w:cs="仿宋_GB2312"/>
          <w:b w:val="0"/>
          <w:bCs w:val="0"/>
          <w:color w:val="auto"/>
          <w:sz w:val="32"/>
          <w:szCs w:val="32"/>
          <w:highlight w:val="none"/>
        </w:rPr>
        <w:t>万元</w:t>
      </w:r>
      <w:r>
        <w:rPr>
          <w:rFonts w:hint="default" w:ascii="仿宋_GB2312" w:hAnsi="仿宋_GB2312" w:eastAsia="仿宋_GB2312" w:cs="仿宋_GB2312"/>
          <w:b w:val="0"/>
          <w:bCs w:val="0"/>
          <w:color w:val="auto"/>
          <w:sz w:val="32"/>
          <w:szCs w:val="32"/>
          <w:highlight w:val="none"/>
          <w:lang w:eastAsia="zh-CN"/>
        </w:rPr>
        <w:t>后</w:t>
      </w:r>
      <w:r>
        <w:rPr>
          <w:rFonts w:hint="default" w:ascii="仿宋_GB2312" w:hAnsi="仿宋_GB2312" w:eastAsia="仿宋_GB2312" w:cs="仿宋_GB2312"/>
          <w:b w:val="0"/>
          <w:bCs w:val="0"/>
          <w:color w:val="auto"/>
          <w:sz w:val="32"/>
          <w:szCs w:val="32"/>
          <w:highlight w:val="none"/>
        </w:rPr>
        <w:t>，全区国有资本经营预算总支出</w:t>
      </w:r>
      <w:r>
        <w:rPr>
          <w:rFonts w:hint="eastAsia" w:ascii="仿宋_GB2312" w:hAnsi="仿宋_GB2312" w:eastAsia="仿宋_GB2312" w:cs="仿宋_GB2312"/>
          <w:b w:val="0"/>
          <w:bCs w:val="0"/>
          <w:color w:val="auto"/>
          <w:sz w:val="32"/>
          <w:szCs w:val="32"/>
          <w:highlight w:val="none"/>
          <w:lang w:val="en-US" w:eastAsia="zh-CN"/>
        </w:rPr>
        <w:t>25,226</w:t>
      </w:r>
      <w:r>
        <w:rPr>
          <w:rFonts w:hint="default" w:ascii="仿宋_GB2312" w:hAnsi="仿宋_GB2312" w:eastAsia="仿宋_GB2312" w:cs="仿宋_GB2312"/>
          <w:b w:val="0"/>
          <w:bCs w:val="0"/>
          <w:color w:val="auto"/>
          <w:sz w:val="32"/>
          <w:szCs w:val="32"/>
          <w:highlight w:val="none"/>
        </w:rPr>
        <w:t>万元。</w:t>
      </w:r>
      <w:r>
        <w:rPr>
          <w:rFonts w:hint="default" w:ascii="仿宋_GB2312" w:hAnsi="仿宋_GB2312" w:eastAsia="仿宋_GB2312" w:cs="仿宋_GB2312"/>
          <w:b w:val="0"/>
          <w:bCs w:val="0"/>
          <w:color w:val="auto"/>
          <w:sz w:val="32"/>
          <w:szCs w:val="32"/>
          <w:highlight w:val="none"/>
          <w:lang w:eastAsia="zh-CN"/>
        </w:rPr>
        <w:t>年终</w:t>
      </w:r>
      <w:r>
        <w:rPr>
          <w:rFonts w:hint="default" w:ascii="仿宋_GB2312" w:hAnsi="仿宋_GB2312" w:eastAsia="仿宋_GB2312" w:cs="仿宋_GB2312"/>
          <w:b w:val="0"/>
          <w:bCs w:val="0"/>
          <w:color w:val="auto"/>
          <w:sz w:val="32"/>
          <w:szCs w:val="32"/>
          <w:highlight w:val="none"/>
        </w:rPr>
        <w:t>结</w:t>
      </w:r>
      <w:r>
        <w:rPr>
          <w:rFonts w:hint="default" w:ascii="仿宋_GB2312" w:hAnsi="仿宋_GB2312" w:eastAsia="仿宋_GB2312" w:cs="仿宋_GB2312"/>
          <w:b w:val="0"/>
          <w:bCs w:val="0"/>
          <w:color w:val="auto"/>
          <w:sz w:val="32"/>
          <w:szCs w:val="32"/>
          <w:highlight w:val="none"/>
          <w:lang w:eastAsia="zh-CN"/>
        </w:rPr>
        <w:t>转</w:t>
      </w:r>
      <w:r>
        <w:rPr>
          <w:rFonts w:hint="eastAsia" w:ascii="仿宋_GB2312" w:hAnsi="仿宋_GB2312" w:cs="仿宋_GB2312"/>
          <w:b w:val="0"/>
          <w:bCs w:val="0"/>
          <w:color w:val="auto"/>
          <w:sz w:val="32"/>
          <w:szCs w:val="32"/>
          <w:highlight w:val="none"/>
          <w:lang w:eastAsia="zh-CN"/>
        </w:rPr>
        <w:t>结余</w:t>
      </w:r>
      <w:r>
        <w:rPr>
          <w:rFonts w:hint="eastAsia" w:ascii="仿宋_GB2312" w:hAnsi="仿宋_GB2312" w:eastAsia="仿宋_GB2312" w:cs="仿宋_GB2312"/>
          <w:b w:val="0"/>
          <w:bCs w:val="0"/>
          <w:color w:val="auto"/>
          <w:sz w:val="32"/>
          <w:szCs w:val="32"/>
          <w:highlight w:val="none"/>
          <w:lang w:val="en-US" w:eastAsia="zh-CN"/>
        </w:rPr>
        <w:t>0</w:t>
      </w:r>
      <w:r>
        <w:rPr>
          <w:rFonts w:hint="default" w:ascii="仿宋_GB2312" w:hAnsi="仿宋_GB2312" w:eastAsia="仿宋_GB2312" w:cs="仿宋_GB2312"/>
          <w:b w:val="0"/>
          <w:bCs w:val="0"/>
          <w:color w:val="auto"/>
          <w:sz w:val="32"/>
          <w:szCs w:val="32"/>
          <w:highlight w:val="none"/>
        </w:rPr>
        <w:t>万元。</w:t>
      </w:r>
    </w:p>
    <w:p w14:paraId="16E89F84">
      <w:pPr>
        <w:keepNext w:val="0"/>
        <w:keepLines w:val="0"/>
        <w:pageBreakBefore w:val="0"/>
        <w:numPr>
          <w:ilvl w:val="0"/>
          <w:numId w:val="0"/>
        </w:numPr>
        <w:kinsoku/>
        <w:wordWrap/>
        <w:overflowPunct/>
        <w:topLinePunct w:val="0"/>
        <w:autoSpaceDE/>
        <w:autoSpaceDN/>
        <w:bidi w:val="0"/>
        <w:spacing w:line="560" w:lineRule="exact"/>
        <w:ind w:leftChars="200"/>
        <w:jc w:val="both"/>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（四）财政专户管理资金预算执行情况</w:t>
      </w:r>
    </w:p>
    <w:p w14:paraId="6404C88F">
      <w:pPr>
        <w:keepNext w:val="0"/>
        <w:keepLines w:val="0"/>
        <w:pageBreakBefore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default" w:ascii="仿宋_GB2312" w:hAnsi="仿宋_GB2312" w:eastAsia="仿宋_GB2312" w:cs="仿宋_GB2312"/>
          <w:b w:val="0"/>
          <w:bCs w:val="0"/>
          <w:color w:val="auto"/>
          <w:sz w:val="32"/>
          <w:szCs w:val="32"/>
          <w:highlight w:val="none"/>
        </w:rPr>
      </w:pPr>
      <w:r>
        <w:rPr>
          <w:rFonts w:hint="default"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4</w:t>
      </w:r>
      <w:r>
        <w:rPr>
          <w:rFonts w:hint="default" w:ascii="仿宋_GB2312" w:hAnsi="仿宋_GB2312" w:eastAsia="仿宋_GB2312" w:cs="仿宋_GB2312"/>
          <w:b w:val="0"/>
          <w:bCs w:val="0"/>
          <w:color w:val="auto"/>
          <w:sz w:val="32"/>
          <w:szCs w:val="32"/>
          <w:highlight w:val="none"/>
        </w:rPr>
        <w:t>年区本级财政专户管理资金收入</w:t>
      </w:r>
      <w:r>
        <w:rPr>
          <w:rFonts w:hint="eastAsia" w:ascii="仿宋_GB2312" w:hAnsi="仿宋_GB2312" w:eastAsia="仿宋_GB2312" w:cs="仿宋_GB2312"/>
          <w:b w:val="0"/>
          <w:bCs w:val="0"/>
          <w:color w:val="auto"/>
          <w:sz w:val="32"/>
          <w:szCs w:val="32"/>
          <w:highlight w:val="none"/>
          <w:lang w:val="en-US" w:eastAsia="zh-CN"/>
        </w:rPr>
        <w:t>9,246</w:t>
      </w:r>
      <w:r>
        <w:rPr>
          <w:rFonts w:hint="default"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eastAsia="zh-CN"/>
        </w:rPr>
        <w:t>全部为</w:t>
      </w:r>
      <w:r>
        <w:rPr>
          <w:rFonts w:hint="default" w:ascii="仿宋_GB2312" w:hAnsi="仿宋_GB2312" w:eastAsia="仿宋_GB2312" w:cs="仿宋_GB2312"/>
          <w:b w:val="0"/>
          <w:bCs w:val="0"/>
          <w:color w:val="auto"/>
          <w:sz w:val="32"/>
          <w:szCs w:val="32"/>
          <w:highlight w:val="none"/>
          <w:lang w:val="en-US" w:eastAsia="zh-CN"/>
        </w:rPr>
        <w:t>教育行政事业性收费收入</w:t>
      </w:r>
      <w:r>
        <w:rPr>
          <w:rFonts w:hint="eastAsia" w:ascii="仿宋_GB2312" w:hAnsi="仿宋_GB2312" w:eastAsia="仿宋_GB2312" w:cs="仿宋_GB2312"/>
          <w:b w:val="0"/>
          <w:bCs w:val="0"/>
          <w:color w:val="auto"/>
          <w:sz w:val="32"/>
          <w:szCs w:val="32"/>
          <w:highlight w:val="none"/>
          <w:lang w:val="en-US" w:eastAsia="zh-CN"/>
        </w:rPr>
        <w:t>，</w:t>
      </w:r>
      <w:r>
        <w:rPr>
          <w:rFonts w:hint="default" w:ascii="仿宋_GB2312" w:hAnsi="仿宋_GB2312" w:eastAsia="仿宋_GB2312" w:cs="仿宋_GB2312"/>
          <w:b w:val="0"/>
          <w:bCs w:val="0"/>
          <w:color w:val="auto"/>
          <w:sz w:val="32"/>
          <w:szCs w:val="32"/>
          <w:highlight w:val="none"/>
        </w:rPr>
        <w:t>同比</w:t>
      </w:r>
      <w:r>
        <w:rPr>
          <w:rFonts w:hint="eastAsia" w:ascii="仿宋_GB2312" w:hAnsi="仿宋_GB2312" w:eastAsia="仿宋_GB2312" w:cs="仿宋_GB2312"/>
          <w:b w:val="0"/>
          <w:bCs w:val="0"/>
          <w:color w:val="auto"/>
          <w:sz w:val="32"/>
          <w:szCs w:val="32"/>
          <w:highlight w:val="none"/>
          <w:lang w:val="en-US" w:eastAsia="zh-CN"/>
        </w:rPr>
        <w:t>增</w:t>
      </w:r>
      <w:r>
        <w:rPr>
          <w:rFonts w:hint="default" w:ascii="仿宋_GB2312" w:hAnsi="仿宋_GB2312" w:eastAsia="仿宋_GB2312" w:cs="仿宋_GB2312"/>
          <w:b w:val="0"/>
          <w:bCs w:val="0"/>
          <w:color w:val="auto"/>
          <w:sz w:val="32"/>
          <w:szCs w:val="32"/>
          <w:highlight w:val="none"/>
        </w:rPr>
        <w:t>收</w:t>
      </w:r>
      <w:r>
        <w:rPr>
          <w:rFonts w:hint="eastAsia" w:ascii="仿宋_GB2312" w:hAnsi="仿宋_GB2312" w:eastAsia="仿宋_GB2312" w:cs="仿宋_GB2312"/>
          <w:b w:val="0"/>
          <w:bCs w:val="0"/>
          <w:color w:val="auto"/>
          <w:sz w:val="32"/>
          <w:szCs w:val="32"/>
          <w:highlight w:val="none"/>
          <w:lang w:val="en-US" w:eastAsia="zh-CN"/>
        </w:rPr>
        <w:t>211</w:t>
      </w:r>
      <w:r>
        <w:rPr>
          <w:rFonts w:hint="default" w:ascii="仿宋_GB2312" w:hAnsi="仿宋_GB2312" w:eastAsia="仿宋_GB2312" w:cs="仿宋_GB2312"/>
          <w:b w:val="0"/>
          <w:bCs w:val="0"/>
          <w:color w:val="auto"/>
          <w:sz w:val="32"/>
          <w:szCs w:val="32"/>
          <w:highlight w:val="none"/>
        </w:rPr>
        <w:t>万元，</w:t>
      </w:r>
      <w:r>
        <w:rPr>
          <w:rFonts w:hint="eastAsia" w:ascii="仿宋_GB2312" w:hAnsi="仿宋_GB2312" w:eastAsia="仿宋_GB2312" w:cs="仿宋_GB2312"/>
          <w:b w:val="0"/>
          <w:bCs w:val="0"/>
          <w:color w:val="auto"/>
          <w:sz w:val="32"/>
          <w:szCs w:val="32"/>
          <w:highlight w:val="none"/>
          <w:lang w:val="en-US" w:eastAsia="zh-CN"/>
        </w:rPr>
        <w:t>增长2.34</w:t>
      </w:r>
      <w:r>
        <w:rPr>
          <w:rFonts w:hint="default" w:ascii="仿宋_GB2312" w:hAnsi="仿宋_GB2312" w:eastAsia="仿宋_GB2312" w:cs="仿宋_GB2312"/>
          <w:b w:val="0"/>
          <w:bCs w:val="0"/>
          <w:color w:val="auto"/>
          <w:sz w:val="32"/>
          <w:szCs w:val="32"/>
          <w:highlight w:val="none"/>
        </w:rPr>
        <w:t>%；加上上年结余</w:t>
      </w:r>
      <w:r>
        <w:rPr>
          <w:rFonts w:hint="eastAsia" w:ascii="仿宋_GB2312" w:hAnsi="仿宋_GB2312" w:eastAsia="仿宋_GB2312" w:cs="仿宋_GB2312"/>
          <w:b w:val="0"/>
          <w:bCs w:val="0"/>
          <w:color w:val="auto"/>
          <w:sz w:val="32"/>
          <w:szCs w:val="32"/>
          <w:highlight w:val="none"/>
          <w:lang w:val="en-US" w:eastAsia="zh-CN"/>
        </w:rPr>
        <w:t>3,403</w:t>
      </w:r>
      <w:r>
        <w:rPr>
          <w:rFonts w:hint="default" w:ascii="仿宋_GB2312" w:hAnsi="仿宋_GB2312" w:eastAsia="仿宋_GB2312" w:cs="仿宋_GB2312"/>
          <w:b w:val="0"/>
          <w:bCs w:val="0"/>
          <w:color w:val="auto"/>
          <w:sz w:val="32"/>
          <w:szCs w:val="32"/>
          <w:highlight w:val="none"/>
        </w:rPr>
        <w:t>万元</w:t>
      </w:r>
      <w:r>
        <w:rPr>
          <w:rFonts w:hint="default" w:ascii="仿宋_GB2312" w:hAnsi="仿宋_GB2312" w:eastAsia="仿宋_GB2312" w:cs="仿宋_GB2312"/>
          <w:b w:val="0"/>
          <w:bCs w:val="0"/>
          <w:color w:val="auto"/>
          <w:sz w:val="32"/>
          <w:szCs w:val="32"/>
          <w:highlight w:val="none"/>
          <w:lang w:eastAsia="zh-CN"/>
        </w:rPr>
        <w:t>后</w:t>
      </w:r>
      <w:r>
        <w:rPr>
          <w:rFonts w:hint="default" w:ascii="仿宋_GB2312" w:hAnsi="仿宋_GB2312" w:eastAsia="仿宋_GB2312" w:cs="仿宋_GB2312"/>
          <w:b w:val="0"/>
          <w:bCs w:val="0"/>
          <w:color w:val="auto"/>
          <w:sz w:val="32"/>
          <w:szCs w:val="32"/>
          <w:highlight w:val="none"/>
        </w:rPr>
        <w:t>，财政专户管理资金总收入为</w:t>
      </w:r>
      <w:r>
        <w:rPr>
          <w:rFonts w:hint="eastAsia" w:ascii="仿宋_GB2312" w:hAnsi="仿宋_GB2312" w:eastAsia="仿宋_GB2312" w:cs="仿宋_GB2312"/>
          <w:b w:val="0"/>
          <w:bCs w:val="0"/>
          <w:color w:val="auto"/>
          <w:sz w:val="32"/>
          <w:szCs w:val="32"/>
          <w:highlight w:val="none"/>
          <w:lang w:val="en-US" w:eastAsia="zh-CN"/>
        </w:rPr>
        <w:t>12,649</w:t>
      </w:r>
      <w:r>
        <w:rPr>
          <w:rFonts w:hint="default" w:ascii="仿宋_GB2312" w:hAnsi="仿宋_GB2312" w:eastAsia="仿宋_GB2312" w:cs="仿宋_GB2312"/>
          <w:b w:val="0"/>
          <w:bCs w:val="0"/>
          <w:color w:val="auto"/>
          <w:sz w:val="32"/>
          <w:szCs w:val="32"/>
          <w:highlight w:val="none"/>
        </w:rPr>
        <w:t>万元。</w:t>
      </w:r>
    </w:p>
    <w:p w14:paraId="07A83616">
      <w:pPr>
        <w:keepNext w:val="0"/>
        <w:keepLines w:val="0"/>
        <w:pageBreakBefore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default" w:ascii="仿宋_GB2312" w:hAnsi="仿宋_GB2312" w:eastAsia="仿宋_GB2312" w:cs="仿宋_GB2312"/>
          <w:b w:val="0"/>
          <w:bCs w:val="0"/>
          <w:color w:val="auto"/>
          <w:sz w:val="32"/>
          <w:szCs w:val="32"/>
          <w:highlight w:val="none"/>
        </w:rPr>
      </w:pPr>
      <w:r>
        <w:rPr>
          <w:rFonts w:hint="default" w:ascii="仿宋_GB2312" w:hAnsi="仿宋_GB2312" w:eastAsia="仿宋_GB2312" w:cs="仿宋_GB2312"/>
          <w:b w:val="0"/>
          <w:bCs w:val="0"/>
          <w:color w:val="auto"/>
          <w:sz w:val="32"/>
          <w:szCs w:val="32"/>
          <w:highlight w:val="none"/>
        </w:rPr>
        <w:t>区本级财政专户管理资金支出</w:t>
      </w:r>
      <w:r>
        <w:rPr>
          <w:rFonts w:hint="eastAsia" w:ascii="仿宋_GB2312" w:hAnsi="仿宋_GB2312" w:eastAsia="仿宋_GB2312" w:cs="仿宋_GB2312"/>
          <w:b w:val="0"/>
          <w:bCs w:val="0"/>
          <w:color w:val="auto"/>
          <w:sz w:val="32"/>
          <w:szCs w:val="32"/>
          <w:highlight w:val="none"/>
          <w:lang w:val="en-US" w:eastAsia="zh-CN"/>
        </w:rPr>
        <w:t>9,441</w:t>
      </w:r>
      <w:r>
        <w:rPr>
          <w:rFonts w:hint="default" w:ascii="仿宋_GB2312" w:hAnsi="仿宋_GB2312" w:eastAsia="仿宋_GB2312" w:cs="仿宋_GB2312"/>
          <w:b w:val="0"/>
          <w:bCs w:val="0"/>
          <w:color w:val="auto"/>
          <w:sz w:val="32"/>
          <w:szCs w:val="32"/>
          <w:highlight w:val="none"/>
        </w:rPr>
        <w:t>万元，同比减支</w:t>
      </w:r>
      <w:r>
        <w:rPr>
          <w:rFonts w:hint="eastAsia" w:ascii="仿宋_GB2312" w:hAnsi="仿宋_GB2312" w:eastAsia="仿宋_GB2312" w:cs="仿宋_GB2312"/>
          <w:b w:val="0"/>
          <w:bCs w:val="0"/>
          <w:color w:val="auto"/>
          <w:sz w:val="32"/>
          <w:szCs w:val="32"/>
          <w:highlight w:val="none"/>
          <w:lang w:val="en-US" w:eastAsia="zh-CN"/>
        </w:rPr>
        <w:t>2,286</w:t>
      </w:r>
      <w:r>
        <w:rPr>
          <w:rFonts w:hint="default" w:ascii="仿宋_GB2312" w:hAnsi="仿宋_GB2312" w:eastAsia="仿宋_GB2312" w:cs="仿宋_GB2312"/>
          <w:b w:val="0"/>
          <w:bCs w:val="0"/>
          <w:color w:val="auto"/>
          <w:sz w:val="32"/>
          <w:szCs w:val="32"/>
          <w:highlight w:val="none"/>
        </w:rPr>
        <w:t>万元，下降</w:t>
      </w:r>
      <w:r>
        <w:rPr>
          <w:rFonts w:hint="eastAsia" w:ascii="仿宋_GB2312" w:hAnsi="仿宋_GB2312" w:eastAsia="仿宋_GB2312" w:cs="仿宋_GB2312"/>
          <w:b w:val="0"/>
          <w:bCs w:val="0"/>
          <w:color w:val="auto"/>
          <w:sz w:val="32"/>
          <w:szCs w:val="32"/>
          <w:highlight w:val="none"/>
          <w:lang w:val="en-US" w:eastAsia="zh-CN"/>
        </w:rPr>
        <w:t>19.49</w:t>
      </w:r>
      <w:r>
        <w:rPr>
          <w:rFonts w:hint="default" w:ascii="仿宋_GB2312" w:hAnsi="仿宋_GB2312" w:eastAsia="仿宋_GB2312" w:cs="仿宋_GB2312"/>
          <w:b w:val="0"/>
          <w:bCs w:val="0"/>
          <w:color w:val="auto"/>
          <w:sz w:val="32"/>
          <w:szCs w:val="32"/>
          <w:highlight w:val="none"/>
        </w:rPr>
        <w:t>%；</w:t>
      </w:r>
      <w:r>
        <w:rPr>
          <w:rFonts w:hint="default" w:ascii="仿宋_GB2312" w:hAnsi="仿宋_GB2312" w:eastAsia="仿宋_GB2312" w:cs="仿宋_GB2312"/>
          <w:b w:val="0"/>
          <w:bCs w:val="0"/>
          <w:color w:val="auto"/>
          <w:sz w:val="32"/>
          <w:szCs w:val="32"/>
          <w:highlight w:val="none"/>
          <w:lang w:eastAsia="zh-CN"/>
        </w:rPr>
        <w:t>年终</w:t>
      </w:r>
      <w:r>
        <w:rPr>
          <w:rFonts w:hint="default" w:ascii="仿宋_GB2312" w:hAnsi="仿宋_GB2312" w:eastAsia="仿宋_GB2312" w:cs="仿宋_GB2312"/>
          <w:b w:val="0"/>
          <w:bCs w:val="0"/>
          <w:color w:val="auto"/>
          <w:sz w:val="32"/>
          <w:szCs w:val="32"/>
          <w:highlight w:val="none"/>
        </w:rPr>
        <w:t>结</w:t>
      </w:r>
      <w:r>
        <w:rPr>
          <w:rFonts w:hint="default" w:ascii="仿宋_GB2312" w:hAnsi="仿宋_GB2312" w:eastAsia="仿宋_GB2312" w:cs="仿宋_GB2312"/>
          <w:b w:val="0"/>
          <w:bCs w:val="0"/>
          <w:color w:val="auto"/>
          <w:sz w:val="32"/>
          <w:szCs w:val="32"/>
          <w:highlight w:val="none"/>
          <w:lang w:eastAsia="zh-CN"/>
        </w:rPr>
        <w:t>转</w:t>
      </w:r>
      <w:r>
        <w:rPr>
          <w:rFonts w:hint="eastAsia" w:ascii="仿宋_GB2312" w:hAnsi="仿宋_GB2312" w:cs="仿宋_GB2312"/>
          <w:b w:val="0"/>
          <w:bCs w:val="0"/>
          <w:color w:val="auto"/>
          <w:sz w:val="32"/>
          <w:szCs w:val="32"/>
          <w:highlight w:val="none"/>
          <w:lang w:eastAsia="zh-CN"/>
        </w:rPr>
        <w:t>结余</w:t>
      </w:r>
      <w:r>
        <w:rPr>
          <w:rFonts w:hint="eastAsia" w:ascii="仿宋_GB2312" w:hAnsi="仿宋_GB2312" w:eastAsia="仿宋_GB2312" w:cs="仿宋_GB2312"/>
          <w:b w:val="0"/>
          <w:bCs w:val="0"/>
          <w:color w:val="auto"/>
          <w:sz w:val="32"/>
          <w:szCs w:val="32"/>
          <w:highlight w:val="none"/>
          <w:lang w:val="en-US" w:eastAsia="zh-CN"/>
        </w:rPr>
        <w:t>3,208</w:t>
      </w:r>
      <w:r>
        <w:rPr>
          <w:rFonts w:hint="default" w:ascii="仿宋_GB2312" w:hAnsi="仿宋_GB2312" w:eastAsia="仿宋_GB2312" w:cs="仿宋_GB2312"/>
          <w:b w:val="0"/>
          <w:bCs w:val="0"/>
          <w:color w:val="auto"/>
          <w:sz w:val="32"/>
          <w:szCs w:val="32"/>
          <w:highlight w:val="none"/>
        </w:rPr>
        <w:t>万元。</w:t>
      </w:r>
    </w:p>
    <w:p w14:paraId="1DD9EB17">
      <w:pPr>
        <w:keepNext w:val="0"/>
        <w:keepLines w:val="0"/>
        <w:pageBreakBefore w:val="0"/>
        <w:numPr>
          <w:ilvl w:val="0"/>
          <w:numId w:val="0"/>
        </w:numPr>
        <w:kinsoku/>
        <w:wordWrap/>
        <w:overflowPunct/>
        <w:topLinePunct w:val="0"/>
        <w:autoSpaceDE/>
        <w:autoSpaceDN/>
        <w:bidi w:val="0"/>
        <w:spacing w:line="560" w:lineRule="exact"/>
        <w:ind w:leftChars="0" w:firstLine="640" w:firstLineChars="200"/>
        <w:jc w:val="both"/>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（五）政府性债务管理情况</w:t>
      </w:r>
    </w:p>
    <w:p w14:paraId="08271D43">
      <w:pPr>
        <w:keepNext w:val="0"/>
        <w:keepLines w:val="0"/>
        <w:pageBreakBefore w:val="0"/>
        <w:kinsoku/>
        <w:wordWrap/>
        <w:overflowPunct/>
        <w:topLinePunct w:val="0"/>
        <w:autoSpaceDE/>
        <w:autoSpaceDN/>
        <w:bidi w:val="0"/>
        <w:adjustRightInd/>
        <w:snapToGrid/>
        <w:spacing w:line="560" w:lineRule="exact"/>
        <w:ind w:left="0" w:right="0" w:firstLine="640" w:firstLineChars="200"/>
        <w:jc w:val="both"/>
        <w:textAlignment w:val="auto"/>
        <w:outlineLvl w:val="9"/>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我区严格贯彻落实关于加强政府债务管理和防范化解地方政府债务风险的决策部署，强化全区政府债务管理“一盘棋”工作格局，积极做好地方政府新增债券申报与支出工作，债券作用得到有效发挥，隐性债务实现零新增，稳妥统筹高质量发展和高水平安全。</w:t>
      </w:r>
    </w:p>
    <w:p w14:paraId="3FC30CA5">
      <w:pPr>
        <w:keepNext w:val="0"/>
        <w:keepLines w:val="0"/>
        <w:pageBreakBefore w:val="0"/>
        <w:numPr>
          <w:ilvl w:val="0"/>
          <w:numId w:val="0"/>
        </w:numPr>
        <w:kinsoku/>
        <w:wordWrap/>
        <w:overflowPunct/>
        <w:topLinePunct w:val="0"/>
        <w:autoSpaceDE/>
        <w:autoSpaceDN/>
        <w:bidi w:val="0"/>
        <w:adjustRightInd/>
        <w:snapToGrid/>
        <w:spacing w:line="560" w:lineRule="exact"/>
        <w:ind w:leftChars="0" w:right="0" w:rightChars="0" w:firstLine="643"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1.债务限额余额情况</w:t>
      </w:r>
    </w:p>
    <w:p w14:paraId="5319B5D1">
      <w:pPr>
        <w:pStyle w:val="2"/>
        <w:keepNext w:val="0"/>
        <w:keepLines w:val="0"/>
        <w:pageBreakBefore w:val="0"/>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截至2024年底，全区地方政府债务余额为3,624,309万元，其中：一般债务453,458万元、专项债务3,170,851万元。市已初步核定我区2024年地方政府债务限额3,670,222万元（其中：一般债务453,513万元、专项债务3,216,709万元），最终限额以后续市分配额度为准，届时将按照相关程序报区政府批准后向社会公开。</w:t>
      </w:r>
    </w:p>
    <w:p w14:paraId="0ECD5A9C">
      <w:pPr>
        <w:keepNext w:val="0"/>
        <w:keepLines w:val="0"/>
        <w:pageBreakBefore w:val="0"/>
        <w:numPr>
          <w:ilvl w:val="0"/>
          <w:numId w:val="0"/>
        </w:numPr>
        <w:kinsoku/>
        <w:wordWrap/>
        <w:overflowPunct/>
        <w:topLinePunct w:val="0"/>
        <w:autoSpaceDE/>
        <w:autoSpaceDN/>
        <w:bidi w:val="0"/>
        <w:adjustRightInd/>
        <w:snapToGrid/>
        <w:spacing w:line="560" w:lineRule="exact"/>
        <w:ind w:leftChars="0" w:right="0" w:rightChars="0" w:firstLine="643"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2.新增债券情况</w:t>
      </w:r>
    </w:p>
    <w:p w14:paraId="432E0B6D">
      <w:pPr>
        <w:pStyle w:val="2"/>
        <w:keepNext w:val="0"/>
        <w:keepLines w:val="0"/>
        <w:pageBreakBefore w:val="0"/>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highlight w:val="none"/>
          <w:lang w:val="en-US" w:eastAsia="zh-CN" w:bidi="ar-SA"/>
        </w:rPr>
        <w:t>2024年市转贷下达我区地方政府新增专项债券562,600万元，具体安排项目为：轨道交通三号线东延段工程（番禺区）32,000万元、轨道交通二十二号线工程（番禺区）28,000万元、轨道交通十二号线工程（番禺区）12,000万元、广州市城市轨道交通十八号线工程（番禺区）6,000万元、轨道交通七号线二期工程（番禺区）5,000万元、番禺区区域水环境综合治理工程195,717万元、广州市番禺中心城区综合交通换乘枢纽公共停车及配套设施综合利用建设项目48,300万元、广州市番禺总部经济集聚区基础设施及周边配套建设项目31,517万元、广州番禺国家级沿海渔港经济区建设及配套项目22,900万元、广州番禺经济技术开发区广汽基地园区配套设施工程（二期）21,830万元、番禺区中心医院医联体医疗基础设施建设项目20,000万元、广州番禺上市企业工业扩产产业园配套设施工程18,800万元、广州市番禺区新型智慧城市基础设施建设项目18,100万元、粤港澳大湾区广州国际科技创新城智慧园区配套设施品质提升工程17,309万元、广州市番禺智能制造产业园基础设施及周边配套建设项目15,159万元、广州人工智能与数字经济试验区核心区（广州大学城）基础设施及配套建设项目15,109万元、番禺备用水源及配套供水水网设施改造一体化工程13,300万元、番禺区现代教育基础设施提升工程10,000万元、广州番禺经济技术开发区上市企业工业扩产产业园配套设施工程（二期）8,589万元、番禺区工人文化宫（地下部分）工程项目6,500万元、番禺区公共卫生服务中心建设项目5,000万元、番禺区何贤医院医联体医疗基础设施改扩建项目3,400万元、番禺区中医院医联体医疗基础设施改扩建项目3,070万元、广州市番禺区“十四五”期间老旧小区改造项目3,000万元、广州番禺经济技术开发区广州新中轴（番禺段）产城融合建设项目1,100万元、广州番禺经济技术开发区城市创新走廊建设项目700万元、番禺区周边镇街核心区域人居环境整治升级工程200万元。按规定报经区十八届人大常委会三十七次会议审议通过。</w:t>
      </w:r>
    </w:p>
    <w:p w14:paraId="38195635">
      <w:pPr>
        <w:keepNext w:val="0"/>
        <w:keepLines w:val="0"/>
        <w:pageBreakBefore w:val="0"/>
        <w:numPr>
          <w:ilvl w:val="0"/>
          <w:numId w:val="0"/>
        </w:numPr>
        <w:kinsoku/>
        <w:wordWrap/>
        <w:overflowPunct/>
        <w:topLinePunct w:val="0"/>
        <w:autoSpaceDE/>
        <w:autoSpaceDN/>
        <w:bidi w:val="0"/>
        <w:adjustRightInd/>
        <w:snapToGrid/>
        <w:spacing w:line="560" w:lineRule="exact"/>
        <w:ind w:leftChars="0" w:right="0" w:rightChars="0" w:firstLine="643" w:firstLineChars="200"/>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3.债务还本付息情况</w:t>
      </w:r>
    </w:p>
    <w:p w14:paraId="46FC8687">
      <w:pPr>
        <w:pStyle w:val="2"/>
        <w:keepNext w:val="0"/>
        <w:keepLines w:val="0"/>
        <w:pageBreakBefore w:val="0"/>
        <w:kinsoku/>
        <w:wordWrap/>
        <w:overflowPunct/>
        <w:topLinePunct w:val="0"/>
        <w:autoSpaceDE/>
        <w:autoSpaceDN/>
        <w:bidi w:val="0"/>
        <w:adjustRightInd/>
        <w:snapToGrid/>
        <w:spacing w:beforeLines="0" w:afterLines="0" w:line="560" w:lineRule="exact"/>
        <w:ind w:firstLine="640"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2024年区本级财政共统筹安排地方政府债券还本付息480,432万元，其中：还本支出374,037万元、付息支出106,395万元。资金来源包括：一般公共预算支出14,995万元、政府性基金支出128,806万元、再融资债券336,631万元</w:t>
      </w:r>
      <w:r>
        <w:rPr>
          <w:rFonts w:hint="eastAsia" w:ascii="仿宋_GB2312" w:hAnsi="仿宋_GB2312" w:eastAsia="仿宋_GB2312" w:cs="仿宋_GB2312"/>
          <w:b w:val="0"/>
          <w:bCs w:val="0"/>
          <w:color w:val="auto"/>
          <w:kern w:val="2"/>
          <w:sz w:val="32"/>
          <w:szCs w:val="32"/>
          <w:highlight w:val="none"/>
          <w:lang w:val="en-US" w:eastAsia="zh-CN" w:bidi="ar-SA"/>
        </w:rPr>
        <w:t>。</w:t>
      </w:r>
    </w:p>
    <w:p w14:paraId="2EFE1EF4">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both"/>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（六）直达资金使用情况</w:t>
      </w:r>
    </w:p>
    <w:p w14:paraId="16359192">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both"/>
        <w:rPr>
          <w:rFonts w:hint="default"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我区抓紧抓实直达资金管理、拨付和监管工作，及时分配下达资金，加快支出进度，高效使用直达资金，确保充分发挥资金直达基层、直接惠企利民的重要作用。</w:t>
      </w:r>
    </w:p>
    <w:p w14:paraId="15449778">
      <w:pPr>
        <w:pStyle w:val="2"/>
        <w:keepNext w:val="0"/>
        <w:keepLines w:val="0"/>
        <w:pageBreakBefore w:val="0"/>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kern w:val="0"/>
          <w:sz w:val="32"/>
          <w:szCs w:val="32"/>
          <w:highlight w:val="none"/>
          <w:lang w:val="en-US" w:eastAsia="zh-CN" w:bidi="ar-SA"/>
        </w:rPr>
        <w:t>2024年，我区分配下达财政直达资金指标</w:t>
      </w:r>
      <w:r>
        <w:rPr>
          <w:rFonts w:hint="eastAsia" w:ascii="仿宋_GB2312" w:hAnsi="仿宋_GB2312" w:cs="仿宋_GB2312"/>
          <w:b w:val="0"/>
          <w:bCs w:val="0"/>
          <w:color w:val="auto"/>
          <w:sz w:val="32"/>
          <w:szCs w:val="32"/>
          <w:highlight w:val="none"/>
          <w:lang w:val="en-US" w:eastAsia="zh-CN"/>
        </w:rPr>
        <w:t>103,878</w:t>
      </w:r>
      <w:r>
        <w:rPr>
          <w:rFonts w:hint="eastAsia" w:ascii="仿宋_GB2312" w:hAnsi="仿宋_GB2312" w:eastAsia="仿宋_GB2312" w:cs="仿宋_GB2312"/>
          <w:b w:val="0"/>
          <w:bCs w:val="0"/>
          <w:color w:val="auto"/>
          <w:kern w:val="0"/>
          <w:sz w:val="32"/>
          <w:szCs w:val="32"/>
          <w:highlight w:val="none"/>
          <w:lang w:val="en-US" w:eastAsia="zh-CN" w:bidi="ar-SA"/>
        </w:rPr>
        <w:t>万元，实际支出</w:t>
      </w:r>
      <w:r>
        <w:rPr>
          <w:rFonts w:hint="eastAsia" w:ascii="仿宋_GB2312" w:hAnsi="仿宋_GB2312" w:cs="仿宋_GB2312"/>
          <w:b w:val="0"/>
          <w:bCs w:val="0"/>
          <w:color w:val="auto"/>
          <w:sz w:val="32"/>
          <w:szCs w:val="32"/>
          <w:highlight w:val="none"/>
          <w:lang w:val="en-US" w:eastAsia="zh-CN"/>
        </w:rPr>
        <w:t>102,412</w:t>
      </w:r>
      <w:r>
        <w:rPr>
          <w:rFonts w:hint="eastAsia" w:ascii="仿宋_GB2312" w:hAnsi="仿宋_GB2312" w:eastAsia="仿宋_GB2312" w:cs="仿宋_GB2312"/>
          <w:b w:val="0"/>
          <w:bCs w:val="0"/>
          <w:color w:val="auto"/>
          <w:kern w:val="0"/>
          <w:sz w:val="32"/>
          <w:szCs w:val="32"/>
          <w:highlight w:val="none"/>
          <w:lang w:val="en-US" w:eastAsia="zh-CN" w:bidi="ar-SA"/>
        </w:rPr>
        <w:t>万元，支出进度</w:t>
      </w:r>
      <w:r>
        <w:rPr>
          <w:rFonts w:hint="eastAsia" w:ascii="仿宋_GB2312" w:hAnsi="仿宋_GB2312" w:cs="仿宋_GB2312"/>
          <w:b w:val="0"/>
          <w:bCs w:val="0"/>
          <w:color w:val="auto"/>
          <w:sz w:val="32"/>
          <w:szCs w:val="32"/>
          <w:highlight w:val="none"/>
          <w:lang w:val="en-US" w:eastAsia="zh-CN"/>
        </w:rPr>
        <w:t>98.59</w:t>
      </w:r>
      <w:r>
        <w:rPr>
          <w:rFonts w:hint="eastAsia" w:ascii="仿宋_GB2312" w:hAnsi="仿宋_GB2312" w:eastAsia="仿宋_GB2312" w:cs="仿宋_GB2312"/>
          <w:b w:val="0"/>
          <w:bCs w:val="0"/>
          <w:color w:val="auto"/>
          <w:kern w:val="0"/>
          <w:sz w:val="32"/>
          <w:szCs w:val="32"/>
          <w:highlight w:val="none"/>
          <w:lang w:val="en-US" w:eastAsia="zh-CN" w:bidi="ar-SA"/>
        </w:rPr>
        <w:t>%。资金注重聚焦于基本公共卫生服务、城乡义务教育、医疗服务和保障、住房保障等重点民生领域，为我区切实兜牢民生底线，统筹做好“三保”工作提供有力支撑。</w:t>
      </w:r>
    </w:p>
    <w:p w14:paraId="0764F23D">
      <w:pPr>
        <w:keepNext w:val="0"/>
        <w:keepLines w:val="0"/>
        <w:pageBreakBefore w:val="0"/>
        <w:numPr>
          <w:ilvl w:val="0"/>
          <w:numId w:val="0"/>
        </w:numPr>
        <w:kinsoku/>
        <w:wordWrap/>
        <w:overflowPunct/>
        <w:topLinePunct w:val="0"/>
        <w:autoSpaceDE/>
        <w:autoSpaceDN/>
        <w:bidi w:val="0"/>
        <w:spacing w:line="560" w:lineRule="exact"/>
        <w:ind w:leftChars="200"/>
        <w:jc w:val="both"/>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（七）重大政策和重点项目支出成效</w:t>
      </w:r>
    </w:p>
    <w:p w14:paraId="1B81C99E">
      <w:pPr>
        <w:pStyle w:val="2"/>
        <w:keepNext w:val="0"/>
        <w:keepLines w:val="0"/>
        <w:pageBreakBefore w:val="0"/>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sz w:val="32"/>
          <w:szCs w:val="32"/>
          <w:lang w:val="en-US" w:eastAsia="zh-CN"/>
        </w:rPr>
        <w:t>2024</w:t>
      </w:r>
      <w:r>
        <w:rPr>
          <w:rFonts w:hint="eastAsia" w:ascii="仿宋_GB2312" w:hAnsi="仿宋_GB2312" w:eastAsia="仿宋_GB2312" w:cs="仿宋_GB2312"/>
          <w:b w:val="0"/>
          <w:bCs w:val="0"/>
          <w:color w:val="auto"/>
          <w:kern w:val="0"/>
          <w:sz w:val="32"/>
          <w:szCs w:val="32"/>
          <w:highlight w:val="none"/>
          <w:lang w:val="en-US" w:eastAsia="zh-CN" w:bidi="ar-SA"/>
        </w:rPr>
        <w:t>年，我区围绕市委市政府</w:t>
      </w:r>
      <w:r>
        <w:rPr>
          <w:rFonts w:hint="default" w:ascii="仿宋_GB2312" w:hAnsi="仿宋_GB2312" w:eastAsia="仿宋_GB2312" w:cs="仿宋_GB2312"/>
          <w:b w:val="0"/>
          <w:bCs w:val="0"/>
          <w:color w:val="auto"/>
          <w:kern w:val="0"/>
          <w:sz w:val="32"/>
          <w:szCs w:val="32"/>
          <w:highlight w:val="none"/>
          <w:lang w:val="en-US" w:eastAsia="zh-CN" w:bidi="ar-SA"/>
        </w:rPr>
        <w:t>赋予番禺</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智造创新城</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的战略定位和区委</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十二个方面走在前列、争当示范</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重点任务</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聚焦经济高质量发展</w:t>
      </w:r>
      <w:r>
        <w:rPr>
          <w:rFonts w:hint="eastAsia" w:ascii="仿宋_GB2312" w:hAnsi="仿宋_GB2312" w:eastAsia="仿宋_GB2312" w:cs="仿宋_GB2312"/>
          <w:b w:val="0"/>
          <w:bCs w:val="0"/>
          <w:color w:val="auto"/>
          <w:kern w:val="0"/>
          <w:sz w:val="32"/>
          <w:szCs w:val="32"/>
          <w:highlight w:val="none"/>
          <w:lang w:val="en-US" w:eastAsia="zh-CN" w:bidi="ar-SA"/>
        </w:rPr>
        <w:t>，实施“万亩千亿”行动计划，</w:t>
      </w:r>
      <w:r>
        <w:rPr>
          <w:rFonts w:hint="default" w:ascii="仿宋_GB2312" w:hAnsi="仿宋_GB2312" w:eastAsia="仿宋_GB2312" w:cs="仿宋_GB2312"/>
          <w:b w:val="0"/>
          <w:bCs w:val="0"/>
          <w:color w:val="auto"/>
          <w:kern w:val="0"/>
          <w:sz w:val="32"/>
          <w:szCs w:val="32"/>
          <w:highlight w:val="none"/>
          <w:lang w:val="en-US" w:eastAsia="zh-CN" w:bidi="ar-SA"/>
        </w:rPr>
        <w:t>深入推动</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百千万工程</w:t>
      </w:r>
      <w:r>
        <w:rPr>
          <w:rFonts w:hint="eastAsia" w:ascii="仿宋_GB2312" w:hAnsi="仿宋_GB2312" w:eastAsia="仿宋_GB2312" w:cs="仿宋_GB2312"/>
          <w:b w:val="0"/>
          <w:bCs w:val="0"/>
          <w:color w:val="auto"/>
          <w:kern w:val="0"/>
          <w:sz w:val="32"/>
          <w:szCs w:val="32"/>
          <w:highlight w:val="none"/>
          <w:lang w:val="en-US" w:eastAsia="zh-CN" w:bidi="ar-SA"/>
        </w:rPr>
        <w:t>”</w:t>
      </w:r>
      <w:r>
        <w:rPr>
          <w:rFonts w:hint="default" w:ascii="仿宋_GB2312" w:hAnsi="仿宋_GB2312" w:eastAsia="仿宋_GB2312" w:cs="仿宋_GB2312"/>
          <w:b w:val="0"/>
          <w:bCs w:val="0"/>
          <w:color w:val="auto"/>
          <w:kern w:val="0"/>
          <w:sz w:val="32"/>
          <w:szCs w:val="32"/>
          <w:highlight w:val="none"/>
          <w:lang w:val="en-US" w:eastAsia="zh-CN" w:bidi="ar-SA"/>
        </w:rPr>
        <w:t>落地落实，</w:t>
      </w:r>
      <w:r>
        <w:rPr>
          <w:rFonts w:hint="eastAsia" w:ascii="仿宋_GB2312" w:hAnsi="仿宋_GB2312" w:eastAsia="仿宋_GB2312" w:cs="仿宋_GB2312"/>
          <w:b w:val="0"/>
          <w:bCs w:val="0"/>
          <w:color w:val="auto"/>
          <w:kern w:val="0"/>
          <w:sz w:val="32"/>
          <w:szCs w:val="32"/>
          <w:highlight w:val="none"/>
          <w:lang w:val="en-US" w:eastAsia="zh-CN" w:bidi="ar-SA"/>
        </w:rPr>
        <w:t>持续</w:t>
      </w:r>
      <w:r>
        <w:rPr>
          <w:rFonts w:hint="default" w:ascii="仿宋_GB2312" w:hAnsi="仿宋_GB2312" w:eastAsia="仿宋_GB2312" w:cs="仿宋_GB2312"/>
          <w:b w:val="0"/>
          <w:bCs w:val="0"/>
          <w:color w:val="auto"/>
          <w:kern w:val="0"/>
          <w:sz w:val="32"/>
          <w:szCs w:val="32"/>
          <w:highlight w:val="none"/>
          <w:lang w:val="en-US" w:eastAsia="zh-CN" w:bidi="ar-SA"/>
        </w:rPr>
        <w:t>强化城市基础设施建设，全面改善提升城市面貌</w:t>
      </w:r>
      <w:r>
        <w:rPr>
          <w:rFonts w:hint="eastAsia" w:ascii="仿宋_GB2312" w:hAnsi="仿宋_GB2312" w:eastAsia="仿宋_GB2312" w:cs="仿宋_GB2312"/>
          <w:b w:val="0"/>
          <w:bCs w:val="0"/>
          <w:color w:val="auto"/>
          <w:kern w:val="0"/>
          <w:sz w:val="32"/>
          <w:szCs w:val="32"/>
          <w:highlight w:val="none"/>
          <w:lang w:val="en-US" w:eastAsia="zh-CN" w:bidi="ar-SA"/>
        </w:rPr>
        <w:t>，为推动社会经济发展提供有力支持。</w:t>
      </w:r>
    </w:p>
    <w:p w14:paraId="744317AC">
      <w:pPr>
        <w:keepNext w:val="0"/>
        <w:keepLines w:val="0"/>
        <w:pageBreakBefore w:val="0"/>
        <w:numPr>
          <w:ilvl w:val="0"/>
          <w:numId w:val="0"/>
        </w:numPr>
        <w:kinsoku/>
        <w:wordWrap/>
        <w:overflowPunct/>
        <w:topLinePunct w:val="0"/>
        <w:autoSpaceDE/>
        <w:autoSpaceDN/>
        <w:bidi w:val="0"/>
        <w:adjustRightInd/>
        <w:snapToGrid/>
        <w:spacing w:line="560" w:lineRule="exact"/>
        <w:ind w:leftChars="0" w:right="0" w:rightChars="0" w:firstLine="643"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1.优化提升空间规划布局，巩固南大干线经济带优势</w:t>
      </w:r>
    </w:p>
    <w:p w14:paraId="4E2D7167">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default"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2024年共投入376,583万元主要用于稳步推进广州新中轴番禺段建设。主要包括安排三号线东延段、二十二号线和十二号线等轨道交通工程83,000万元，</w:t>
      </w:r>
      <w:r>
        <w:rPr>
          <w:rFonts w:hint="eastAsia" w:ascii="仿宋_GB2312" w:hAnsi="仿宋_GB2312" w:eastAsia="仿宋_GB2312" w:cs="仿宋_GB2312"/>
          <w:b w:val="0"/>
          <w:bCs w:val="0"/>
          <w:color w:val="auto"/>
          <w:sz w:val="32"/>
          <w:szCs w:val="32"/>
          <w:u w:val="none" w:color="auto"/>
        </w:rPr>
        <w:t>广佛南环、佛莞城际实现“四线”贯通，番禺出发可实现30分钟直通佛山、东莞，60分钟抵达肇庆、惠州</w:t>
      </w:r>
      <w:r>
        <w:rPr>
          <w:rFonts w:hint="eastAsia" w:ascii="仿宋_GB2312" w:hAnsi="仿宋_GB2312" w:eastAsia="仿宋_GB2312" w:cs="仿宋_GB2312"/>
          <w:b w:val="0"/>
          <w:bCs w:val="0"/>
          <w:color w:val="auto"/>
          <w:sz w:val="32"/>
          <w:szCs w:val="32"/>
          <w:u w:val="none" w:color="auto"/>
          <w:lang w:eastAsia="zh-CN"/>
        </w:rPr>
        <w:t>。</w:t>
      </w:r>
      <w:r>
        <w:rPr>
          <w:rFonts w:hint="eastAsia" w:ascii="仿宋_GB2312" w:hAnsi="仿宋_GB2312" w:eastAsia="仿宋_GB2312" w:cs="仿宋_GB2312"/>
          <w:b w:val="0"/>
          <w:bCs w:val="0"/>
          <w:color w:val="auto"/>
          <w:kern w:val="0"/>
          <w:sz w:val="32"/>
          <w:szCs w:val="32"/>
          <w:highlight w:val="none"/>
          <w:lang w:val="en-US" w:eastAsia="zh-CN" w:bidi="ar-SA"/>
        </w:rPr>
        <w:t>安排</w:t>
      </w:r>
      <w:r>
        <w:rPr>
          <w:rFonts w:hint="eastAsia" w:ascii="仿宋_GB2312" w:hAnsi="仿宋_GB2312" w:eastAsia="仿宋_GB2312" w:cs="仿宋_GB2312"/>
          <w:b w:val="0"/>
          <w:bCs w:val="0"/>
          <w:color w:val="auto"/>
          <w:sz w:val="32"/>
          <w:szCs w:val="32"/>
          <w:u w:val="none" w:color="auto"/>
          <w:lang w:val="en-US" w:eastAsia="zh-CN"/>
        </w:rPr>
        <w:t>南大干线土地整治相关项目82,373万元，推进南大干线整治工程</w:t>
      </w:r>
      <w:r>
        <w:rPr>
          <w:rFonts w:hint="eastAsia" w:ascii="仿宋_GB2312" w:hAnsi="仿宋_GB2312" w:eastAsia="仿宋_GB2312" w:cs="仿宋_GB2312"/>
          <w:b w:val="0"/>
          <w:bCs w:val="0"/>
          <w:color w:val="auto"/>
          <w:sz w:val="32"/>
          <w:szCs w:val="32"/>
          <w:u w:val="none" w:color="auto"/>
          <w:lang w:eastAsia="zh-CN"/>
        </w:rPr>
        <w:t>。</w:t>
      </w:r>
      <w:r>
        <w:rPr>
          <w:rFonts w:hint="eastAsia" w:ascii="仿宋_GB2312" w:hAnsi="仿宋_GB2312" w:eastAsia="仿宋_GB2312" w:cs="仿宋_GB2312"/>
          <w:b w:val="0"/>
          <w:bCs w:val="0"/>
          <w:color w:val="auto"/>
          <w:kern w:val="0"/>
          <w:sz w:val="32"/>
          <w:szCs w:val="32"/>
          <w:highlight w:val="none"/>
          <w:lang w:val="en-US" w:eastAsia="zh-CN" w:bidi="ar-SA"/>
        </w:rPr>
        <w:t>安排番禺中心城区综合交通换乘枢纽公共停车及配套设施综合利用建设项目38,300万元，</w:t>
      </w:r>
      <w:r>
        <w:rPr>
          <w:rFonts w:hint="eastAsia" w:ascii="仿宋_GB2312" w:hAnsi="仿宋_GB2312" w:eastAsia="仿宋_GB2312" w:cs="仿宋_GB2312"/>
          <w:b w:val="0"/>
          <w:bCs w:val="0"/>
          <w:color w:val="auto"/>
          <w:sz w:val="32"/>
          <w:szCs w:val="32"/>
          <w:highlight w:val="none"/>
          <w:u w:val="none" w:color="auto"/>
          <w:lang w:val="en-US" w:eastAsia="zh-CN"/>
        </w:rPr>
        <w:t>推进交通拥堵点治理。</w:t>
      </w:r>
      <w:r>
        <w:rPr>
          <w:rFonts w:hint="eastAsia" w:ascii="仿宋_GB2312" w:hAnsi="仿宋_GB2312" w:eastAsia="仿宋_GB2312" w:cs="仿宋_GB2312"/>
          <w:b w:val="0"/>
          <w:bCs w:val="0"/>
          <w:color w:val="auto"/>
          <w:kern w:val="0"/>
          <w:sz w:val="32"/>
          <w:szCs w:val="32"/>
          <w:highlight w:val="none"/>
          <w:lang w:val="en-US" w:eastAsia="zh-CN" w:bidi="ar-SA"/>
        </w:rPr>
        <w:t>安排莲花大道(番禺大道至城区大道）工程19,849万元，S296（海鸥公路）扩建工程11,157万元，建设海灏生物科技总部科学园周边道路5,336万元，景观大道（莲花大道-S362线）工程8,263万元，优化提升空间规划布局。安排总部经济集聚区基础设施及周边配套建设项目31,517万元，广州人工智能与数字经济试验区核心区（广州大学城）基础设施及配套建设项目15,109万元，推动重大功能平台建设提速增效。</w:t>
      </w:r>
    </w:p>
    <w:p w14:paraId="1FC9E9A4">
      <w:pPr>
        <w:pStyle w:val="2"/>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rPr>
          <w:rFonts w:hint="eastAsia" w:ascii="仿宋_GB2312" w:hAnsi="仿宋_GB2312" w:eastAsia="仿宋_GB2312" w:cs="仿宋_GB2312"/>
          <w:b w:val="0"/>
          <w:bCs w:val="0"/>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highlight w:val="none"/>
          <w:shd w:val="clear" w:color="auto" w:fill="FFFFFF"/>
          <w:lang w:val="en-US" w:eastAsia="zh-CN" w:bidi="ar-SA"/>
        </w:rPr>
        <w:t>2</w:t>
      </w:r>
      <w:r>
        <w:rPr>
          <w:rFonts w:hint="eastAsia" w:ascii="仿宋_GB2312" w:hAnsi="仿宋_GB2312" w:eastAsia="仿宋_GB2312" w:cs="仿宋_GB2312"/>
          <w:b/>
          <w:bCs/>
          <w:color w:val="auto"/>
          <w:kern w:val="2"/>
          <w:sz w:val="32"/>
          <w:szCs w:val="32"/>
          <w:highlight w:val="none"/>
          <w:lang w:val="en-US" w:eastAsia="zh-CN" w:bidi="ar-SA"/>
        </w:rPr>
        <w:t>.持续提升创新动能，科技引领经济高质量发展</w:t>
      </w:r>
    </w:p>
    <w:p w14:paraId="3D96310E">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default"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共投入144,852万元主要用于加快发展壮大优势产业，加快形成新的经济增长点。主要包括安排广汽埃安电池和电驱等汽车产业项目扶持资金76,858万元，进一步巩固我区汽车产业综合优势，抢抓发展机遇，加快推动产业转型和结构调整，强化产业链供应链安全，提升产业能级和核心竞争力。安排化龙镇复甦新村（一期）安置区ABC区项目14,340万元，支持建设番禺经济技术开发区广汽基地园区配套设施工程。安排新型智慧城市基础设施建设项目8,999万元，促进城市品质逐步提升。安排支持汽车扩生产促消费、新能源汽车购置等项目补贴资金11,424万元，推动大规模设备更新和消费品以旧换新13,170万元，推动全区产业升级改造、释放投资消费潜力，加快发展新质生产力。</w:t>
      </w:r>
    </w:p>
    <w:p w14:paraId="5D14F25A">
      <w:pPr>
        <w:pStyle w:val="2"/>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rPr>
          <w:rFonts w:hint="eastAsia" w:ascii="仿宋_GB2312" w:hAnsi="仿宋_GB2312" w:eastAsia="仿宋_GB2312" w:cs="仿宋_GB2312"/>
          <w:b w:val="0"/>
          <w:bCs w:val="0"/>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highlight w:val="none"/>
          <w:shd w:val="clear" w:color="auto" w:fill="FFFFFF"/>
          <w:lang w:val="en-US" w:eastAsia="zh-CN" w:bidi="ar-SA"/>
        </w:rPr>
        <w:t>3.建设绿美番禺，统筹推进城乡融合发展</w:t>
      </w:r>
    </w:p>
    <w:p w14:paraId="19094FDA">
      <w:pPr>
        <w:pStyle w:val="2"/>
        <w:keepNext w:val="0"/>
        <w:keepLines w:val="0"/>
        <w:pageBreakBefore w:val="0"/>
        <w:widowControl w:val="0"/>
        <w:numPr>
          <w:ilvl w:val="0"/>
          <w:numId w:val="1"/>
        </w:numPr>
        <w:kinsoku/>
        <w:wordWrap/>
        <w:overflowPunct/>
        <w:topLinePunct w:val="0"/>
        <w:autoSpaceDE/>
        <w:autoSpaceDN/>
        <w:bidi w:val="0"/>
        <w:spacing w:line="560" w:lineRule="exact"/>
        <w:ind w:left="640" w:leftChars="0" w:firstLine="0" w:firstLineChars="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水环境治理取得实效，生态环境质量日益改善</w:t>
      </w:r>
    </w:p>
    <w:p w14:paraId="68EA485F">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共安排329,904万元主要用于水环境治理、市政保洁和绿化养护等项目。主要包括安排区域水环境综合治理工程195,717万元，污水处理运营服务费32,594万元，番禺应急备用水源工程10,928万元，排水设施运行维修养护经费28,857万元，排水防涝能力提升工程20,000万元，</w:t>
      </w:r>
      <w:r>
        <w:rPr>
          <w:rFonts w:hint="eastAsia" w:ascii="仿宋_GB2312" w:hAnsi="仿宋_GB2312" w:eastAsia="仿宋_GB2312" w:cs="仿宋_GB2312"/>
          <w:b w:val="0"/>
          <w:bCs w:val="0"/>
          <w:color w:val="auto"/>
          <w:kern w:val="0"/>
          <w:sz w:val="32"/>
          <w:szCs w:val="32"/>
          <w:highlight w:val="none"/>
          <w:u w:val="none" w:color="auto"/>
          <w:lang w:val="en-US" w:eastAsia="zh-CN"/>
        </w:rPr>
        <w:t>治水攻坚三年行动基本完成，</w:t>
      </w:r>
      <w:r>
        <w:rPr>
          <w:rFonts w:hint="eastAsia" w:ascii="仿宋_GB2312" w:hAnsi="仿宋_GB2312" w:eastAsia="仿宋_GB2312" w:cs="仿宋_GB2312"/>
          <w:b w:val="0"/>
          <w:bCs w:val="0"/>
          <w:color w:val="auto"/>
          <w:sz w:val="32"/>
          <w:szCs w:val="32"/>
          <w:highlight w:val="none"/>
          <w:u w:val="none" w:color="auto"/>
          <w:lang w:val="en-US" w:eastAsia="zh-CN"/>
        </w:rPr>
        <w:t>全区污水处理能力提升，排水管网里程和密度大幅提高、水环境质量明显改善</w:t>
      </w:r>
      <w:r>
        <w:rPr>
          <w:rFonts w:hint="eastAsia" w:ascii="仿宋_GB2312" w:hAnsi="仿宋_GB2312" w:eastAsia="仿宋_GB2312" w:cs="仿宋_GB2312"/>
          <w:b w:val="0"/>
          <w:bCs w:val="0"/>
          <w:color w:val="auto"/>
          <w:kern w:val="0"/>
          <w:sz w:val="32"/>
          <w:szCs w:val="32"/>
          <w:highlight w:val="none"/>
          <w:lang w:val="en-US" w:eastAsia="zh-CN" w:bidi="ar-SA"/>
        </w:rPr>
        <w:t>。安排市政环卫保洁、绿化养护管理费18,307万元，不断建设绿美番禺。</w:t>
      </w:r>
    </w:p>
    <w:p w14:paraId="3AB36140">
      <w:pPr>
        <w:pStyle w:val="2"/>
        <w:keepNext w:val="0"/>
        <w:keepLines w:val="0"/>
        <w:pageBreakBefore w:val="0"/>
        <w:widowControl w:val="0"/>
        <w:numPr>
          <w:ilvl w:val="0"/>
          <w:numId w:val="1"/>
        </w:numPr>
        <w:kinsoku/>
        <w:wordWrap/>
        <w:overflowPunct/>
        <w:topLinePunct w:val="0"/>
        <w:autoSpaceDE/>
        <w:autoSpaceDN/>
        <w:bidi w:val="0"/>
        <w:spacing w:line="560" w:lineRule="exact"/>
        <w:ind w:left="640" w:leftChars="0" w:firstLine="0" w:firstLineChars="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聚焦“百千万工程”，促进城乡融合发展</w:t>
      </w:r>
    </w:p>
    <w:p w14:paraId="44406AD8">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default"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我区投入80,363万元主要用于优化发展农业农村建设等方面，促进城乡协调发展。主要包括安排高标准农田和基本农田保护资金1,510万元，成品油价格补贴4,328万元，保障农业生产及农产品稳产保供。安排沿海渔港经济区建设及配套项目资金23,000万元，推进现代化渔业生产转变。安排美丽乡村建设、“五好两宜”和美乡村建设资金10,821万元，农村基层组织经费5,254万元，推动农村改革创新。安排市桥街东郊村及周边成片更新改造项目2,960万元，各老旧小区改造资金5,513万元，安排农村公路维护管养经费1,403万元，通过城乡道路一体化发展，促进城乡共同繁荣发展。</w:t>
      </w:r>
    </w:p>
    <w:p w14:paraId="4811E9B7">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（3）巩固脱贫攻坚成果，促进实现共同富裕</w:t>
      </w:r>
    </w:p>
    <w:p w14:paraId="2CE12072">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default"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是守牢防返贫底线、加快推进乡村全面振兴承上启下的关键之年，我区投入25,297万元主要用于落实精准帮扶措施，巩固拓展脱贫攻坚成果。主要包括安排东西部协作资金8,948万元；对封开、蕉岭、五华、梅州、威宁、赫章、巫山等地对口帮扶、协作帮扶支出15,175万元。持续优化协作方式，巩固扩大产业协作成效，聚焦增强脱贫地区和脱贫群众内生发展动力，扎实有效推进巩固拓展脱贫攻坚成果各项工作，取得了新的成效。</w:t>
      </w:r>
    </w:p>
    <w:p w14:paraId="545EC043">
      <w:pPr>
        <w:pStyle w:val="2"/>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rPr>
          <w:rFonts w:hint="eastAsia" w:ascii="仿宋_GB2312" w:hAnsi="仿宋_GB2312" w:eastAsia="仿宋_GB2312" w:cs="仿宋_GB2312"/>
          <w:b/>
          <w:bCs/>
          <w:color w:val="auto"/>
          <w:kern w:val="2"/>
          <w:sz w:val="32"/>
          <w:szCs w:val="32"/>
          <w:highlight w:val="none"/>
          <w:shd w:val="clear" w:color="auto" w:fill="FFFFFF"/>
          <w:lang w:val="en-US" w:eastAsia="zh-CN" w:bidi="ar-SA"/>
        </w:rPr>
      </w:pPr>
    </w:p>
    <w:p w14:paraId="065E2B0C">
      <w:pPr>
        <w:pStyle w:val="2"/>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rPr>
          <w:rFonts w:hint="eastAsia" w:ascii="仿宋_GB2312" w:hAnsi="仿宋_GB2312" w:eastAsia="仿宋_GB2312" w:cs="仿宋_GB2312"/>
          <w:b w:val="0"/>
          <w:bCs w:val="0"/>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highlight w:val="none"/>
          <w:shd w:val="clear" w:color="auto" w:fill="FFFFFF"/>
          <w:lang w:val="en-US" w:eastAsia="zh-CN" w:bidi="ar-SA"/>
        </w:rPr>
        <w:t>4.狠抓落实民生实事，持续增进民生福祉</w:t>
      </w:r>
    </w:p>
    <w:p w14:paraId="085A1B93">
      <w:pPr>
        <w:pStyle w:val="2"/>
        <w:keepNext w:val="0"/>
        <w:keepLines w:val="0"/>
        <w:pageBreakBefore w:val="0"/>
        <w:widowControl w:val="0"/>
        <w:numPr>
          <w:ilvl w:val="0"/>
          <w:numId w:val="2"/>
        </w:numPr>
        <w:kinsoku/>
        <w:wordWrap/>
        <w:overflowPunct/>
        <w:topLinePunct w:val="0"/>
        <w:autoSpaceDE/>
        <w:autoSpaceDN/>
        <w:bidi w:val="0"/>
        <w:spacing w:line="560" w:lineRule="exact"/>
        <w:ind w:left="640" w:leftChars="0" w:firstLine="0" w:firstLineChars="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构建多层次社保体系，坚定不移保障基本民生</w:t>
      </w:r>
    </w:p>
    <w:p w14:paraId="42762BDA">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投入社会保障民生支出218,140万元，坚定不移保障就业基本民生，健全多层次的社会保障体系。主要包括安排民生微实事支出1,574万元。安排退役军人、军队转业干部等群体的安置、住房、医疗等工作支出7,832万元。安排长者长寿保健金、老年人配餐，居家养老设施提升等适老化服务和改造支出5,972万元，构建多层次养老体系。安排机关事业单位职业年金缴费28,099万元，养老保险缴费47,623万元。安排残疾人、优抚对象、特困人员、救助人员等群体的补贴和慰问经费16,471万元，兜牢民生底线。安排创业培训资助、高校毕业生基层岗位补贴、灵活就业社保补贴等方面的就业资金14,322万元，落实落细各项就业服务政策。安排保障性住房补贴、认定、回购等工作经费4,474万元，努力满足群众刚性住房需求。安排公交行业财政补贴资金27,113万元，满足人民群众基本出行需求。</w:t>
      </w:r>
    </w:p>
    <w:p w14:paraId="4724E24B">
      <w:pPr>
        <w:pStyle w:val="2"/>
        <w:keepNext w:val="0"/>
        <w:keepLines w:val="0"/>
        <w:pageBreakBefore w:val="0"/>
        <w:widowControl w:val="0"/>
        <w:numPr>
          <w:ilvl w:val="0"/>
          <w:numId w:val="2"/>
        </w:numPr>
        <w:kinsoku/>
        <w:wordWrap/>
        <w:overflowPunct/>
        <w:topLinePunct w:val="0"/>
        <w:autoSpaceDE/>
        <w:autoSpaceDN/>
        <w:bidi w:val="0"/>
        <w:spacing w:line="560" w:lineRule="exact"/>
        <w:ind w:left="640" w:leftChars="0" w:firstLine="0" w:firstLineChars="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深化医疗体制改革，推动卫健事业发展</w:t>
      </w:r>
    </w:p>
    <w:p w14:paraId="34673228">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我区共投入卫生健康支出180,704万元，持续推进卫生健康工作。主要包括安排中心医院综合应急大楼建设、中医院医疗综合大楼扩建、第二人民医院和第五人民医院易地新建、各社区医疗卫生中心医疗环境提升等项目支出31,941万元，推进医疗基础设施建设，强化基础服务保障。安排专用设备、材料和药品卫生耗材采购8,768万元，医疗机构运行经费6,705万元，人员工资40,008万元等，用于维护医疗系统的正常运作。安排基本公共卫生服务支出27,588万元，疾病防控经费1,847万元，结算以前年度新型冠状病毒感染疫情防控经费10,980万元，行政事业单位医疗经费9,251万元，用于健全公卫服务体系，建设健康支持性环境。认真落实国家生育政策，安排各项政策资金11,897万元。</w:t>
      </w:r>
    </w:p>
    <w:p w14:paraId="1A584F74">
      <w:pPr>
        <w:pStyle w:val="2"/>
        <w:keepNext w:val="0"/>
        <w:keepLines w:val="0"/>
        <w:pageBreakBefore w:val="0"/>
        <w:widowControl w:val="0"/>
        <w:numPr>
          <w:ilvl w:val="0"/>
          <w:numId w:val="2"/>
        </w:numPr>
        <w:kinsoku/>
        <w:wordWrap/>
        <w:overflowPunct/>
        <w:topLinePunct w:val="0"/>
        <w:autoSpaceDE/>
        <w:autoSpaceDN/>
        <w:bidi w:val="0"/>
        <w:spacing w:line="560" w:lineRule="exact"/>
        <w:ind w:left="640" w:leftChars="0" w:firstLine="0" w:firstLineChars="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聚焦资源扩优提质，打造教育发展新体系</w:t>
      </w:r>
    </w:p>
    <w:p w14:paraId="3EEEB9C2">
      <w:pPr>
        <w:pStyle w:val="2"/>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rPr>
          <w:rFonts w:hint="eastAsia" w:ascii="仿宋_GB2312" w:hAnsi="仿宋_GB2312" w:eastAsia="仿宋_GB2312" w:cs="仿宋_GB2312"/>
          <w:b w:val="0"/>
          <w:bCs w:val="0"/>
          <w:color w:val="auto"/>
          <w:kern w:val="0"/>
          <w:sz w:val="32"/>
          <w:szCs w:val="32"/>
          <w:highlight w:val="none"/>
          <w:lang w:val="en-US" w:eastAsia="zh-CN" w:bidi="ar-SA"/>
        </w:rPr>
      </w:pPr>
      <w:r>
        <w:rPr>
          <w:rFonts w:hint="eastAsia" w:ascii="仿宋_GB2312" w:hAnsi="仿宋_GB2312" w:eastAsia="仿宋_GB2312" w:cs="仿宋_GB2312"/>
          <w:b w:val="0"/>
          <w:bCs w:val="0"/>
          <w:color w:val="auto"/>
          <w:kern w:val="0"/>
          <w:sz w:val="32"/>
          <w:szCs w:val="32"/>
          <w:highlight w:val="none"/>
          <w:lang w:val="en-US" w:eastAsia="zh-CN" w:bidi="ar-SA"/>
        </w:rPr>
        <w:t>2024年共投入608,436万元落实区委关于“建设优质均衡发展的教育高地”的工作要求部署。主要包括支付教育方面人员工资302,033万元，各类学校公用经费38,998万元，后勤人员经费7,548万元，专任教师经费5,122万元，临聘教师经费82,771万元，营造风清气正的高质量育人环境。安排学前三年行动计划经费等25,643万元，城乡义务教育公用经费和课本费，学生生活费等12,537万元，各类职业学校资助资金4,198万元。安排新造职校扩建、仲元中学校区改造、番禺中学学校建设等学校基本建设和硬件设备采购资金共16,338万元，进城务工人员随迁子女学位补助</w:t>
      </w:r>
      <w:r>
        <w:rPr>
          <w:rFonts w:hint="eastAsia" w:ascii="仿宋_GB2312" w:hAnsi="仿宋_GB2312" w:cs="仿宋_GB2312"/>
          <w:b w:val="0"/>
          <w:bCs w:val="0"/>
          <w:color w:val="auto"/>
          <w:kern w:val="0"/>
          <w:sz w:val="32"/>
          <w:szCs w:val="32"/>
          <w:highlight w:val="none"/>
          <w:lang w:val="en-US" w:eastAsia="zh-CN" w:bidi="ar-SA"/>
        </w:rPr>
        <w:t>11,995</w:t>
      </w:r>
      <w:r>
        <w:rPr>
          <w:rFonts w:hint="eastAsia" w:ascii="仿宋_GB2312" w:hAnsi="仿宋_GB2312" w:eastAsia="仿宋_GB2312" w:cs="仿宋_GB2312"/>
          <w:b w:val="0"/>
          <w:bCs w:val="0"/>
          <w:color w:val="auto"/>
          <w:kern w:val="0"/>
          <w:sz w:val="32"/>
          <w:szCs w:val="32"/>
          <w:highlight w:val="none"/>
          <w:lang w:val="en-US" w:eastAsia="zh-CN" w:bidi="ar-SA"/>
        </w:rPr>
        <w:t>万元，推动教育资源优质公平，促进各类学校学生协同发展。</w:t>
      </w:r>
    </w:p>
    <w:p w14:paraId="643F4EAF">
      <w:pPr>
        <w:pStyle w:val="3"/>
        <w:keepNext w:val="0"/>
        <w:keepLines w:val="0"/>
        <w:pageBreakBefore w:val="0"/>
        <w:numPr>
          <w:ilvl w:val="0"/>
          <w:numId w:val="0"/>
        </w:numPr>
        <w:kinsoku/>
        <w:wordWrap/>
        <w:overflowPunct/>
        <w:topLinePunct w:val="0"/>
        <w:autoSpaceDE/>
        <w:autoSpaceDN/>
        <w:bidi w:val="0"/>
        <w:adjustRightInd/>
        <w:snapToGrid/>
        <w:spacing w:beforeLines="0" w:afterLines="0" w:line="560" w:lineRule="exact"/>
        <w:ind w:left="640" w:leftChars="200" w:right="0" w:firstLine="0" w:firstLineChars="0"/>
        <w:jc w:val="left"/>
        <w:textAlignment w:val="auto"/>
        <w:outlineLvl w:val="9"/>
        <w:rPr>
          <w:rFonts w:hint="eastAsia" w:ascii="楷体_GB2312" w:hAnsi="楷体_GB2312" w:eastAsia="楷体_GB2312" w:cs="楷体_GB2312"/>
          <w:b w:val="0"/>
          <w:bCs w:val="0"/>
          <w:color w:val="auto"/>
          <w:sz w:val="32"/>
          <w:szCs w:val="32"/>
          <w:highlight w:val="none"/>
          <w:shd w:val="clear" w:color="auto" w:fill="FFFFFF"/>
        </w:rPr>
      </w:pPr>
      <w:r>
        <w:rPr>
          <w:rFonts w:hint="eastAsia" w:ascii="楷体_GB2312" w:hAnsi="楷体_GB2312" w:eastAsia="楷体_GB2312" w:cs="楷体_GB2312"/>
          <w:b w:val="0"/>
          <w:bCs w:val="0"/>
          <w:color w:val="auto"/>
          <w:kern w:val="2"/>
          <w:sz w:val="32"/>
          <w:szCs w:val="32"/>
          <w:lang w:val="en-US" w:eastAsia="zh-CN" w:bidi="ar-SA"/>
        </w:rPr>
        <w:t>（八）预算绩效管理工作情况</w:t>
      </w:r>
    </w:p>
    <w:p w14:paraId="22E8EF82">
      <w:pPr>
        <w:pStyle w:val="2"/>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rPr>
          <w:rFonts w:hint="eastAsia" w:ascii="仿宋_GB2312" w:hAnsi="仿宋_GB2312" w:eastAsia="仿宋_GB2312" w:cs="仿宋_GB2312"/>
          <w:b w:val="0"/>
          <w:bCs w:val="0"/>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highlight w:val="none"/>
          <w:shd w:val="clear" w:color="auto" w:fill="FFFFFF"/>
          <w:lang w:val="en-US" w:eastAsia="zh-CN" w:bidi="ar-SA"/>
        </w:rPr>
        <w:t>1.持续深入推进预算绩效管理</w:t>
      </w:r>
    </w:p>
    <w:p w14:paraId="3BDA2D88">
      <w:pPr>
        <w:keepNext w:val="0"/>
        <w:keepLines w:val="0"/>
        <w:pageBreakBefore w:val="0"/>
        <w:kinsoku/>
        <w:wordWrap/>
        <w:overflowPunct/>
        <w:topLinePunct w:val="0"/>
        <w:autoSpaceDE/>
        <w:autoSpaceDN/>
        <w:bidi w:val="0"/>
        <w:adjustRightInd/>
        <w:snapToGrid/>
        <w:spacing w:line="560" w:lineRule="exact"/>
        <w:ind w:left="0" w:right="0" w:firstLine="640" w:firstLineChars="200"/>
        <w:textAlignment w:val="auto"/>
        <w:outlineLvl w:val="9"/>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一是强化绩效目标管理。将绩效目标编制与预算编制放在同等重要位置，实现绩效目标与预算编制同步布置、同步申报、同步批复、同步公开</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进一步强化绩效目标对部门工作任务和预算执行的约束和引导</w:t>
      </w:r>
      <w:r>
        <w:rPr>
          <w:rFonts w:hint="eastAsia" w:ascii="仿宋_GB2312" w:hAnsi="仿宋_GB2312" w:eastAsia="仿宋_GB2312" w:cs="仿宋_GB2312"/>
          <w:b w:val="0"/>
          <w:bCs w:val="0"/>
          <w:color w:val="auto"/>
          <w:sz w:val="32"/>
          <w:szCs w:val="32"/>
          <w:highlight w:val="none"/>
          <w:lang w:eastAsia="zh-CN"/>
        </w:rPr>
        <w:t>。要求</w:t>
      </w:r>
      <w:r>
        <w:rPr>
          <w:rFonts w:hint="eastAsia" w:ascii="仿宋_GB2312" w:hAnsi="仿宋_GB2312" w:eastAsia="仿宋_GB2312" w:cs="仿宋_GB2312"/>
          <w:b w:val="0"/>
          <w:bCs w:val="0"/>
          <w:color w:val="auto"/>
          <w:sz w:val="32"/>
          <w:szCs w:val="32"/>
          <w:highlight w:val="none"/>
        </w:rPr>
        <w:t>除基本支出外，所有项目类型的二级项目都要填报绩效目标，其中专项资金和其他事业发展性支出一级项目也需填报绩效目标</w:t>
      </w:r>
      <w:r>
        <w:rPr>
          <w:rFonts w:hint="eastAsia" w:ascii="仿宋_GB2312" w:hAnsi="仿宋_GB2312" w:eastAsia="仿宋_GB2312" w:cs="仿宋_GB2312"/>
          <w:b w:val="0"/>
          <w:bCs w:val="0"/>
          <w:color w:val="auto"/>
          <w:sz w:val="32"/>
          <w:szCs w:val="32"/>
          <w:highlight w:val="none"/>
          <w:lang w:eastAsia="zh-CN"/>
        </w:rPr>
        <w:t>。</w:t>
      </w:r>
    </w:p>
    <w:p w14:paraId="5D1BE593">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eastAsia="zh-CN"/>
        </w:rPr>
        <w:t>二是</w:t>
      </w:r>
      <w:r>
        <w:rPr>
          <w:rFonts w:hint="eastAsia" w:ascii="仿宋_GB2312" w:hAnsi="仿宋_GB2312" w:eastAsia="仿宋_GB2312" w:cs="仿宋_GB2312"/>
          <w:b w:val="0"/>
          <w:bCs w:val="0"/>
          <w:color w:val="auto"/>
          <w:sz w:val="32"/>
          <w:szCs w:val="32"/>
        </w:rPr>
        <w:t>秉持“源头把控”原则</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聚焦过紧日子要求，持续抓好</w:t>
      </w:r>
      <w:r>
        <w:rPr>
          <w:rFonts w:hint="eastAsia" w:ascii="仿宋_GB2312" w:hAnsi="仿宋_GB2312" w:eastAsia="仿宋_GB2312" w:cs="仿宋_GB2312"/>
          <w:b w:val="0"/>
          <w:bCs w:val="0"/>
          <w:color w:val="auto"/>
          <w:sz w:val="32"/>
          <w:szCs w:val="32"/>
          <w:lang w:eastAsia="zh-CN"/>
        </w:rPr>
        <w:t>预算绩效评审</w:t>
      </w:r>
      <w:r>
        <w:rPr>
          <w:rFonts w:hint="eastAsia" w:ascii="仿宋_GB2312" w:hAnsi="仿宋_GB2312" w:eastAsia="仿宋_GB2312" w:cs="仿宋_GB2312"/>
          <w:b w:val="0"/>
          <w:bCs w:val="0"/>
          <w:color w:val="auto"/>
          <w:sz w:val="32"/>
          <w:szCs w:val="32"/>
        </w:rPr>
        <w:t>工作。</w:t>
      </w:r>
      <w:r>
        <w:rPr>
          <w:rFonts w:hint="eastAsia" w:ascii="仿宋_GB2312" w:hAnsi="仿宋_GB2312" w:eastAsia="仿宋_GB2312" w:cs="仿宋_GB2312"/>
          <w:b w:val="0"/>
          <w:bCs w:val="0"/>
          <w:color w:val="auto"/>
          <w:sz w:val="32"/>
          <w:szCs w:val="32"/>
          <w:lang w:val="en-US" w:eastAsia="zh-CN"/>
        </w:rPr>
        <w:t>抽取6个项目开展预算绩效评审，涉及目标申报金额4,514万元，核减资金10</w:t>
      </w:r>
      <w:r>
        <w:rPr>
          <w:rFonts w:hint="eastAsia" w:ascii="仿宋_GB2312" w:hAnsi="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lang w:val="en-US" w:eastAsia="zh-CN"/>
        </w:rPr>
        <w:t>万元，综合核减率为2.25%；选取</w:t>
      </w:r>
      <w:r>
        <w:rPr>
          <w:rFonts w:hint="eastAsia" w:ascii="仿宋_GB2312" w:hAnsi="仿宋_GB2312" w:eastAsia="仿宋_GB2312" w:cs="仿宋_GB2312"/>
          <w:b w:val="0"/>
          <w:bCs w:val="0"/>
          <w:color w:val="auto"/>
          <w:kern w:val="2"/>
          <w:sz w:val="32"/>
          <w:szCs w:val="32"/>
          <w:lang w:val="en-US" w:eastAsia="zh-CN"/>
        </w:rPr>
        <w:t>区市场监督管理局</w:t>
      </w:r>
      <w:r>
        <w:rPr>
          <w:rFonts w:hint="eastAsia" w:ascii="仿宋_GB2312" w:hAnsi="仿宋_GB2312" w:eastAsia="仿宋_GB2312" w:cs="仿宋_GB2312"/>
          <w:b w:val="0"/>
          <w:bCs w:val="0"/>
          <w:color w:val="auto"/>
          <w:sz w:val="32"/>
          <w:szCs w:val="32"/>
          <w:lang w:val="en-US" w:eastAsia="zh-CN"/>
        </w:rPr>
        <w:t>作为部门整体预算绩效评审对象，涉及本年度预算申请总额28,4</w:t>
      </w:r>
      <w:r>
        <w:rPr>
          <w:rFonts w:hint="eastAsia" w:ascii="仿宋_GB2312" w:hAnsi="仿宋_GB2312" w:cs="仿宋_GB2312"/>
          <w:b w:val="0"/>
          <w:bCs w:val="0"/>
          <w:color w:val="auto"/>
          <w:sz w:val="32"/>
          <w:szCs w:val="32"/>
          <w:lang w:val="en-US" w:eastAsia="zh-CN"/>
        </w:rPr>
        <w:t>42万</w:t>
      </w:r>
      <w:r>
        <w:rPr>
          <w:rFonts w:hint="eastAsia" w:ascii="仿宋_GB2312" w:hAnsi="仿宋_GB2312" w:eastAsia="仿宋_GB2312" w:cs="仿宋_GB2312"/>
          <w:b w:val="0"/>
          <w:bCs w:val="0"/>
          <w:color w:val="auto"/>
          <w:sz w:val="32"/>
          <w:szCs w:val="32"/>
          <w:lang w:val="en-US" w:eastAsia="zh-CN"/>
        </w:rPr>
        <w:t>元，核减资金</w:t>
      </w:r>
      <w:r>
        <w:rPr>
          <w:rFonts w:hint="eastAsia" w:ascii="仿宋_GB2312" w:hAnsi="仿宋_GB2312" w:cs="仿宋_GB2312"/>
          <w:b w:val="0"/>
          <w:bCs w:val="0"/>
          <w:color w:val="auto"/>
          <w:sz w:val="32"/>
          <w:szCs w:val="32"/>
          <w:lang w:val="en-US" w:eastAsia="zh-CN"/>
        </w:rPr>
        <w:t>273</w:t>
      </w:r>
      <w:r>
        <w:rPr>
          <w:rFonts w:hint="eastAsia" w:ascii="仿宋_GB2312" w:hAnsi="仿宋_GB2312" w:eastAsia="仿宋_GB2312" w:cs="仿宋_GB2312"/>
          <w:b w:val="0"/>
          <w:bCs w:val="0"/>
          <w:color w:val="auto"/>
          <w:sz w:val="32"/>
          <w:szCs w:val="32"/>
          <w:lang w:val="en-US" w:eastAsia="zh-CN"/>
        </w:rPr>
        <w:t>万元，核减率约0.96%。</w:t>
      </w:r>
    </w:p>
    <w:p w14:paraId="4B6FA993">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firstLine="640" w:firstLineChars="200"/>
        <w:jc w:val="both"/>
        <w:textAlignment w:val="auto"/>
        <w:outlineLvl w:val="9"/>
        <w:rPr>
          <w:rFonts w:hint="eastAsia" w:ascii="仿宋_GB2312" w:hAnsi="仿宋_GB2312" w:eastAsia="仿宋_GB2312" w:cs="仿宋_GB2312"/>
          <w:b w:val="0"/>
          <w:bCs w:val="0"/>
          <w:color w:val="auto"/>
          <w:sz w:val="32"/>
          <w:szCs w:val="32"/>
          <w:lang w:val="zh-CN" w:eastAsia="zh-CN"/>
        </w:rPr>
      </w:pPr>
      <w:r>
        <w:rPr>
          <w:rFonts w:hint="eastAsia" w:ascii="仿宋_GB2312" w:hAnsi="仿宋_GB2312" w:eastAsia="仿宋_GB2312" w:cs="仿宋_GB2312"/>
          <w:b w:val="0"/>
          <w:bCs w:val="0"/>
          <w:color w:val="auto"/>
          <w:kern w:val="2"/>
          <w:sz w:val="32"/>
          <w:szCs w:val="32"/>
          <w:highlight w:val="none"/>
          <w:lang w:val="en-US" w:eastAsia="zh-CN"/>
        </w:rPr>
        <w:t>三</w:t>
      </w:r>
      <w:r>
        <w:rPr>
          <w:rFonts w:hint="eastAsia" w:ascii="仿宋_GB2312" w:hAnsi="仿宋_GB2312" w:eastAsia="仿宋_GB2312" w:cs="仿宋_GB2312"/>
          <w:b w:val="0"/>
          <w:bCs w:val="0"/>
          <w:color w:val="auto"/>
          <w:kern w:val="2"/>
          <w:sz w:val="32"/>
          <w:szCs w:val="32"/>
          <w:highlight w:val="none"/>
          <w:lang w:eastAsia="zh-CN"/>
        </w:rPr>
        <w:t>是</w:t>
      </w:r>
      <w:r>
        <w:rPr>
          <w:rFonts w:hint="eastAsia" w:ascii="仿宋_GB2312" w:hAnsi="仿宋_GB2312" w:eastAsia="仿宋_GB2312" w:cs="仿宋_GB2312"/>
          <w:b w:val="0"/>
          <w:bCs w:val="0"/>
          <w:color w:val="auto"/>
          <w:sz w:val="32"/>
          <w:szCs w:val="32"/>
          <w:lang w:eastAsia="zh-CN"/>
        </w:rPr>
        <w:t>强化绩效运行监控。</w:t>
      </w:r>
      <w:r>
        <w:rPr>
          <w:rFonts w:hint="eastAsia" w:ascii="仿宋_GB2312" w:hAnsi="仿宋_GB2312" w:eastAsia="仿宋_GB2312" w:cs="仿宋_GB2312"/>
          <w:b w:val="0"/>
          <w:bCs w:val="0"/>
          <w:color w:val="auto"/>
          <w:sz w:val="32"/>
          <w:szCs w:val="32"/>
          <w:lang w:val="en-US" w:eastAsia="zh-CN"/>
        </w:rPr>
        <w:t>采用部门自行监控与财政重点监控双结合模式开展绩效运行监控工作，健全以部门整体监控为基础、紧盯重点项目的绩效监控机制。在各部门开展绩效自行监控的基础上，</w:t>
      </w:r>
      <w:r>
        <w:rPr>
          <w:rFonts w:hint="eastAsia" w:ascii="仿宋_GB2312" w:hAnsi="仿宋_GB2312" w:eastAsia="仿宋_GB2312" w:cs="仿宋_GB2312"/>
          <w:b w:val="0"/>
          <w:bCs w:val="0"/>
          <w:color w:val="auto"/>
          <w:sz w:val="32"/>
          <w:szCs w:val="32"/>
        </w:rPr>
        <w:t>聚焦民生和重点领域</w:t>
      </w:r>
      <w:r>
        <w:rPr>
          <w:rFonts w:hint="eastAsia" w:ascii="仿宋_GB2312" w:hAnsi="仿宋_GB2312" w:eastAsia="仿宋_GB2312" w:cs="仿宋_GB2312"/>
          <w:b w:val="0"/>
          <w:bCs w:val="0"/>
          <w:color w:val="auto"/>
          <w:sz w:val="32"/>
          <w:szCs w:val="32"/>
          <w:lang w:val="en-US" w:eastAsia="zh-CN"/>
        </w:rPr>
        <w:t>，将41个2024年度科技经费项目、区十件民生实事项目、预算绩效评审结果为</w:t>
      </w:r>
      <w:r>
        <w:rPr>
          <w:rFonts w:hint="eastAsia" w:ascii="仿宋_GB2312" w:hAnsi="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低</w:t>
      </w:r>
      <w:r>
        <w:rPr>
          <w:rFonts w:hint="eastAsia" w:ascii="仿宋_GB2312" w:hAnsi="仿宋_GB2312" w:cs="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的项目纳入本年度重点监控项目范围，涉及2024年初预算资金</w:t>
      </w:r>
      <w:r>
        <w:rPr>
          <w:rFonts w:hint="eastAsia" w:ascii="仿宋_GB2312" w:hAnsi="仿宋_GB2312" w:eastAsia="仿宋_GB2312" w:cs="仿宋_GB2312"/>
          <w:b w:val="0"/>
          <w:bCs w:val="0"/>
          <w:color w:val="auto"/>
          <w:sz w:val="32"/>
          <w:szCs w:val="32"/>
          <w:highlight w:val="none"/>
          <w:lang w:val="en-US" w:eastAsia="zh-CN"/>
        </w:rPr>
        <w:t>197,4</w:t>
      </w:r>
      <w:r>
        <w:rPr>
          <w:rFonts w:hint="eastAsia" w:ascii="仿宋_GB2312" w:hAnsi="仿宋_GB2312" w:cs="仿宋_GB2312"/>
          <w:b w:val="0"/>
          <w:bCs w:val="0"/>
          <w:color w:val="auto"/>
          <w:sz w:val="32"/>
          <w:szCs w:val="32"/>
          <w:highlight w:val="none"/>
          <w:lang w:val="en-US" w:eastAsia="zh-CN"/>
        </w:rPr>
        <w:t>60万</w:t>
      </w:r>
      <w:r>
        <w:rPr>
          <w:rFonts w:hint="eastAsia" w:ascii="仿宋_GB2312" w:hAnsi="仿宋_GB2312" w:eastAsia="仿宋_GB2312" w:cs="仿宋_GB2312"/>
          <w:b w:val="0"/>
          <w:bCs w:val="0"/>
          <w:color w:val="auto"/>
          <w:sz w:val="32"/>
          <w:szCs w:val="32"/>
          <w:lang w:val="en-US" w:eastAsia="zh-CN"/>
        </w:rPr>
        <w:t>元；对</w:t>
      </w:r>
      <w:r>
        <w:rPr>
          <w:rFonts w:hint="eastAsia" w:ascii="仿宋_GB2312" w:hAnsi="仿宋_GB2312" w:eastAsia="仿宋_GB2312" w:cs="仿宋_GB2312"/>
          <w:b w:val="0"/>
          <w:bCs w:val="0"/>
          <w:color w:val="auto"/>
          <w:kern w:val="2"/>
          <w:sz w:val="32"/>
          <w:szCs w:val="32"/>
          <w:lang w:val="en-US" w:eastAsia="zh-CN"/>
        </w:rPr>
        <w:t>区市场监管局、区投资促进中心、区健康管理中心</w:t>
      </w:r>
      <w:r>
        <w:rPr>
          <w:rFonts w:hint="eastAsia" w:ascii="仿宋_GB2312" w:hAnsi="仿宋_GB2312" w:eastAsia="仿宋_GB2312" w:cs="仿宋_GB2312"/>
          <w:b w:val="0"/>
          <w:bCs w:val="0"/>
          <w:color w:val="auto"/>
          <w:sz w:val="32"/>
          <w:szCs w:val="32"/>
          <w:lang w:val="en-US" w:eastAsia="zh-CN"/>
        </w:rPr>
        <w:t>三个部门实施整体绩效运行监控。</w:t>
      </w:r>
    </w:p>
    <w:p w14:paraId="1697435E">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color w:val="auto"/>
          <w:kern w:val="2"/>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四</w:t>
      </w:r>
      <w:r>
        <w:rPr>
          <w:rFonts w:hint="eastAsia" w:ascii="仿宋_GB2312" w:hAnsi="仿宋_GB2312" w:eastAsia="仿宋_GB2312" w:cs="仿宋_GB2312"/>
          <w:b w:val="0"/>
          <w:bCs w:val="0"/>
          <w:color w:val="auto"/>
          <w:sz w:val="32"/>
          <w:szCs w:val="32"/>
          <w:highlight w:val="none"/>
          <w:lang w:eastAsia="zh-CN"/>
        </w:rPr>
        <w:t>是实施支出绩效评价。根据“全面自评、部分复核、重点评价”原则，组织</w:t>
      </w:r>
      <w:r>
        <w:rPr>
          <w:rFonts w:hint="eastAsia" w:ascii="仿宋_GB2312" w:hAnsi="仿宋_GB2312" w:eastAsia="仿宋_GB2312" w:cs="仿宋_GB2312"/>
          <w:b w:val="0"/>
          <w:bCs w:val="0"/>
          <w:color w:val="auto"/>
          <w:sz w:val="32"/>
          <w:szCs w:val="32"/>
          <w:highlight w:val="none"/>
        </w:rPr>
        <w:t>和实施2024年财政资金绩效评价工作</w:t>
      </w:r>
      <w:r>
        <w:rPr>
          <w:rFonts w:hint="eastAsia" w:ascii="仿宋_GB2312" w:hAnsi="仿宋_GB2312" w:eastAsia="仿宋_GB2312" w:cs="仿宋_GB2312"/>
          <w:b w:val="0"/>
          <w:bCs w:val="0"/>
          <w:color w:val="auto"/>
          <w:sz w:val="32"/>
          <w:szCs w:val="32"/>
          <w:highlight w:val="none"/>
          <w:lang w:eastAsia="zh-CN"/>
        </w:rPr>
        <w:t>。对</w:t>
      </w:r>
      <w:r>
        <w:rPr>
          <w:rFonts w:hint="eastAsia" w:ascii="仿宋_GB2312" w:hAnsi="仿宋_GB2312" w:eastAsia="仿宋_GB2312" w:cs="仿宋_GB2312"/>
          <w:b w:val="0"/>
          <w:bCs w:val="0"/>
          <w:color w:val="auto"/>
          <w:sz w:val="32"/>
          <w:szCs w:val="32"/>
          <w:highlight w:val="none"/>
        </w:rPr>
        <w:t>纳入2023年度政府预算管理的所有财政资金和主管</w:t>
      </w:r>
      <w:r>
        <w:rPr>
          <w:rFonts w:hint="eastAsia" w:ascii="仿宋_GB2312" w:hAnsi="仿宋_GB2312" w:eastAsia="仿宋_GB2312" w:cs="仿宋_GB2312"/>
          <w:b w:val="0"/>
          <w:bCs w:val="0"/>
          <w:color w:val="auto"/>
          <w:sz w:val="32"/>
          <w:szCs w:val="32"/>
          <w:highlight w:val="none"/>
          <w:lang w:val="en-US" w:eastAsia="zh-CN"/>
        </w:rPr>
        <w:t>部门及所属预算单位部署开展绩效自评、部门评价，并选取24</w:t>
      </w:r>
      <w:r>
        <w:rPr>
          <w:rFonts w:hint="eastAsia" w:ascii="仿宋_GB2312" w:hAnsi="仿宋_GB2312" w:eastAsia="仿宋_GB2312" w:cs="仿宋_GB2312"/>
          <w:b w:val="0"/>
          <w:bCs w:val="0"/>
          <w:color w:val="auto"/>
          <w:sz w:val="32"/>
          <w:szCs w:val="32"/>
          <w:highlight w:val="none"/>
          <w:lang w:eastAsia="zh-CN"/>
        </w:rPr>
        <w:t>个项目</w:t>
      </w:r>
      <w:r>
        <w:rPr>
          <w:rFonts w:hint="eastAsia" w:ascii="仿宋_GB2312" w:hAnsi="仿宋_GB2312" w:eastAsia="仿宋_GB2312" w:cs="仿宋_GB2312"/>
          <w:b w:val="0"/>
          <w:bCs w:val="0"/>
          <w:color w:val="auto"/>
          <w:sz w:val="32"/>
          <w:szCs w:val="32"/>
          <w:highlight w:val="none"/>
          <w:lang w:val="en-US" w:eastAsia="zh-CN"/>
        </w:rPr>
        <w:t>、3个专项债券、4</w:t>
      </w:r>
      <w:r>
        <w:rPr>
          <w:rFonts w:hint="eastAsia" w:ascii="仿宋_GB2312" w:hAnsi="仿宋_GB2312" w:eastAsia="仿宋_GB2312" w:cs="仿宋_GB2312"/>
          <w:b w:val="0"/>
          <w:bCs w:val="0"/>
          <w:color w:val="auto"/>
          <w:sz w:val="32"/>
          <w:szCs w:val="32"/>
          <w:highlight w:val="none"/>
          <w:lang w:eastAsia="zh-CN"/>
        </w:rPr>
        <w:t>个部门、</w:t>
      </w: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lang w:eastAsia="zh-CN"/>
        </w:rPr>
        <w:t>个政策开展</w:t>
      </w:r>
      <w:r>
        <w:rPr>
          <w:rFonts w:hint="eastAsia" w:ascii="仿宋_GB2312" w:hAnsi="仿宋_GB2312" w:eastAsia="仿宋_GB2312" w:cs="仿宋_GB2312"/>
          <w:b w:val="0"/>
          <w:bCs w:val="0"/>
          <w:color w:val="auto"/>
          <w:sz w:val="32"/>
          <w:szCs w:val="32"/>
          <w:highlight w:val="none"/>
        </w:rPr>
        <w:t>财政自评复核和财政</w:t>
      </w:r>
      <w:r>
        <w:rPr>
          <w:rFonts w:hint="eastAsia" w:ascii="仿宋_GB2312" w:hAnsi="仿宋_GB2312" w:eastAsia="仿宋_GB2312" w:cs="仿宋_GB2312"/>
          <w:b w:val="0"/>
          <w:bCs w:val="0"/>
          <w:color w:val="auto"/>
          <w:sz w:val="32"/>
          <w:szCs w:val="32"/>
          <w:highlight w:val="none"/>
          <w:lang w:eastAsia="zh-CN"/>
        </w:rPr>
        <w:t>重点评价，涉及</w:t>
      </w:r>
      <w:r>
        <w:rPr>
          <w:rFonts w:hint="eastAsia" w:ascii="仿宋_GB2312" w:hAnsi="仿宋_GB2312" w:eastAsia="仿宋_GB2312" w:cs="仿宋_GB2312"/>
          <w:b w:val="0"/>
          <w:bCs w:val="0"/>
          <w:color w:val="auto"/>
          <w:sz w:val="32"/>
          <w:szCs w:val="32"/>
          <w:highlight w:val="none"/>
          <w:lang w:val="en-US" w:eastAsia="zh-CN"/>
        </w:rPr>
        <w:t>2023年度财政资金342,265</w:t>
      </w:r>
      <w:r>
        <w:rPr>
          <w:rFonts w:hint="eastAsia" w:ascii="仿宋_GB2312" w:hAnsi="仿宋_GB2312" w:cs="仿宋_GB2312"/>
          <w:b w:val="0"/>
          <w:bCs w:val="0"/>
          <w:color w:val="auto"/>
          <w:sz w:val="32"/>
          <w:szCs w:val="32"/>
          <w:highlight w:val="none"/>
          <w:lang w:val="en-US" w:eastAsia="zh-CN"/>
        </w:rPr>
        <w:t>万</w:t>
      </w:r>
      <w:r>
        <w:rPr>
          <w:rFonts w:hint="eastAsia" w:ascii="仿宋_GB2312" w:hAnsi="仿宋_GB2312" w:eastAsia="仿宋_GB2312" w:cs="仿宋_GB2312"/>
          <w:b w:val="0"/>
          <w:bCs w:val="0"/>
          <w:color w:val="auto"/>
          <w:sz w:val="32"/>
          <w:szCs w:val="32"/>
          <w:highlight w:val="none"/>
          <w:lang w:val="en-US" w:eastAsia="zh-CN"/>
        </w:rPr>
        <w:t>元，</w:t>
      </w:r>
      <w:r>
        <w:rPr>
          <w:rFonts w:hint="eastAsia" w:ascii="仿宋_GB2312" w:hAnsi="仿宋_GB2312" w:eastAsia="仿宋_GB2312" w:cs="仿宋_GB2312"/>
          <w:b w:val="0"/>
          <w:bCs w:val="0"/>
          <w:color w:val="auto"/>
          <w:kern w:val="2"/>
          <w:sz w:val="32"/>
          <w:szCs w:val="32"/>
          <w:highlight w:val="none"/>
          <w:lang w:eastAsia="zh-CN"/>
        </w:rPr>
        <w:t>评价优良率为</w:t>
      </w:r>
      <w:r>
        <w:rPr>
          <w:rFonts w:hint="eastAsia" w:ascii="仿宋_GB2312" w:hAnsi="仿宋_GB2312" w:eastAsia="仿宋_GB2312" w:cs="仿宋_GB2312"/>
          <w:b w:val="0"/>
          <w:bCs w:val="0"/>
          <w:color w:val="auto"/>
          <w:sz w:val="32"/>
          <w:szCs w:val="32"/>
          <w:highlight w:val="none"/>
          <w:lang w:val="en-US" w:eastAsia="zh-CN"/>
        </w:rPr>
        <w:t>96.88</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eastAsia="zh-CN"/>
        </w:rPr>
        <w:t>。</w:t>
      </w:r>
    </w:p>
    <w:p w14:paraId="7B59DABE">
      <w:pPr>
        <w:pStyle w:val="2"/>
        <w:keepNext w:val="0"/>
        <w:keepLines w:val="0"/>
        <w:pageBreakBefore w:val="0"/>
        <w:widowControl w:val="0"/>
        <w:numPr>
          <w:ilvl w:val="0"/>
          <w:numId w:val="0"/>
        </w:numPr>
        <w:kinsoku/>
        <w:wordWrap/>
        <w:overflowPunct/>
        <w:topLinePunct w:val="0"/>
        <w:autoSpaceDE/>
        <w:autoSpaceDN/>
        <w:bidi w:val="0"/>
        <w:spacing w:line="560" w:lineRule="exact"/>
        <w:ind w:firstLine="643" w:firstLineChars="200"/>
        <w:jc w:val="both"/>
        <w:rPr>
          <w:rFonts w:hint="eastAsia" w:ascii="仿宋_GB2312" w:hAnsi="仿宋_GB2312" w:eastAsia="仿宋_GB2312" w:cs="仿宋_GB2312"/>
          <w:b w:val="0"/>
          <w:bCs w:val="0"/>
          <w:color w:val="auto"/>
          <w:kern w:val="2"/>
          <w:sz w:val="32"/>
          <w:szCs w:val="32"/>
          <w:highlight w:val="none"/>
          <w:shd w:val="clear" w:color="auto" w:fill="FFFFFF"/>
          <w:lang w:val="en-US" w:eastAsia="zh-CN" w:bidi="ar-SA"/>
        </w:rPr>
      </w:pPr>
      <w:r>
        <w:rPr>
          <w:rFonts w:hint="eastAsia" w:ascii="仿宋_GB2312" w:hAnsi="仿宋_GB2312" w:eastAsia="仿宋_GB2312" w:cs="仿宋_GB2312"/>
          <w:b/>
          <w:bCs/>
          <w:color w:val="auto"/>
          <w:kern w:val="2"/>
          <w:sz w:val="32"/>
          <w:szCs w:val="32"/>
          <w:highlight w:val="none"/>
          <w:shd w:val="clear" w:color="auto" w:fill="FFFFFF"/>
          <w:lang w:val="en-US" w:eastAsia="zh-CN" w:bidi="ar-SA"/>
        </w:rPr>
        <w:t>2.强化绩效结果应用</w:t>
      </w:r>
    </w:p>
    <w:p w14:paraId="487C5D95">
      <w:pPr>
        <w:keepNext w:val="0"/>
        <w:keepLines w:val="0"/>
        <w:pageBreakBefore w:val="0"/>
        <w:numPr>
          <w:ilvl w:val="0"/>
          <w:numId w:val="0"/>
        </w:numPr>
        <w:kinsoku/>
        <w:wordWrap/>
        <w:overflowPunct/>
        <w:topLinePunct w:val="0"/>
        <w:autoSpaceDE/>
        <w:autoSpaceDN/>
        <w:bidi w:val="0"/>
        <w:spacing w:line="560" w:lineRule="exact"/>
        <w:ind w:firstLine="640" w:firstLineChars="200"/>
        <w:outlineLvl w:val="9"/>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eastAsia="zh-CN"/>
        </w:rPr>
        <w:t>一是加强评估结果应用。</w:t>
      </w:r>
      <w:r>
        <w:rPr>
          <w:rFonts w:hint="eastAsia" w:ascii="仿宋_GB2312" w:hAnsi="仿宋_GB2312" w:eastAsia="仿宋_GB2312" w:cs="仿宋_GB2312"/>
          <w:b w:val="0"/>
          <w:bCs w:val="0"/>
          <w:color w:val="auto"/>
          <w:sz w:val="32"/>
          <w:szCs w:val="32"/>
          <w:highlight w:val="none"/>
        </w:rPr>
        <w:t>绩效目标审核结果是预算执行</w:t>
      </w:r>
      <w:r>
        <w:rPr>
          <w:rFonts w:hint="eastAsia" w:ascii="仿宋_GB2312" w:hAnsi="仿宋_GB2312" w:eastAsia="仿宋_GB2312" w:cs="仿宋_GB2312"/>
          <w:b w:val="0"/>
          <w:bCs w:val="0"/>
          <w:color w:val="auto"/>
          <w:sz w:val="32"/>
          <w:szCs w:val="32"/>
          <w:highlight w:val="none"/>
          <w:lang w:eastAsia="zh-CN"/>
        </w:rPr>
        <w:t>过程</w:t>
      </w:r>
      <w:r>
        <w:rPr>
          <w:rFonts w:hint="eastAsia" w:ascii="仿宋_GB2312" w:hAnsi="仿宋_GB2312" w:eastAsia="仿宋_GB2312" w:cs="仿宋_GB2312"/>
          <w:b w:val="0"/>
          <w:bCs w:val="0"/>
          <w:color w:val="auto"/>
          <w:sz w:val="32"/>
          <w:szCs w:val="32"/>
          <w:highlight w:val="none"/>
        </w:rPr>
        <w:t>中绩效运行监控的主要内容，也是预算执行结束后绩效评价实施的重要依据</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预算绩效评审结果直接应用于预算编审，有效节约了财政资金，使预算安排更加科学合理</w:t>
      </w:r>
      <w:r>
        <w:rPr>
          <w:rFonts w:hint="eastAsia" w:ascii="仿宋_GB2312" w:hAnsi="仿宋_GB2312" w:eastAsia="仿宋_GB2312" w:cs="仿宋_GB2312"/>
          <w:b w:val="0"/>
          <w:bCs w:val="0"/>
          <w:color w:val="auto"/>
          <w:sz w:val="32"/>
          <w:szCs w:val="32"/>
          <w:highlight w:val="none"/>
          <w:lang w:eastAsia="zh-CN"/>
        </w:rPr>
        <w:t>。</w:t>
      </w:r>
    </w:p>
    <w:p w14:paraId="6CFDDB0E">
      <w:pPr>
        <w:keepNext w:val="0"/>
        <w:keepLines w:val="0"/>
        <w:pageBreakBefore w:val="0"/>
        <w:numPr>
          <w:ilvl w:val="0"/>
          <w:numId w:val="0"/>
        </w:numPr>
        <w:kinsoku/>
        <w:wordWrap/>
        <w:overflowPunct/>
        <w:topLinePunct w:val="0"/>
        <w:autoSpaceDE/>
        <w:autoSpaceDN/>
        <w:bidi w:val="0"/>
        <w:spacing w:line="560" w:lineRule="exact"/>
        <w:ind w:firstLine="640" w:firstLineChars="200"/>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eastAsia="zh-CN"/>
        </w:rPr>
        <w:t>二是完善人大监督机制。重点绩效第三方评价结束后，</w:t>
      </w:r>
      <w:r>
        <w:rPr>
          <w:rFonts w:hint="eastAsia" w:ascii="仿宋_GB2312" w:hAnsi="仿宋_GB2312" w:eastAsia="仿宋_GB2312" w:cs="仿宋_GB2312"/>
          <w:b w:val="0"/>
          <w:bCs w:val="0"/>
          <w:color w:val="auto"/>
          <w:sz w:val="32"/>
          <w:szCs w:val="32"/>
          <w:highlight w:val="none"/>
          <w:lang w:val="en-US" w:eastAsia="zh-CN"/>
        </w:rPr>
        <w:t>将评价总体情况等按程序报区政府审批后向区人大常委会报告，接受同级人大监督。</w:t>
      </w:r>
    </w:p>
    <w:p w14:paraId="624552B0">
      <w:pPr>
        <w:keepNext w:val="0"/>
        <w:keepLines w:val="0"/>
        <w:pageBreakBefore w:val="0"/>
        <w:numPr>
          <w:ilvl w:val="0"/>
          <w:numId w:val="0"/>
        </w:numPr>
        <w:kinsoku/>
        <w:wordWrap/>
        <w:overflowPunct/>
        <w:topLinePunct w:val="0"/>
        <w:autoSpaceDE/>
        <w:autoSpaceDN/>
        <w:bidi w:val="0"/>
        <w:spacing w:line="560" w:lineRule="exact"/>
        <w:ind w:firstLine="640" w:firstLineChars="200"/>
        <w:outlineLvl w:val="9"/>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eastAsia="zh-CN"/>
        </w:rPr>
        <w:t>三是强化评价整改。</w:t>
      </w:r>
      <w:r>
        <w:rPr>
          <w:rFonts w:hint="eastAsia" w:ascii="仿宋_GB2312" w:hAnsi="仿宋_GB2312" w:eastAsia="仿宋_GB2312" w:cs="仿宋_GB2312"/>
          <w:b w:val="0"/>
          <w:bCs w:val="0"/>
          <w:color w:val="auto"/>
          <w:sz w:val="32"/>
          <w:szCs w:val="32"/>
          <w:highlight w:val="none"/>
        </w:rPr>
        <w:t>评价结束后组织</w:t>
      </w:r>
      <w:r>
        <w:rPr>
          <w:rFonts w:hint="eastAsia" w:ascii="仿宋_GB2312" w:hAnsi="仿宋_GB2312" w:eastAsia="仿宋_GB2312" w:cs="仿宋_GB2312"/>
          <w:b w:val="0"/>
          <w:bCs w:val="0"/>
          <w:color w:val="auto"/>
          <w:sz w:val="32"/>
          <w:szCs w:val="32"/>
          <w:lang w:eastAsia="zh-CN"/>
        </w:rPr>
        <w:t>所有被评价项目（政策、部门整体）的主管部门</w:t>
      </w:r>
      <w:r>
        <w:rPr>
          <w:rFonts w:hint="eastAsia" w:ascii="仿宋_GB2312" w:hAnsi="仿宋_GB2312" w:eastAsia="仿宋_GB2312" w:cs="仿宋_GB2312"/>
          <w:b w:val="0"/>
          <w:bCs w:val="0"/>
          <w:color w:val="auto"/>
          <w:sz w:val="32"/>
          <w:szCs w:val="32"/>
          <w:highlight w:val="none"/>
        </w:rPr>
        <w:t>，针对绩效评价报告中专家提出的存在问题及改进措施开展整改工作，落实整改措施，据此进一步加强项目管理，不断提高财政资金使用效益。</w:t>
      </w:r>
    </w:p>
    <w:p w14:paraId="4D71233E">
      <w:pPr>
        <w:pStyle w:val="12"/>
        <w:keepNext w:val="0"/>
        <w:keepLines w:val="0"/>
        <w:pageBreakBefore w:val="0"/>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highlight w:val="none"/>
          <w:lang w:eastAsia="zh-CN"/>
        </w:rPr>
        <w:t>四是开展预算绩效管理整改情况监督检查。加强财政监督检查，将预算绩效管理整改情况纳入年度本级财政监督检查中绩效监督检查范围，通过采取</w:t>
      </w:r>
      <w:r>
        <w:rPr>
          <w:rFonts w:hint="eastAsia" w:ascii="仿宋_GB2312" w:hAnsi="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eastAsia="zh-CN"/>
        </w:rPr>
        <w:t>全面核查+重点抽查</w:t>
      </w:r>
      <w:r>
        <w:rPr>
          <w:rFonts w:hint="eastAsia" w:ascii="仿宋_GB2312" w:hAnsi="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eastAsia="zh-CN"/>
        </w:rPr>
        <w:t>的方式加强对预算单位后续整改工作的监督</w:t>
      </w:r>
      <w:r>
        <w:rPr>
          <w:rFonts w:hint="eastAsia" w:ascii="仿宋_GB2312" w:hAnsi="仿宋_GB2312" w:eastAsia="仿宋_GB2312" w:cs="仿宋_GB2312"/>
          <w:b w:val="0"/>
          <w:bCs w:val="0"/>
          <w:color w:val="auto"/>
          <w:sz w:val="32"/>
          <w:szCs w:val="32"/>
          <w:highlight w:val="none"/>
        </w:rPr>
        <w:t>。</w:t>
      </w:r>
    </w:p>
    <w:p w14:paraId="6E149298">
      <w:pPr>
        <w:keepNext w:val="0"/>
        <w:keepLines w:val="0"/>
        <w:pageBreakBefore w:val="0"/>
        <w:topLinePunct w:val="0"/>
        <w:autoSpaceDN/>
        <w:bidi w:val="0"/>
        <w:spacing w:line="560" w:lineRule="exact"/>
        <w:ind w:firstLine="640" w:firstLineChars="200"/>
        <w:rPr>
          <w:rFonts w:hint="eastAsia" w:ascii="仿宋_GB2312" w:hAnsi="仿宋_GB2312" w:eastAsia="仿宋_GB2312" w:cs="仿宋_GB2312"/>
          <w:b w:val="0"/>
          <w:bCs w:val="0"/>
          <w:color w:val="auto"/>
          <w:sz w:val="32"/>
          <w:szCs w:val="32"/>
          <w:highlight w:val="cyan"/>
        </w:rPr>
      </w:pPr>
      <w:r>
        <w:rPr>
          <w:rFonts w:hint="eastAsia" w:ascii="仿宋_GB2312" w:hAnsi="仿宋_GB2312" w:eastAsia="仿宋_GB2312" w:cs="仿宋_GB2312"/>
          <w:b w:val="0"/>
          <w:bCs w:val="0"/>
          <w:color w:val="auto"/>
          <w:sz w:val="32"/>
          <w:szCs w:val="32"/>
          <w:highlight w:val="none"/>
          <w:lang w:val="en-US" w:eastAsia="zh-CN"/>
        </w:rPr>
        <w:t>五是</w:t>
      </w:r>
      <w:r>
        <w:rPr>
          <w:rFonts w:hint="eastAsia" w:ascii="仿宋_GB2312" w:hAnsi="仿宋_GB2312" w:eastAsia="仿宋_GB2312" w:cs="仿宋_GB2312"/>
          <w:b w:val="0"/>
          <w:bCs w:val="0"/>
          <w:color w:val="auto"/>
          <w:sz w:val="32"/>
          <w:szCs w:val="32"/>
          <w:highlight w:val="none"/>
          <w:lang w:eastAsia="zh-CN"/>
        </w:rPr>
        <w:t>确保绩效信息公开。按要求</w:t>
      </w:r>
      <w:r>
        <w:rPr>
          <w:rFonts w:hint="eastAsia" w:ascii="仿宋_GB2312" w:hAnsi="仿宋_GB2312" w:cs="仿宋_GB2312"/>
          <w:b w:val="0"/>
          <w:bCs w:val="0"/>
          <w:color w:val="auto"/>
          <w:sz w:val="32"/>
          <w:szCs w:val="32"/>
          <w:highlight w:val="none"/>
          <w:lang w:eastAsia="zh-CN"/>
        </w:rPr>
        <w:t>开展</w:t>
      </w:r>
      <w:r>
        <w:rPr>
          <w:rFonts w:hint="eastAsia" w:ascii="仿宋_GB2312" w:hAnsi="仿宋_GB2312" w:eastAsia="仿宋_GB2312" w:cs="仿宋_GB2312"/>
          <w:b w:val="0"/>
          <w:bCs w:val="0"/>
          <w:color w:val="auto"/>
          <w:sz w:val="32"/>
          <w:szCs w:val="32"/>
          <w:highlight w:val="none"/>
          <w:lang w:eastAsia="zh-CN"/>
        </w:rPr>
        <w:t>公开部门整体及主要工作任务、经财政批复的项目绩效目标</w:t>
      </w:r>
      <w:r>
        <w:rPr>
          <w:rFonts w:hint="eastAsia" w:ascii="仿宋_GB2312" w:hAnsi="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eastAsia="zh-CN"/>
        </w:rPr>
        <w:t>预算绩效管理情况</w:t>
      </w:r>
      <w:r>
        <w:rPr>
          <w:rFonts w:hint="eastAsia" w:ascii="仿宋_GB2312" w:hAnsi="仿宋_GB2312" w:cs="仿宋_GB2312"/>
          <w:b w:val="0"/>
          <w:bCs w:val="0"/>
          <w:color w:val="auto"/>
          <w:sz w:val="32"/>
          <w:szCs w:val="32"/>
          <w:highlight w:val="none"/>
          <w:lang w:eastAsia="zh-CN"/>
        </w:rPr>
        <w:t>、评价报告等工作，</w:t>
      </w:r>
      <w:r>
        <w:rPr>
          <w:rFonts w:hint="eastAsia" w:ascii="仿宋_GB2312" w:hAnsi="仿宋_GB2312" w:cs="仿宋_GB2312"/>
          <w:color w:val="auto"/>
          <w:kern w:val="0"/>
          <w:szCs w:val="32"/>
        </w:rPr>
        <w:t>推动财政资金聚力增效，增强政府公信力和执行力。</w:t>
      </w:r>
    </w:p>
    <w:p w14:paraId="27F29212">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rPr>
      </w:pPr>
    </w:p>
    <w:p w14:paraId="0CE7BB7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二、2025年预算草案</w:t>
      </w:r>
    </w:p>
    <w:p w14:paraId="78BEC892">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Cs w:val="32"/>
        </w:rPr>
        <w:t>（一）2025年财政收支形势分析</w:t>
      </w:r>
    </w:p>
    <w:p w14:paraId="20086F49">
      <w:pPr>
        <w:pStyle w:val="3"/>
        <w:keepNext w:val="0"/>
        <w:keepLines w:val="0"/>
        <w:pageBreakBefore w:val="0"/>
        <w:widowControl w:val="0"/>
        <w:kinsoku w:val="0"/>
        <w:overflowPunct w:val="0"/>
        <w:topLinePunct w:val="0"/>
        <w:autoSpaceDN/>
        <w:bidi w:val="0"/>
        <w:adjustRightInd/>
        <w:snapToGrid/>
        <w:spacing w:line="560" w:lineRule="exact"/>
        <w:ind w:left="0" w:right="-14" w:firstLine="643" w:firstLineChars="200"/>
        <w:textAlignment w:val="auto"/>
        <w:rPr>
          <w:rFonts w:ascii="仿宋_GB2312" w:hAnsi="仿宋_GB2312" w:eastAsia="仿宋_GB2312" w:cs="仿宋_GB2312"/>
          <w:b w:val="0"/>
          <w:bCs w:val="0"/>
          <w:color w:val="auto"/>
          <w:sz w:val="32"/>
          <w:szCs w:val="32"/>
        </w:rPr>
      </w:pPr>
      <w:r>
        <w:rPr>
          <w:rFonts w:ascii="仿宋_GB2312" w:hAnsi="仿宋_GB2312" w:eastAsia="仿宋_GB2312" w:cs="仿宋_GB2312"/>
          <w:b/>
          <w:bCs/>
          <w:color w:val="auto"/>
          <w:sz w:val="32"/>
          <w:szCs w:val="32"/>
        </w:rPr>
        <w:t>1.财政收入形势。</w:t>
      </w:r>
      <w:r>
        <w:rPr>
          <w:rFonts w:ascii="仿宋_GB2312" w:hAnsi="仿宋_GB2312" w:eastAsia="仿宋_GB2312" w:cs="仿宋_GB2312"/>
          <w:b w:val="0"/>
          <w:bCs w:val="0"/>
          <w:color w:val="auto"/>
          <w:sz w:val="32"/>
          <w:szCs w:val="32"/>
        </w:rPr>
        <w:t>党的二十届三中全会的胜利召开，擘画了进一步全面深化改革、推进中国式现代化的宏伟蓝图，为我区各项社会事业发展指明了前进方向、提供了行动指南。中央经济工作会议提出做好2025年经济工作的政策基调和工作要求，释放了宏观政策将更加积极有为的信号，充分体现了党中央对于推动经济持续回升向好、提振市场信心和预期的决心，国家、省、市陆续出台了一揽子稳增长政策，经济复苏有望恢复向好态势。</w:t>
      </w:r>
      <w:r>
        <w:rPr>
          <w:rFonts w:hint="eastAsia" w:ascii="仿宋_GB2312" w:hAnsi="仿宋_GB2312" w:eastAsia="仿宋_GB2312" w:cs="仿宋_GB2312"/>
          <w:b w:val="0"/>
          <w:bCs w:val="0"/>
          <w:color w:val="auto"/>
          <w:sz w:val="32"/>
          <w:szCs w:val="32"/>
          <w:lang w:eastAsia="zh-CN"/>
        </w:rPr>
        <w:t>但是</w:t>
      </w:r>
      <w:r>
        <w:rPr>
          <w:rFonts w:ascii="仿宋_GB2312" w:hAnsi="仿宋_GB2312" w:eastAsia="仿宋_GB2312" w:cs="仿宋_GB2312"/>
          <w:b w:val="0"/>
          <w:bCs w:val="0"/>
          <w:color w:val="auto"/>
          <w:sz w:val="32"/>
          <w:szCs w:val="32"/>
        </w:rPr>
        <w:t>，我区经济结构转型尚未完成、</w:t>
      </w:r>
      <w:r>
        <w:rPr>
          <w:rFonts w:ascii="仿宋_GB2312" w:hAnsi="仿宋_GB2312" w:eastAsia="仿宋_GB2312" w:cs="仿宋_GB2312"/>
          <w:b w:val="0"/>
          <w:bCs w:val="0"/>
          <w:color w:val="auto"/>
          <w:kern w:val="0"/>
          <w:sz w:val="32"/>
          <w:szCs w:val="32"/>
        </w:rPr>
        <w:t>传统</w:t>
      </w:r>
      <w:r>
        <w:rPr>
          <w:rFonts w:ascii="仿宋_GB2312" w:hAnsi="仿宋_GB2312" w:eastAsia="仿宋_GB2312" w:cs="仿宋_GB2312"/>
          <w:b w:val="0"/>
          <w:bCs w:val="0"/>
          <w:color w:val="auto"/>
          <w:sz w:val="32"/>
          <w:szCs w:val="32"/>
        </w:rPr>
        <w:t>支柱税源增长乏力、新兴产业税源体量小等问题依然存在，房地产市场仍存在不确定性、土地</w:t>
      </w:r>
      <w:r>
        <w:rPr>
          <w:rFonts w:hint="eastAsia" w:ascii="仿宋_GB2312" w:hAnsi="仿宋_GB2312" w:eastAsia="仿宋_GB2312" w:cs="仿宋_GB2312"/>
          <w:b w:val="0"/>
          <w:bCs w:val="0"/>
          <w:color w:val="auto"/>
          <w:sz w:val="32"/>
          <w:szCs w:val="32"/>
          <w:lang w:eastAsia="zh-CN"/>
        </w:rPr>
        <w:t>出让</w:t>
      </w:r>
      <w:r>
        <w:rPr>
          <w:rFonts w:ascii="仿宋_GB2312" w:hAnsi="仿宋_GB2312" w:eastAsia="仿宋_GB2312" w:cs="仿宋_GB2312"/>
          <w:b w:val="0"/>
          <w:bCs w:val="0"/>
          <w:color w:val="auto"/>
          <w:sz w:val="32"/>
          <w:szCs w:val="32"/>
        </w:rPr>
        <w:t>收入预期不明朗，非税收入进一步挖潜空间有限，财政增收仍然存在较大压力。</w:t>
      </w:r>
    </w:p>
    <w:p w14:paraId="5DBBF7E2">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cs="仿宋_GB2312"/>
          <w:b w:val="0"/>
          <w:bCs w:val="0"/>
          <w:color w:val="auto"/>
          <w:szCs w:val="32"/>
        </w:rPr>
      </w:pPr>
      <w:r>
        <w:rPr>
          <w:rFonts w:hint="eastAsia" w:ascii="仿宋_GB2312" w:hAnsi="仿宋_GB2312" w:eastAsia="仿宋_GB2312" w:cs="仿宋_GB2312"/>
          <w:b/>
          <w:bCs/>
          <w:color w:val="auto"/>
          <w:szCs w:val="32"/>
        </w:rPr>
        <w:t>2.财政支出形势。</w:t>
      </w:r>
      <w:r>
        <w:rPr>
          <w:rFonts w:hint="eastAsia" w:ascii="仿宋_GB2312" w:hAnsi="仿宋_GB2312" w:cs="仿宋_GB2312"/>
          <w:b w:val="0"/>
          <w:bCs w:val="0"/>
          <w:color w:val="auto"/>
          <w:szCs w:val="32"/>
        </w:rPr>
        <w:t>2025年是进一步全面深化改革的重要一年，也是“十四五”规划确定的重点任务、重点项目的建设收官之年，必须把坚持高质量发展作为新时代的硬道理，</w:t>
      </w:r>
      <w:r>
        <w:rPr>
          <w:rFonts w:hint="eastAsia" w:ascii="仿宋_GB2312" w:hAnsi="仿宋_GB2312" w:cs="仿宋_GB2312"/>
          <w:color w:val="auto"/>
          <w:szCs w:val="32"/>
        </w:rPr>
        <w:t>把实施更加积极的财政政策作为总要求，确保财政政策持续用力、更加给力。深刻领会习近平总书记、党中央战略意图，锚定粤港澳大湾区“一点两地”全新定位，落实省委、市委、区委改革任务，加速推进进一步全面深化改革，纵深推进新阶段粤港澳大湾区建设，坚持实体经济为本、制造业当家，加快发展新质生产力，加力提速实施“百千万工程”，高质量完成“十四五”规划目标任务，持续推动产业发展与经济社会稳定运行</w:t>
      </w:r>
      <w:r>
        <w:rPr>
          <w:rFonts w:hint="eastAsia" w:ascii="仿宋_GB2312" w:hAnsi="仿宋_GB2312" w:cs="仿宋_GB2312"/>
          <w:color w:val="auto"/>
          <w:szCs w:val="32"/>
          <w:lang w:eastAsia="zh-CN"/>
        </w:rPr>
        <w:t>。</w:t>
      </w:r>
      <w:r>
        <w:rPr>
          <w:rFonts w:hint="eastAsia" w:ascii="仿宋_GB2312" w:hAnsi="仿宋_GB2312" w:cs="仿宋_GB2312"/>
          <w:color w:val="auto"/>
          <w:szCs w:val="32"/>
        </w:rPr>
        <w:t>为实现“十五五”良好开局打牢基础</w:t>
      </w:r>
      <w:r>
        <w:rPr>
          <w:rFonts w:hint="eastAsia" w:ascii="仿宋_GB2312" w:hAnsi="仿宋_GB2312" w:cs="仿宋_GB2312"/>
          <w:b w:val="0"/>
          <w:bCs w:val="0"/>
          <w:color w:val="auto"/>
          <w:szCs w:val="32"/>
        </w:rPr>
        <w:t>，仍需保持较高的财政支出强度，叠加“三保”支出、债券还本付息等刚性支出需求强度不减，财政收支“紧平衡”状况将成为常态，财政持续健康、平稳运行面临较大挑战。</w:t>
      </w:r>
    </w:p>
    <w:p w14:paraId="7E8CE2FA">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Cs w:val="32"/>
        </w:rPr>
        <w:t>（二）2025年预算编制指导思想及主要原则</w:t>
      </w:r>
    </w:p>
    <w:p w14:paraId="47F3BE43">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1.预算编制的指导思想</w:t>
      </w:r>
    </w:p>
    <w:p w14:paraId="21F9A9BB">
      <w:pPr>
        <w:keepNext w:val="0"/>
        <w:keepLines w:val="0"/>
        <w:pageBreakBefore w:val="0"/>
        <w:widowControl w:val="0"/>
        <w:topLinePunct w:val="0"/>
        <w:autoSpaceDE w:val="0"/>
        <w:autoSpaceDN/>
        <w:bidi w:val="0"/>
        <w:adjustRightInd/>
        <w:snapToGrid/>
        <w:spacing w:line="560" w:lineRule="exact"/>
        <w:ind w:firstLine="640" w:firstLineChars="200"/>
        <w:textAlignment w:val="auto"/>
        <w:rPr>
          <w:rFonts w:hint="eastAsia" w:ascii="仿宋_GB2312" w:hAnsi="仿宋_GB2312" w:cs="仿宋_GB2312"/>
          <w:color w:val="auto"/>
          <w:szCs w:val="32"/>
          <w:lang w:eastAsia="zh-CN"/>
        </w:rPr>
      </w:pPr>
      <w:r>
        <w:rPr>
          <w:rFonts w:hint="eastAsia" w:ascii="仿宋_GB2312" w:hAnsi="仿宋_GB2312" w:cs="仿宋_GB2312"/>
          <w:b w:val="0"/>
          <w:bCs w:val="0"/>
          <w:color w:val="auto"/>
          <w:szCs w:val="32"/>
        </w:rPr>
        <w:t>以习近平新时代中国特色社会主义思想为指导，全面贯彻落实党的二十大和二十届二中、三中全会及中央经济工作会议精神，深入贯彻落实习近平总书记视察广东</w:t>
      </w:r>
      <w:r>
        <w:rPr>
          <w:rFonts w:hint="eastAsia" w:ascii="仿宋_GB2312" w:hAnsi="仿宋_GB2312" w:cs="仿宋_GB2312"/>
          <w:color w:val="auto"/>
          <w:szCs w:val="32"/>
        </w:rPr>
        <w:t>、澳门重要讲话、重要指示精神，坚持稳中求进、以进促稳，守正创新、先立后破，系统集成、协同配合，完整准确全面贯彻新发展理念，加快构建新发展格局，扎实推动高质量发展。强化财政资源和预算统筹，持续推动经济实现质的有效提升和量的合理增长，增进民生福祉，保持社会稳定，更好发挥财政在政府治理中的基础和重要支柱作用，围绕市委市政府赋予番禺实体经济的主阵地、新质生产力的承载地、“南拓”“东进”的中继枢纽、</w:t>
      </w:r>
      <w:r>
        <w:rPr>
          <w:rFonts w:hint="eastAsia" w:ascii="仿宋_GB2312" w:hAnsi="仿宋_GB2312" w:cs="仿宋_GB2312"/>
          <w:color w:val="auto"/>
          <w:szCs w:val="32"/>
          <w:lang w:eastAsia="zh-CN"/>
        </w:rPr>
        <w:t>岭南历史文化重要承载地、</w:t>
      </w:r>
      <w:r>
        <w:rPr>
          <w:rFonts w:hint="eastAsia" w:ascii="仿宋_GB2312" w:hAnsi="仿宋_GB2312" w:cs="仿宋_GB2312"/>
          <w:color w:val="auto"/>
          <w:szCs w:val="32"/>
        </w:rPr>
        <w:t>粤港澳</w:t>
      </w:r>
      <w:r>
        <w:rPr>
          <w:rFonts w:hint="eastAsia" w:ascii="仿宋_GB2312" w:hAnsi="仿宋_GB2312" w:cs="仿宋_GB2312"/>
          <w:color w:val="auto"/>
          <w:szCs w:val="32"/>
          <w:lang w:eastAsia="zh-CN"/>
        </w:rPr>
        <w:t>大</w:t>
      </w:r>
      <w:r>
        <w:rPr>
          <w:rFonts w:hint="eastAsia" w:ascii="仿宋_GB2312" w:hAnsi="仿宋_GB2312" w:cs="仿宋_GB2312"/>
          <w:color w:val="auto"/>
          <w:szCs w:val="32"/>
        </w:rPr>
        <w:t>湾区优质生活圈的目标定位，</w:t>
      </w:r>
      <w:r>
        <w:rPr>
          <w:rFonts w:hint="eastAsia" w:ascii="仿宋_GB2312" w:hAnsi="仿宋_GB2312" w:cs="仿宋_GB2312"/>
          <w:color w:val="auto"/>
          <w:szCs w:val="32"/>
          <w:lang w:eastAsia="zh-CN"/>
        </w:rPr>
        <w:t>奋力为广</w:t>
      </w:r>
      <w:bookmarkStart w:id="1" w:name="_GoBack"/>
      <w:bookmarkEnd w:id="1"/>
      <w:r>
        <w:rPr>
          <w:rFonts w:hint="eastAsia" w:ascii="仿宋_GB2312" w:hAnsi="仿宋_GB2312" w:cs="仿宋_GB2312"/>
          <w:color w:val="auto"/>
          <w:szCs w:val="32"/>
          <w:lang w:eastAsia="zh-CN"/>
        </w:rPr>
        <w:t>州锚定“排头兵、领头羊、火车头”标高追求，在推进中国式现代化中谱写番禺高质量发展新篇章。</w:t>
      </w:r>
    </w:p>
    <w:p w14:paraId="7B7C102D">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2.预算编制的主要原则</w:t>
      </w:r>
    </w:p>
    <w:p w14:paraId="404BE98F">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一是坚持以政领财，服务大局。预算编制聚焦中央、省、市和区重大</w:t>
      </w:r>
      <w:r>
        <w:rPr>
          <w:rFonts w:hint="eastAsia" w:ascii="仿宋_GB2312" w:hAnsi="仿宋_GB2312" w:cs="仿宋_GB2312"/>
          <w:b w:val="0"/>
          <w:bCs w:val="0"/>
          <w:color w:val="auto"/>
          <w:szCs w:val="32"/>
          <w:lang w:eastAsia="zh-CN"/>
        </w:rPr>
        <w:t>决策</w:t>
      </w:r>
      <w:r>
        <w:rPr>
          <w:rFonts w:hint="eastAsia" w:ascii="仿宋_GB2312" w:hAnsi="仿宋_GB2312" w:cs="仿宋_GB2312"/>
          <w:b w:val="0"/>
          <w:bCs w:val="0"/>
          <w:color w:val="auto"/>
          <w:szCs w:val="32"/>
        </w:rPr>
        <w:t>部署，强化中央、省、市和区重大政策的财力保障，切实发挥财政对于稳定经济社会的核心作用，有力支撑我区经济社会高质量发展。预算安排聚焦关键领域，重点服务大局，坚决兜牢兜实“三保”底线，不留硬缺口；加大项目预算与政策落实的匹配度，提高财政资源配置效率和使用效益。</w:t>
      </w:r>
    </w:p>
    <w:p w14:paraId="211B70A5">
      <w:pPr>
        <w:keepNext w:val="0"/>
        <w:keepLines w:val="0"/>
        <w:pageBreakBefore w:val="0"/>
        <w:widowControl w:val="0"/>
        <w:topLinePunct w:val="0"/>
        <w:autoSpaceDN/>
        <w:bidi w:val="0"/>
        <w:adjustRightInd/>
        <w:snapToGrid/>
        <w:spacing w:line="560" w:lineRule="exact"/>
        <w:ind w:firstLine="640" w:firstLineChars="200"/>
        <w:jc w:val="both"/>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二是坚持盘活存量，做优增量。强化税收收入和非税收入统筹，着手构建并持续完善重点税源以及非税收入项目的管理清单，加强全区财政收入组织</w:t>
      </w:r>
      <w:r>
        <w:rPr>
          <w:rFonts w:hint="eastAsia" w:ascii="仿宋_GB2312" w:hAnsi="仿宋_GB2312" w:cs="仿宋_GB2312"/>
          <w:b w:val="0"/>
          <w:bCs w:val="0"/>
          <w:color w:val="auto"/>
          <w:szCs w:val="32"/>
          <w:lang w:eastAsia="zh-CN"/>
        </w:rPr>
        <w:t>力度</w:t>
      </w:r>
      <w:r>
        <w:rPr>
          <w:rFonts w:hint="eastAsia" w:ascii="仿宋_GB2312" w:hAnsi="仿宋_GB2312" w:cs="仿宋_GB2312"/>
          <w:b w:val="0"/>
          <w:bCs w:val="0"/>
          <w:color w:val="auto"/>
          <w:szCs w:val="32"/>
        </w:rPr>
        <w:t>。收入目标充分考虑经济环境、土地储备以及出让情况等因素，与积极财政政策相衔接，不脱离实际编制增长目标，确保收入的真实性和持续性。加强三本预算统筹，平衡今明两年资金配置，灵活调控跨年度项目安排。强化存量资源与增量资源统筹，积极争取国家、省和市增量政策和资金倾斜支持，在更大范围、更广领域内盘活资金资源。</w:t>
      </w:r>
    </w:p>
    <w:p w14:paraId="4EA72533">
      <w:pPr>
        <w:keepNext w:val="0"/>
        <w:keepLines w:val="0"/>
        <w:pageBreakBefore w:val="0"/>
        <w:widowControl w:val="0"/>
        <w:topLinePunct w:val="0"/>
        <w:autoSpaceDN/>
        <w:bidi w:val="0"/>
        <w:adjustRightInd/>
        <w:snapToGrid/>
        <w:spacing w:line="560" w:lineRule="exact"/>
        <w:ind w:firstLine="640" w:firstLineChars="200"/>
        <w:jc w:val="left"/>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三是坚持以零为基，量力而行。全面摒弃“基数+增长”陈旧观念，树立“零基预算”的预算理念，以实施零基预算改革为牵引，坚持资金跟着项目走，打破支出固化僵化格局，持续调整优化支出结构。按照“先谋事，再排钱”原则,强化项目谋划和入库储备</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落实重大政策和项目财政立项预算评估要求，严禁出台溯及以前年度的增支政策。坚持尽力而为、量力而行，合理确定支出预算规模，杜绝脱离实际的过高承诺，形成稳定合理的社会预期，有效防范系统性风险。</w:t>
      </w:r>
    </w:p>
    <w:p w14:paraId="478A55A3">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四是坚持绩效优先、厉行节约。将绩效管理融入预算管理全过程，强化绩效评价结果应用，对相关资金跟踪问效，将评价结果与完善政策、预算调整安排有机衔接，确保财政资金提质降本增效。不折不扣落实习惯过“紧日子”要求，厉行节约办一切事业，精打细算，大力压减无效、低效支出，严控一般性支出，降低政府行政支出成本。</w:t>
      </w:r>
    </w:p>
    <w:p w14:paraId="13E1EF64">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仿宋_GB2312" w:hAnsi="仿宋_GB2312" w:eastAsia="楷体_GB2312" w:cs="仿宋_GB2312"/>
          <w:b w:val="0"/>
          <w:bCs w:val="0"/>
          <w:color w:val="auto"/>
          <w:szCs w:val="32"/>
          <w:lang w:eastAsia="zh-CN"/>
        </w:rPr>
        <w:t>（</w:t>
      </w:r>
      <w:r>
        <w:rPr>
          <w:rFonts w:hint="eastAsia" w:ascii="仿宋_GB2312" w:hAnsi="仿宋_GB2312" w:eastAsia="楷体_GB2312" w:cs="仿宋_GB2312"/>
          <w:b w:val="0"/>
          <w:bCs w:val="0"/>
          <w:color w:val="auto"/>
          <w:szCs w:val="32"/>
          <w:lang w:val="en-US" w:eastAsia="zh-CN"/>
        </w:rPr>
        <w:t>三</w:t>
      </w:r>
      <w:r>
        <w:rPr>
          <w:rFonts w:hint="eastAsia" w:ascii="仿宋_GB2312" w:hAnsi="仿宋_GB2312" w:eastAsia="楷体_GB2312" w:cs="仿宋_GB2312"/>
          <w:b w:val="0"/>
          <w:bCs w:val="0"/>
          <w:color w:val="auto"/>
          <w:szCs w:val="32"/>
          <w:lang w:eastAsia="zh-CN"/>
        </w:rPr>
        <w:t>）</w:t>
      </w:r>
      <w:r>
        <w:rPr>
          <w:rFonts w:hint="eastAsia" w:ascii="楷体_GB2312" w:hAnsi="楷体_GB2312" w:eastAsia="楷体_GB2312" w:cs="楷体_GB2312"/>
          <w:b w:val="0"/>
          <w:bCs w:val="0"/>
          <w:color w:val="auto"/>
          <w:szCs w:val="32"/>
        </w:rPr>
        <w:t>一般公共预算草案</w:t>
      </w:r>
    </w:p>
    <w:p w14:paraId="7D97DFBF">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1.一般公共预算收入计划</w:t>
      </w:r>
    </w:p>
    <w:p w14:paraId="75B24796">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2025年全区一般公共预算收入计划为1,243,221万元，较去年实绩增长</w:t>
      </w:r>
      <w:r>
        <w:rPr>
          <w:rFonts w:hint="eastAsia" w:ascii="仿宋_GB2312" w:hAnsi="仿宋_GB2312" w:cs="仿宋_GB2312"/>
          <w:b w:val="0"/>
          <w:bCs w:val="0"/>
          <w:color w:val="auto"/>
          <w:szCs w:val="32"/>
          <w:lang w:val="en-US" w:eastAsia="zh-CN"/>
        </w:rPr>
        <w:t>3.94</w:t>
      </w:r>
      <w:r>
        <w:rPr>
          <w:rFonts w:hint="eastAsia" w:ascii="仿宋_GB2312" w:hAnsi="仿宋_GB2312" w:cs="仿宋_GB2312"/>
          <w:b w:val="0"/>
          <w:bCs w:val="0"/>
          <w:color w:val="auto"/>
          <w:szCs w:val="32"/>
        </w:rPr>
        <w:t>%。结构如下：（1）税收收入86</w:t>
      </w:r>
      <w:r>
        <w:rPr>
          <w:rFonts w:hint="eastAsia" w:ascii="仿宋_GB2312" w:hAnsi="仿宋_GB2312" w:cs="仿宋_GB2312"/>
          <w:b w:val="0"/>
          <w:bCs w:val="0"/>
          <w:color w:val="auto"/>
          <w:szCs w:val="32"/>
          <w:lang w:val="en-US" w:eastAsia="zh-CN"/>
        </w:rPr>
        <w:t>5</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148</w:t>
      </w:r>
      <w:r>
        <w:rPr>
          <w:rFonts w:hint="eastAsia" w:ascii="仿宋_GB2312" w:hAnsi="仿宋_GB2312" w:cs="仿宋_GB2312"/>
          <w:b w:val="0"/>
          <w:bCs w:val="0"/>
          <w:color w:val="auto"/>
          <w:szCs w:val="32"/>
        </w:rPr>
        <w:t>万元，占收入总额69.</w:t>
      </w:r>
      <w:r>
        <w:rPr>
          <w:rFonts w:hint="eastAsia" w:ascii="仿宋_GB2312" w:hAnsi="仿宋_GB2312" w:cs="仿宋_GB2312"/>
          <w:b w:val="0"/>
          <w:bCs w:val="0"/>
          <w:color w:val="auto"/>
          <w:szCs w:val="32"/>
          <w:lang w:val="en-US" w:eastAsia="zh-CN"/>
        </w:rPr>
        <w:t>59</w:t>
      </w:r>
      <w:r>
        <w:rPr>
          <w:rFonts w:hint="eastAsia" w:ascii="仿宋_GB2312" w:hAnsi="仿宋_GB2312" w:cs="仿宋_GB2312"/>
          <w:b w:val="0"/>
          <w:bCs w:val="0"/>
          <w:color w:val="auto"/>
          <w:szCs w:val="32"/>
        </w:rPr>
        <w:t>%。其中：增值税36</w:t>
      </w:r>
      <w:r>
        <w:rPr>
          <w:rFonts w:hint="eastAsia" w:ascii="仿宋_GB2312" w:hAnsi="仿宋_GB2312" w:cs="仿宋_GB2312"/>
          <w:b w:val="0"/>
          <w:bCs w:val="0"/>
          <w:color w:val="auto"/>
          <w:szCs w:val="32"/>
          <w:lang w:val="en-US" w:eastAsia="zh-CN"/>
        </w:rPr>
        <w:t>0</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118</w:t>
      </w:r>
      <w:r>
        <w:rPr>
          <w:rFonts w:hint="eastAsia" w:ascii="仿宋_GB2312" w:hAnsi="仿宋_GB2312" w:cs="仿宋_GB2312"/>
          <w:b w:val="0"/>
          <w:bCs w:val="0"/>
          <w:color w:val="auto"/>
          <w:szCs w:val="32"/>
        </w:rPr>
        <w:t>万元、企业所得税</w:t>
      </w:r>
      <w:r>
        <w:rPr>
          <w:rFonts w:hint="eastAsia" w:ascii="仿宋_GB2312" w:hAnsi="仿宋_GB2312" w:cs="仿宋_GB2312"/>
          <w:b w:val="0"/>
          <w:bCs w:val="0"/>
          <w:color w:val="auto"/>
          <w:szCs w:val="32"/>
          <w:lang w:val="en-US" w:eastAsia="zh-CN"/>
        </w:rPr>
        <w:t>191</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7</w:t>
      </w:r>
      <w:r>
        <w:rPr>
          <w:rFonts w:hint="eastAsia" w:ascii="仿宋_GB2312" w:hAnsi="仿宋_GB2312" w:cs="仿宋_GB2312"/>
          <w:b w:val="0"/>
          <w:bCs w:val="0"/>
          <w:color w:val="auto"/>
          <w:szCs w:val="32"/>
        </w:rPr>
        <w:t>55万元；（2）非税收入</w:t>
      </w:r>
      <w:r>
        <w:rPr>
          <w:rFonts w:hint="eastAsia" w:ascii="仿宋_GB2312" w:hAnsi="仿宋_GB2312" w:cs="仿宋_GB2312"/>
          <w:b w:val="0"/>
          <w:bCs w:val="0"/>
          <w:color w:val="auto"/>
          <w:szCs w:val="32"/>
          <w:lang w:val="en-US" w:eastAsia="zh-CN"/>
        </w:rPr>
        <w:t>378</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073</w:t>
      </w:r>
      <w:r>
        <w:rPr>
          <w:rFonts w:hint="eastAsia" w:ascii="仿宋_GB2312" w:hAnsi="仿宋_GB2312" w:cs="仿宋_GB2312"/>
          <w:b w:val="0"/>
          <w:bCs w:val="0"/>
          <w:color w:val="auto"/>
          <w:szCs w:val="32"/>
        </w:rPr>
        <w:t>万元，占收入总额30.</w:t>
      </w:r>
      <w:r>
        <w:rPr>
          <w:rFonts w:hint="eastAsia" w:ascii="仿宋_GB2312" w:hAnsi="仿宋_GB2312" w:cs="仿宋_GB2312"/>
          <w:b w:val="0"/>
          <w:bCs w:val="0"/>
          <w:color w:val="auto"/>
          <w:szCs w:val="32"/>
          <w:lang w:val="en-US" w:eastAsia="zh-CN"/>
        </w:rPr>
        <w:t>4</w:t>
      </w:r>
      <w:r>
        <w:rPr>
          <w:rFonts w:hint="eastAsia" w:ascii="仿宋_GB2312" w:hAnsi="仿宋_GB2312" w:cs="仿宋_GB2312"/>
          <w:b w:val="0"/>
          <w:bCs w:val="0"/>
          <w:color w:val="auto"/>
          <w:szCs w:val="32"/>
        </w:rPr>
        <w:t>1%。</w:t>
      </w:r>
    </w:p>
    <w:p w14:paraId="1BD9A5B4">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按现行财政体制计算，全区一般公共预算收入1,243,221万元，加上上级转移性收入64</w:t>
      </w:r>
      <w:r>
        <w:rPr>
          <w:rFonts w:hint="eastAsia" w:ascii="仿宋_GB2312" w:hAnsi="仿宋_GB2312" w:cs="仿宋_GB2312"/>
          <w:b w:val="0"/>
          <w:bCs w:val="0"/>
          <w:color w:val="auto"/>
          <w:szCs w:val="32"/>
          <w:lang w:val="en-US" w:eastAsia="zh-CN"/>
        </w:rPr>
        <w:t>1</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197</w:t>
      </w:r>
      <w:r>
        <w:rPr>
          <w:rFonts w:hint="eastAsia" w:ascii="仿宋_GB2312" w:hAnsi="仿宋_GB2312" w:cs="仿宋_GB2312"/>
          <w:b w:val="0"/>
          <w:bCs w:val="0"/>
          <w:color w:val="auto"/>
          <w:szCs w:val="32"/>
        </w:rPr>
        <w:t>万元、调入资金</w:t>
      </w:r>
      <w:r>
        <w:rPr>
          <w:rFonts w:hint="eastAsia" w:ascii="仿宋_GB2312" w:hAnsi="仿宋_GB2312" w:cs="仿宋_GB2312"/>
          <w:b w:val="0"/>
          <w:bCs w:val="0"/>
          <w:color w:val="auto"/>
          <w:szCs w:val="32"/>
          <w:lang w:val="en-US" w:eastAsia="zh-CN"/>
        </w:rPr>
        <w:t>429</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954</w:t>
      </w:r>
      <w:r>
        <w:rPr>
          <w:rFonts w:hint="eastAsia" w:ascii="仿宋_GB2312" w:hAnsi="仿宋_GB2312" w:cs="仿宋_GB2312"/>
          <w:b w:val="0"/>
          <w:bCs w:val="0"/>
          <w:color w:val="auto"/>
          <w:szCs w:val="32"/>
        </w:rPr>
        <w:t>万元</w:t>
      </w:r>
      <w:r>
        <w:rPr>
          <w:rFonts w:hint="eastAsia" w:ascii="仿宋_GB2312" w:hAnsi="仿宋_GB2312" w:cs="仿宋_GB2312"/>
          <w:b w:val="0"/>
          <w:bCs w:val="0"/>
          <w:color w:val="auto"/>
          <w:szCs w:val="32"/>
          <w:lang w:eastAsia="zh-CN"/>
        </w:rPr>
        <w:t>、动用预算稳定调节基金</w:t>
      </w:r>
      <w:r>
        <w:rPr>
          <w:rFonts w:hint="eastAsia" w:ascii="仿宋_GB2312" w:hAnsi="仿宋_GB2312" w:cs="仿宋_GB2312"/>
          <w:b w:val="0"/>
          <w:bCs w:val="0"/>
          <w:color w:val="auto"/>
          <w:szCs w:val="32"/>
          <w:lang w:val="en-US" w:eastAsia="zh-CN"/>
        </w:rPr>
        <w:t>260万元、上年区本级结转结余1</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008万元</w:t>
      </w:r>
      <w:r>
        <w:rPr>
          <w:rFonts w:hint="eastAsia" w:ascii="仿宋_GB2312" w:hAnsi="仿宋_GB2312" w:cs="仿宋_GB2312"/>
          <w:b w:val="0"/>
          <w:bCs w:val="0"/>
          <w:color w:val="auto"/>
          <w:szCs w:val="32"/>
        </w:rPr>
        <w:t>，减去上解支出</w:t>
      </w:r>
      <w:r>
        <w:rPr>
          <w:rFonts w:hint="eastAsia" w:ascii="仿宋_GB2312" w:hAnsi="仿宋_GB2312" w:cs="仿宋_GB2312"/>
          <w:b w:val="0"/>
          <w:bCs w:val="0"/>
          <w:color w:val="auto"/>
          <w:szCs w:val="32"/>
          <w:lang w:val="en-US" w:eastAsia="zh-CN"/>
        </w:rPr>
        <w:t>367</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322</w:t>
      </w:r>
      <w:r>
        <w:rPr>
          <w:rFonts w:hint="eastAsia" w:ascii="仿宋_GB2312" w:hAnsi="仿宋_GB2312" w:cs="仿宋_GB2312"/>
          <w:b w:val="0"/>
          <w:bCs w:val="0"/>
          <w:color w:val="auto"/>
          <w:szCs w:val="32"/>
        </w:rPr>
        <w:t>万元、区域间转移性支出5,000万元、一般债务还本支出10万元后，区级一般公共预算可支配财力为1,943,308万元。</w:t>
      </w:r>
    </w:p>
    <w:p w14:paraId="62FEC5BC">
      <w:pPr>
        <w:keepNext w:val="0"/>
        <w:keepLines w:val="0"/>
        <w:pageBreakBefore w:val="0"/>
        <w:widowControl w:val="0"/>
        <w:numPr>
          <w:ilvl w:val="0"/>
          <w:numId w:val="0"/>
        </w:numPr>
        <w:tabs>
          <w:tab w:val="left" w:pos="312"/>
        </w:tabs>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lang w:val="en-US" w:eastAsia="zh-CN"/>
        </w:rPr>
        <w:t>2.</w:t>
      </w:r>
      <w:r>
        <w:rPr>
          <w:rFonts w:hint="eastAsia" w:ascii="仿宋_GB2312" w:hAnsi="仿宋_GB2312" w:eastAsia="仿宋_GB2312" w:cs="仿宋_GB2312"/>
          <w:b/>
          <w:bCs/>
          <w:color w:val="auto"/>
          <w:szCs w:val="32"/>
        </w:rPr>
        <w:t>一般公共预算支出计划</w:t>
      </w:r>
    </w:p>
    <w:p w14:paraId="7A24B59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highlight w:val="yellow"/>
        </w:rPr>
      </w:pPr>
      <w:r>
        <w:rPr>
          <w:rFonts w:hint="eastAsia" w:ascii="仿宋_GB2312" w:hAnsi="仿宋_GB2312" w:cs="仿宋_GB2312"/>
          <w:b w:val="0"/>
          <w:bCs w:val="0"/>
          <w:color w:val="auto"/>
          <w:szCs w:val="32"/>
          <w:highlight w:val="none"/>
        </w:rPr>
        <w:t>按照收支平衡的原则，全区一般公共预算支出1,943,308万元，其中返还各镇财力支出201,892万元、区本级支出（含街道）1,741,416万元（包含</w:t>
      </w:r>
      <w:r>
        <w:rPr>
          <w:rFonts w:hint="eastAsia" w:ascii="仿宋_GB2312" w:hAnsi="仿宋_GB2312" w:cs="仿宋_GB2312"/>
          <w:b w:val="0"/>
          <w:bCs w:val="0"/>
          <w:color w:val="auto"/>
          <w:szCs w:val="32"/>
          <w:highlight w:val="none"/>
          <w:lang w:eastAsia="zh-CN"/>
        </w:rPr>
        <w:t>编内</w:t>
      </w:r>
      <w:r>
        <w:rPr>
          <w:rFonts w:hint="eastAsia" w:ascii="仿宋_GB2312" w:hAnsi="仿宋_GB2312" w:cs="仿宋_GB2312"/>
          <w:b w:val="0"/>
          <w:bCs w:val="0"/>
          <w:color w:val="auto"/>
          <w:szCs w:val="32"/>
          <w:highlight w:val="none"/>
        </w:rPr>
        <w:t>人员经费支出68</w:t>
      </w:r>
      <w:r>
        <w:rPr>
          <w:rFonts w:hint="eastAsia" w:ascii="仿宋_GB2312" w:hAnsi="仿宋_GB2312" w:cs="仿宋_GB2312"/>
          <w:b w:val="0"/>
          <w:bCs w:val="0"/>
          <w:color w:val="auto"/>
          <w:szCs w:val="32"/>
          <w:highlight w:val="none"/>
          <w:lang w:val="en-US" w:eastAsia="zh-CN"/>
        </w:rPr>
        <w:t>0</w:t>
      </w:r>
      <w:r>
        <w:rPr>
          <w:rFonts w:hint="eastAsia" w:ascii="仿宋_GB2312" w:hAnsi="仿宋_GB2312" w:cs="仿宋_GB2312"/>
          <w:b w:val="0"/>
          <w:bCs w:val="0"/>
          <w:color w:val="auto"/>
          <w:szCs w:val="32"/>
          <w:highlight w:val="none"/>
        </w:rPr>
        <w:t>,</w:t>
      </w:r>
      <w:r>
        <w:rPr>
          <w:rFonts w:hint="eastAsia" w:ascii="仿宋_GB2312" w:hAnsi="仿宋_GB2312" w:cs="仿宋_GB2312"/>
          <w:b w:val="0"/>
          <w:bCs w:val="0"/>
          <w:color w:val="auto"/>
          <w:szCs w:val="32"/>
          <w:highlight w:val="none"/>
          <w:lang w:val="en-US" w:eastAsia="zh-CN"/>
        </w:rPr>
        <w:t>894</w:t>
      </w:r>
      <w:r>
        <w:rPr>
          <w:rFonts w:hint="eastAsia" w:ascii="仿宋_GB2312" w:hAnsi="仿宋_GB2312" w:cs="仿宋_GB2312"/>
          <w:b w:val="0"/>
          <w:bCs w:val="0"/>
          <w:color w:val="auto"/>
          <w:szCs w:val="32"/>
          <w:highlight w:val="none"/>
        </w:rPr>
        <w:t>万元，占比39.1%；公用经费支出37,704万元，占比2.17%；专项经费支出1,02</w:t>
      </w:r>
      <w:r>
        <w:rPr>
          <w:rFonts w:hint="eastAsia" w:ascii="仿宋_GB2312" w:hAnsi="仿宋_GB2312" w:cs="仿宋_GB2312"/>
          <w:b w:val="0"/>
          <w:bCs w:val="0"/>
          <w:color w:val="auto"/>
          <w:szCs w:val="32"/>
          <w:highlight w:val="none"/>
          <w:lang w:val="en-US" w:eastAsia="zh-CN"/>
        </w:rPr>
        <w:t>2</w:t>
      </w:r>
      <w:r>
        <w:rPr>
          <w:rFonts w:hint="eastAsia" w:ascii="仿宋_GB2312" w:hAnsi="仿宋_GB2312" w:cs="仿宋_GB2312"/>
          <w:b w:val="0"/>
          <w:bCs w:val="0"/>
          <w:color w:val="auto"/>
          <w:szCs w:val="32"/>
          <w:highlight w:val="none"/>
        </w:rPr>
        <w:t>,</w:t>
      </w:r>
      <w:r>
        <w:rPr>
          <w:rFonts w:hint="eastAsia" w:ascii="仿宋_GB2312" w:hAnsi="仿宋_GB2312" w:cs="仿宋_GB2312"/>
          <w:b w:val="0"/>
          <w:bCs w:val="0"/>
          <w:color w:val="auto"/>
          <w:szCs w:val="32"/>
          <w:highlight w:val="none"/>
          <w:lang w:val="en-US" w:eastAsia="zh-CN"/>
        </w:rPr>
        <w:t>818</w:t>
      </w:r>
      <w:r>
        <w:rPr>
          <w:rFonts w:hint="eastAsia" w:ascii="仿宋_GB2312" w:hAnsi="仿宋_GB2312" w:cs="仿宋_GB2312"/>
          <w:b w:val="0"/>
          <w:bCs w:val="0"/>
          <w:color w:val="auto"/>
          <w:szCs w:val="32"/>
          <w:highlight w:val="none"/>
        </w:rPr>
        <w:t>万元，占比58.65%）。区级一般公共预算支出1,943,308万元按照支出</w:t>
      </w:r>
      <w:r>
        <w:rPr>
          <w:rFonts w:hint="eastAsia" w:ascii="仿宋_GB2312" w:hAnsi="仿宋_GB2312" w:cs="仿宋_GB2312"/>
          <w:b w:val="0"/>
          <w:bCs w:val="0"/>
          <w:color w:val="auto"/>
          <w:szCs w:val="32"/>
          <w:highlight w:val="none"/>
          <w:lang w:eastAsia="zh-CN"/>
        </w:rPr>
        <w:t>功能分类</w:t>
      </w:r>
      <w:r>
        <w:rPr>
          <w:rFonts w:hint="eastAsia" w:ascii="仿宋_GB2312" w:hAnsi="仿宋_GB2312" w:cs="仿宋_GB2312"/>
          <w:b w:val="0"/>
          <w:bCs w:val="0"/>
          <w:color w:val="auto"/>
          <w:szCs w:val="32"/>
          <w:highlight w:val="none"/>
        </w:rPr>
        <w:t>来看，主要安排如下：</w:t>
      </w:r>
    </w:p>
    <w:p w14:paraId="6FD424CA">
      <w:pPr>
        <w:pStyle w:val="7"/>
        <w:keepNext w:val="0"/>
        <w:keepLines w:val="0"/>
        <w:pageBreakBefore w:val="0"/>
        <w:widowControl w:val="0"/>
        <w:topLinePunct w:val="0"/>
        <w:autoSpaceDN/>
        <w:bidi w:val="0"/>
        <w:adjustRightInd/>
        <w:snapToGrid/>
        <w:spacing w:line="560" w:lineRule="exact"/>
        <w:ind w:left="0" w:firstLine="640" w:firstLineChars="200"/>
        <w:textAlignment w:val="auto"/>
        <w:rPr>
          <w:rFonts w:hint="eastAsia" w:ascii="仿宋_GB2312" w:hAnsi="仿宋_GB2312" w:cs="仿宋_GB2312"/>
          <w:b w:val="0"/>
          <w:bCs w:val="0"/>
          <w:color w:val="auto"/>
          <w:sz w:val="32"/>
          <w:szCs w:val="32"/>
          <w:highlight w:val="yellow"/>
        </w:rPr>
      </w:pPr>
      <w:r>
        <w:rPr>
          <w:rFonts w:hint="eastAsia" w:ascii="仿宋_GB2312" w:hAnsi="仿宋_GB2312" w:cs="仿宋_GB2312"/>
          <w:b w:val="0"/>
          <w:bCs w:val="0"/>
          <w:color w:val="auto"/>
          <w:sz w:val="32"/>
          <w:szCs w:val="32"/>
          <w:highlight w:val="none"/>
        </w:rPr>
        <w:t>一般公共服务支出</w:t>
      </w:r>
      <w:r>
        <w:rPr>
          <w:rFonts w:hint="eastAsia" w:ascii="仿宋_GB2312" w:hAnsi="仿宋_GB2312" w:cs="仿宋_GB2312"/>
          <w:b w:val="0"/>
          <w:bCs w:val="0"/>
          <w:color w:val="auto"/>
          <w:sz w:val="32"/>
          <w:szCs w:val="32"/>
          <w:highlight w:val="none"/>
          <w:lang w:val="en-US" w:eastAsia="zh-CN"/>
        </w:rPr>
        <w:t>223</w:t>
      </w:r>
      <w:r>
        <w:rPr>
          <w:rFonts w:hint="eastAsia" w:ascii="仿宋_GB2312" w:hAnsi="仿宋_GB2312" w:cs="仿宋_GB2312"/>
          <w:b w:val="0"/>
          <w:bCs w:val="0"/>
          <w:color w:val="auto"/>
          <w:sz w:val="32"/>
          <w:szCs w:val="32"/>
          <w:highlight w:val="none"/>
        </w:rPr>
        <w:t>,</w:t>
      </w:r>
      <w:r>
        <w:rPr>
          <w:rFonts w:hint="eastAsia" w:ascii="仿宋_GB2312" w:hAnsi="仿宋_GB2312" w:cs="仿宋_GB2312"/>
          <w:b w:val="0"/>
          <w:bCs w:val="0"/>
          <w:color w:val="auto"/>
          <w:sz w:val="32"/>
          <w:szCs w:val="32"/>
          <w:highlight w:val="none"/>
          <w:lang w:val="en-US" w:eastAsia="zh-CN"/>
        </w:rPr>
        <w:t>214</w:t>
      </w:r>
      <w:r>
        <w:rPr>
          <w:rFonts w:hint="eastAsia" w:ascii="仿宋_GB2312" w:hAnsi="仿宋_GB2312" w:cs="仿宋_GB2312"/>
          <w:b w:val="0"/>
          <w:bCs w:val="0"/>
          <w:color w:val="auto"/>
          <w:sz w:val="32"/>
          <w:szCs w:val="32"/>
          <w:highlight w:val="none"/>
        </w:rPr>
        <w:t>万元、国防支出3,09</w:t>
      </w:r>
      <w:r>
        <w:rPr>
          <w:rFonts w:hint="eastAsia" w:ascii="仿宋_GB2312" w:hAnsi="仿宋_GB2312" w:cs="仿宋_GB2312"/>
          <w:b w:val="0"/>
          <w:bCs w:val="0"/>
          <w:color w:val="auto"/>
          <w:sz w:val="32"/>
          <w:szCs w:val="32"/>
          <w:highlight w:val="none"/>
          <w:lang w:val="en-US" w:eastAsia="zh-CN"/>
        </w:rPr>
        <w:t>2</w:t>
      </w:r>
      <w:r>
        <w:rPr>
          <w:rFonts w:hint="eastAsia" w:ascii="仿宋_GB2312" w:hAnsi="仿宋_GB2312" w:cs="仿宋_GB2312"/>
          <w:b w:val="0"/>
          <w:bCs w:val="0"/>
          <w:color w:val="auto"/>
          <w:sz w:val="32"/>
          <w:szCs w:val="32"/>
          <w:highlight w:val="none"/>
        </w:rPr>
        <w:t>万元、公共安全支出197,</w:t>
      </w:r>
      <w:r>
        <w:rPr>
          <w:rFonts w:hint="eastAsia" w:ascii="仿宋_GB2312" w:hAnsi="仿宋_GB2312" w:cs="仿宋_GB2312"/>
          <w:b w:val="0"/>
          <w:bCs w:val="0"/>
          <w:color w:val="auto"/>
          <w:sz w:val="32"/>
          <w:szCs w:val="32"/>
          <w:highlight w:val="none"/>
          <w:lang w:val="en-US" w:eastAsia="zh-CN"/>
        </w:rPr>
        <w:t>347</w:t>
      </w:r>
      <w:r>
        <w:rPr>
          <w:rFonts w:hint="eastAsia" w:ascii="仿宋_GB2312" w:hAnsi="仿宋_GB2312" w:cs="仿宋_GB2312"/>
          <w:b w:val="0"/>
          <w:bCs w:val="0"/>
          <w:color w:val="auto"/>
          <w:sz w:val="32"/>
          <w:szCs w:val="32"/>
          <w:highlight w:val="none"/>
        </w:rPr>
        <w:t>万元、教育支出534,672万元、</w:t>
      </w:r>
      <w:r>
        <w:rPr>
          <w:rFonts w:hint="eastAsia" w:ascii="仿宋_GB2312" w:hAnsi="仿宋_GB2312" w:cs="仿宋_GB2312"/>
          <w:b w:val="0"/>
          <w:bCs w:val="0"/>
          <w:color w:val="auto"/>
          <w:sz w:val="32"/>
          <w:szCs w:val="32"/>
          <w:highlight w:val="none"/>
          <w:lang w:eastAsia="zh-CN"/>
        </w:rPr>
        <w:t>科学技术</w:t>
      </w:r>
      <w:r>
        <w:rPr>
          <w:rFonts w:hint="eastAsia" w:ascii="仿宋_GB2312" w:hAnsi="仿宋_GB2312" w:cs="仿宋_GB2312"/>
          <w:b w:val="0"/>
          <w:bCs w:val="0"/>
          <w:color w:val="auto"/>
          <w:sz w:val="32"/>
          <w:szCs w:val="32"/>
          <w:highlight w:val="none"/>
        </w:rPr>
        <w:t>支出30,</w:t>
      </w:r>
      <w:r>
        <w:rPr>
          <w:rFonts w:hint="eastAsia" w:ascii="仿宋_GB2312" w:hAnsi="仿宋_GB2312" w:cs="仿宋_GB2312"/>
          <w:b w:val="0"/>
          <w:bCs w:val="0"/>
          <w:color w:val="auto"/>
          <w:sz w:val="32"/>
          <w:szCs w:val="32"/>
          <w:highlight w:val="none"/>
          <w:lang w:val="en-US" w:eastAsia="zh-CN"/>
        </w:rPr>
        <w:t>303</w:t>
      </w:r>
      <w:r>
        <w:rPr>
          <w:rFonts w:hint="eastAsia" w:ascii="仿宋_GB2312" w:hAnsi="仿宋_GB2312" w:cs="仿宋_GB2312"/>
          <w:b w:val="0"/>
          <w:bCs w:val="0"/>
          <w:color w:val="auto"/>
          <w:sz w:val="32"/>
          <w:szCs w:val="32"/>
          <w:highlight w:val="none"/>
        </w:rPr>
        <w:t>万元、文化旅游体育与传媒支出15,140万元、社会保障和就业支出195,</w:t>
      </w:r>
      <w:r>
        <w:rPr>
          <w:rFonts w:hint="eastAsia" w:ascii="仿宋_GB2312" w:hAnsi="仿宋_GB2312" w:cs="仿宋_GB2312"/>
          <w:b w:val="0"/>
          <w:bCs w:val="0"/>
          <w:color w:val="auto"/>
          <w:sz w:val="32"/>
          <w:szCs w:val="32"/>
          <w:highlight w:val="none"/>
          <w:lang w:val="en-US" w:eastAsia="zh-CN"/>
        </w:rPr>
        <w:t>546</w:t>
      </w:r>
      <w:r>
        <w:rPr>
          <w:rFonts w:hint="eastAsia" w:ascii="仿宋_GB2312" w:hAnsi="仿宋_GB2312" w:cs="仿宋_GB2312"/>
          <w:b w:val="0"/>
          <w:bCs w:val="0"/>
          <w:color w:val="auto"/>
          <w:sz w:val="32"/>
          <w:szCs w:val="32"/>
          <w:highlight w:val="none"/>
        </w:rPr>
        <w:t>万元、卫生健康支出18</w:t>
      </w:r>
      <w:r>
        <w:rPr>
          <w:rFonts w:hint="eastAsia" w:ascii="仿宋_GB2312" w:hAnsi="仿宋_GB2312" w:cs="仿宋_GB2312"/>
          <w:b w:val="0"/>
          <w:bCs w:val="0"/>
          <w:color w:val="auto"/>
          <w:sz w:val="32"/>
          <w:szCs w:val="32"/>
          <w:highlight w:val="none"/>
          <w:lang w:val="en-US" w:eastAsia="zh-CN"/>
        </w:rPr>
        <w:t>5,97</w:t>
      </w:r>
      <w:r>
        <w:rPr>
          <w:rFonts w:hint="eastAsia" w:ascii="仿宋_GB2312" w:hAnsi="仿宋_GB2312" w:cs="仿宋_GB2312"/>
          <w:b w:val="0"/>
          <w:bCs w:val="0"/>
          <w:color w:val="auto"/>
          <w:sz w:val="32"/>
          <w:szCs w:val="32"/>
          <w:highlight w:val="none"/>
        </w:rPr>
        <w:t>3万元、节能环保支出3,225万元、城乡社区支出94,37</w:t>
      </w:r>
      <w:r>
        <w:rPr>
          <w:rFonts w:hint="eastAsia" w:ascii="仿宋_GB2312" w:hAnsi="仿宋_GB2312" w:cs="仿宋_GB2312"/>
          <w:b w:val="0"/>
          <w:bCs w:val="0"/>
          <w:color w:val="auto"/>
          <w:sz w:val="32"/>
          <w:szCs w:val="32"/>
          <w:highlight w:val="none"/>
          <w:lang w:val="en-US" w:eastAsia="zh-CN"/>
        </w:rPr>
        <w:t>9</w:t>
      </w:r>
      <w:r>
        <w:rPr>
          <w:rFonts w:hint="eastAsia" w:ascii="仿宋_GB2312" w:hAnsi="仿宋_GB2312" w:cs="仿宋_GB2312"/>
          <w:b w:val="0"/>
          <w:bCs w:val="0"/>
          <w:color w:val="auto"/>
          <w:sz w:val="32"/>
          <w:szCs w:val="32"/>
          <w:highlight w:val="none"/>
        </w:rPr>
        <w:t>万元、农林水支出91,4</w:t>
      </w:r>
      <w:r>
        <w:rPr>
          <w:rFonts w:hint="eastAsia" w:ascii="仿宋_GB2312" w:hAnsi="仿宋_GB2312" w:cs="仿宋_GB2312"/>
          <w:b w:val="0"/>
          <w:bCs w:val="0"/>
          <w:color w:val="auto"/>
          <w:sz w:val="32"/>
          <w:szCs w:val="32"/>
          <w:highlight w:val="none"/>
          <w:lang w:val="en-US" w:eastAsia="zh-CN"/>
        </w:rPr>
        <w:t>23</w:t>
      </w:r>
      <w:r>
        <w:rPr>
          <w:rFonts w:hint="eastAsia" w:ascii="仿宋_GB2312" w:hAnsi="仿宋_GB2312" w:cs="仿宋_GB2312"/>
          <w:b w:val="0"/>
          <w:bCs w:val="0"/>
          <w:color w:val="auto"/>
          <w:sz w:val="32"/>
          <w:szCs w:val="32"/>
          <w:highlight w:val="none"/>
        </w:rPr>
        <w:t>万元、交通运输支出18,580万元</w:t>
      </w:r>
      <w:r>
        <w:rPr>
          <w:rFonts w:hint="eastAsia" w:ascii="仿宋_GB2312" w:hAnsi="仿宋_GB2312" w:cs="仿宋_GB2312"/>
          <w:b w:val="0"/>
          <w:bCs w:val="0"/>
          <w:color w:val="auto"/>
          <w:sz w:val="32"/>
          <w:szCs w:val="32"/>
          <w:highlight w:val="none"/>
          <w:lang w:eastAsia="zh-CN"/>
        </w:rPr>
        <w:t>、</w:t>
      </w:r>
      <w:r>
        <w:rPr>
          <w:rFonts w:hint="eastAsia" w:ascii="仿宋_GB2312" w:hAnsi="仿宋_GB2312" w:cs="仿宋_GB2312"/>
          <w:b w:val="0"/>
          <w:bCs w:val="0"/>
          <w:color w:val="auto"/>
          <w:sz w:val="32"/>
          <w:szCs w:val="32"/>
          <w:highlight w:val="none"/>
        </w:rPr>
        <w:t>资源勘探工业信息等支出4</w:t>
      </w:r>
      <w:r>
        <w:rPr>
          <w:rFonts w:hint="eastAsia" w:ascii="仿宋_GB2312" w:hAnsi="仿宋_GB2312" w:cs="仿宋_GB2312"/>
          <w:b w:val="0"/>
          <w:bCs w:val="0"/>
          <w:color w:val="auto"/>
          <w:sz w:val="32"/>
          <w:szCs w:val="32"/>
          <w:highlight w:val="none"/>
          <w:lang w:val="en-US" w:eastAsia="zh-CN"/>
        </w:rPr>
        <w:t>3</w:t>
      </w:r>
      <w:r>
        <w:rPr>
          <w:rFonts w:hint="eastAsia" w:ascii="仿宋_GB2312" w:hAnsi="仿宋_GB2312" w:cs="仿宋_GB2312"/>
          <w:b w:val="0"/>
          <w:bCs w:val="0"/>
          <w:color w:val="auto"/>
          <w:sz w:val="32"/>
          <w:szCs w:val="32"/>
          <w:highlight w:val="none"/>
        </w:rPr>
        <w:t>,</w:t>
      </w:r>
      <w:r>
        <w:rPr>
          <w:rFonts w:hint="eastAsia" w:ascii="仿宋_GB2312" w:hAnsi="仿宋_GB2312" w:cs="仿宋_GB2312"/>
          <w:b w:val="0"/>
          <w:bCs w:val="0"/>
          <w:color w:val="auto"/>
          <w:sz w:val="32"/>
          <w:szCs w:val="32"/>
          <w:highlight w:val="none"/>
          <w:lang w:val="en-US" w:eastAsia="zh-CN"/>
        </w:rPr>
        <w:t>802</w:t>
      </w:r>
      <w:r>
        <w:rPr>
          <w:rFonts w:hint="eastAsia" w:ascii="仿宋_GB2312" w:hAnsi="仿宋_GB2312" w:cs="仿宋_GB2312"/>
          <w:b w:val="0"/>
          <w:bCs w:val="0"/>
          <w:color w:val="auto"/>
          <w:sz w:val="32"/>
          <w:szCs w:val="32"/>
          <w:highlight w:val="none"/>
        </w:rPr>
        <w:t>万元、商业服务业等支出4</w:t>
      </w:r>
      <w:r>
        <w:rPr>
          <w:rFonts w:hint="eastAsia" w:ascii="仿宋_GB2312" w:hAnsi="仿宋_GB2312" w:cs="仿宋_GB2312"/>
          <w:b w:val="0"/>
          <w:bCs w:val="0"/>
          <w:color w:val="auto"/>
          <w:sz w:val="32"/>
          <w:szCs w:val="32"/>
          <w:highlight w:val="none"/>
          <w:lang w:val="en-US" w:eastAsia="zh-CN"/>
        </w:rPr>
        <w:t>,</w:t>
      </w:r>
      <w:r>
        <w:rPr>
          <w:rFonts w:hint="eastAsia" w:ascii="仿宋_GB2312" w:hAnsi="仿宋_GB2312" w:cs="仿宋_GB2312"/>
          <w:b w:val="0"/>
          <w:bCs w:val="0"/>
          <w:color w:val="auto"/>
          <w:sz w:val="32"/>
          <w:szCs w:val="32"/>
          <w:highlight w:val="none"/>
        </w:rPr>
        <w:t>451万元、自然资源海洋气象等支出5,</w:t>
      </w:r>
      <w:r>
        <w:rPr>
          <w:rFonts w:hint="eastAsia" w:ascii="仿宋_GB2312" w:hAnsi="仿宋_GB2312" w:cs="仿宋_GB2312"/>
          <w:b w:val="0"/>
          <w:bCs w:val="0"/>
          <w:color w:val="auto"/>
          <w:sz w:val="32"/>
          <w:szCs w:val="32"/>
          <w:highlight w:val="none"/>
          <w:lang w:val="en-US" w:eastAsia="zh-CN"/>
        </w:rPr>
        <w:t>117</w:t>
      </w:r>
      <w:r>
        <w:rPr>
          <w:rFonts w:hint="eastAsia" w:ascii="仿宋_GB2312" w:hAnsi="仿宋_GB2312" w:cs="仿宋_GB2312"/>
          <w:b w:val="0"/>
          <w:bCs w:val="0"/>
          <w:color w:val="auto"/>
          <w:sz w:val="32"/>
          <w:szCs w:val="32"/>
          <w:highlight w:val="none"/>
        </w:rPr>
        <w:t>万元、住房保障支出34,</w:t>
      </w:r>
      <w:r>
        <w:rPr>
          <w:rFonts w:hint="eastAsia" w:ascii="仿宋_GB2312" w:hAnsi="仿宋_GB2312" w:cs="仿宋_GB2312"/>
          <w:b w:val="0"/>
          <w:bCs w:val="0"/>
          <w:color w:val="auto"/>
          <w:sz w:val="32"/>
          <w:szCs w:val="32"/>
          <w:highlight w:val="none"/>
          <w:lang w:val="en-US" w:eastAsia="zh-CN"/>
        </w:rPr>
        <w:t>405</w:t>
      </w:r>
      <w:r>
        <w:rPr>
          <w:rFonts w:hint="eastAsia" w:ascii="仿宋_GB2312" w:hAnsi="仿宋_GB2312" w:cs="仿宋_GB2312"/>
          <w:b w:val="0"/>
          <w:bCs w:val="0"/>
          <w:color w:val="auto"/>
          <w:sz w:val="32"/>
          <w:szCs w:val="32"/>
          <w:highlight w:val="none"/>
        </w:rPr>
        <w:t>万元、粮油物资储备支出7,765万元、灾害防治及应急管理支出16,91</w:t>
      </w:r>
      <w:r>
        <w:rPr>
          <w:rFonts w:hint="eastAsia" w:ascii="仿宋_GB2312" w:hAnsi="仿宋_GB2312" w:cs="仿宋_GB2312"/>
          <w:b w:val="0"/>
          <w:bCs w:val="0"/>
          <w:color w:val="auto"/>
          <w:sz w:val="32"/>
          <w:szCs w:val="32"/>
          <w:highlight w:val="none"/>
          <w:lang w:val="en-US" w:eastAsia="zh-CN"/>
        </w:rPr>
        <w:t>3</w:t>
      </w:r>
      <w:r>
        <w:rPr>
          <w:rFonts w:hint="eastAsia" w:ascii="仿宋_GB2312" w:hAnsi="仿宋_GB2312" w:cs="仿宋_GB2312"/>
          <w:b w:val="0"/>
          <w:bCs w:val="0"/>
          <w:color w:val="auto"/>
          <w:sz w:val="32"/>
          <w:szCs w:val="32"/>
          <w:highlight w:val="none"/>
        </w:rPr>
        <w:t>万元、预备费20,827万元、一般债券付息和发行费用支出15,24</w:t>
      </w:r>
      <w:r>
        <w:rPr>
          <w:rFonts w:hint="eastAsia" w:ascii="仿宋_GB2312" w:hAnsi="仿宋_GB2312" w:cs="仿宋_GB2312"/>
          <w:b w:val="0"/>
          <w:bCs w:val="0"/>
          <w:color w:val="auto"/>
          <w:sz w:val="32"/>
          <w:szCs w:val="32"/>
          <w:highlight w:val="none"/>
          <w:lang w:val="en-US" w:eastAsia="zh-CN"/>
        </w:rPr>
        <w:t>2</w:t>
      </w:r>
      <w:r>
        <w:rPr>
          <w:rFonts w:hint="eastAsia" w:ascii="仿宋_GB2312" w:hAnsi="仿宋_GB2312" w:cs="仿宋_GB2312"/>
          <w:b w:val="0"/>
          <w:bCs w:val="0"/>
          <w:color w:val="auto"/>
          <w:sz w:val="32"/>
          <w:szCs w:val="32"/>
          <w:highlight w:val="none"/>
        </w:rPr>
        <w:t>万元以及对镇的转移支付支出201,892万元。</w:t>
      </w:r>
    </w:p>
    <w:p w14:paraId="73722322">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highlight w:val="none"/>
        </w:rPr>
      </w:pPr>
      <w:r>
        <w:rPr>
          <w:rFonts w:hint="eastAsia" w:ascii="仿宋_GB2312" w:hAnsi="仿宋_GB2312" w:cs="仿宋_GB2312"/>
          <w:b w:val="0"/>
          <w:bCs w:val="0"/>
          <w:color w:val="auto"/>
          <w:szCs w:val="32"/>
          <w:highlight w:val="none"/>
        </w:rPr>
        <w:t>2025年区级各部门已申报“三保”支出预算需求805,439万元（其中：保工资680,099万元、保运转21,583万元、保基本民生103,757万元），目前上级财政部门正在统一部署</w:t>
      </w:r>
      <w:r>
        <w:rPr>
          <w:rFonts w:hint="eastAsia" w:ascii="仿宋_GB2312" w:hAnsi="仿宋_GB2312" w:cs="仿宋_GB2312"/>
          <w:b w:val="0"/>
          <w:bCs w:val="0"/>
          <w:color w:val="auto"/>
          <w:szCs w:val="32"/>
          <w:highlight w:val="none"/>
          <w:lang w:eastAsia="zh-CN"/>
        </w:rPr>
        <w:t>，</w:t>
      </w:r>
      <w:r>
        <w:rPr>
          <w:rFonts w:hint="eastAsia" w:ascii="仿宋_GB2312" w:hAnsi="仿宋_GB2312" w:cs="仿宋_GB2312"/>
          <w:b w:val="0"/>
          <w:bCs w:val="0"/>
          <w:color w:val="auto"/>
          <w:szCs w:val="32"/>
          <w:highlight w:val="none"/>
        </w:rPr>
        <w:t>组织开展2025年“三保”</w:t>
      </w:r>
      <w:r>
        <w:rPr>
          <w:rFonts w:hint="eastAsia" w:ascii="仿宋_GB2312" w:hAnsi="仿宋_GB2312" w:cs="仿宋_GB2312"/>
          <w:b w:val="0"/>
          <w:bCs w:val="0"/>
          <w:color w:val="auto"/>
          <w:szCs w:val="32"/>
          <w:highlight w:val="none"/>
          <w:lang w:eastAsia="zh-CN"/>
        </w:rPr>
        <w:t>支出预算</w:t>
      </w:r>
      <w:r>
        <w:rPr>
          <w:rFonts w:hint="eastAsia" w:ascii="仿宋_GB2312" w:hAnsi="仿宋_GB2312" w:cs="仿宋_GB2312"/>
          <w:b w:val="0"/>
          <w:bCs w:val="0"/>
          <w:color w:val="auto"/>
          <w:szCs w:val="32"/>
          <w:highlight w:val="none"/>
        </w:rPr>
        <w:t>编审工作</w:t>
      </w:r>
      <w:r>
        <w:rPr>
          <w:rFonts w:hint="eastAsia" w:ascii="仿宋_GB2312" w:hAnsi="仿宋_GB2312" w:cs="仿宋_GB2312"/>
          <w:b w:val="0"/>
          <w:bCs w:val="0"/>
          <w:color w:val="auto"/>
          <w:szCs w:val="32"/>
          <w:highlight w:val="none"/>
          <w:lang w:eastAsia="zh-CN"/>
        </w:rPr>
        <w:t>。我区将</w:t>
      </w:r>
      <w:r>
        <w:rPr>
          <w:rFonts w:hint="eastAsia" w:ascii="仿宋_GB2312" w:hAnsi="仿宋_GB2312" w:cs="仿宋_GB2312"/>
          <w:b w:val="0"/>
          <w:bCs w:val="0"/>
          <w:color w:val="auto"/>
          <w:szCs w:val="32"/>
          <w:highlight w:val="none"/>
        </w:rPr>
        <w:t>严格按照中央、省定标准足额保障“三保”支出，不留硬缺口，待上级财政部门审核批复后再按程序报批。</w:t>
      </w:r>
    </w:p>
    <w:p w14:paraId="53F6409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Cs w:val="32"/>
        </w:rPr>
        <w:t>（四）政府性基金预算草案</w:t>
      </w:r>
    </w:p>
    <w:p w14:paraId="6142F0DC">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1.政府性基金预算收入计划</w:t>
      </w:r>
    </w:p>
    <w:p w14:paraId="0A742192">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2025年政府性基金预算收入计划为1,021,821万元，主要包括土地出让收入</w:t>
      </w:r>
      <w:r>
        <w:rPr>
          <w:rFonts w:hint="eastAsia" w:ascii="仿宋_GB2312" w:hAnsi="仿宋_GB2312" w:cs="仿宋_GB2312"/>
          <w:b w:val="0"/>
          <w:bCs w:val="0"/>
          <w:color w:val="auto"/>
          <w:szCs w:val="32"/>
          <w:lang w:val="en-US" w:eastAsia="zh-CN"/>
        </w:rPr>
        <w:t>（</w:t>
      </w:r>
      <w:r>
        <w:rPr>
          <w:rFonts w:hint="eastAsia" w:ascii="仿宋_GB2312" w:hAnsi="仿宋_GB2312" w:cs="仿宋_GB2312"/>
          <w:b w:val="0"/>
          <w:bCs w:val="0"/>
          <w:color w:val="auto"/>
          <w:szCs w:val="32"/>
          <w:lang w:eastAsia="zh-CN"/>
        </w:rPr>
        <w:t>区库</w:t>
      </w:r>
      <w:r>
        <w:rPr>
          <w:rFonts w:hint="eastAsia" w:ascii="仿宋_GB2312" w:hAnsi="仿宋_GB2312" w:cs="仿宋_GB2312"/>
          <w:b w:val="0"/>
          <w:bCs w:val="0"/>
          <w:color w:val="auto"/>
          <w:szCs w:val="32"/>
        </w:rPr>
        <w:t>分成</w:t>
      </w:r>
      <w:r>
        <w:rPr>
          <w:rFonts w:hint="eastAsia" w:ascii="仿宋_GB2312" w:hAnsi="仿宋_GB2312" w:cs="仿宋_GB2312"/>
          <w:b w:val="0"/>
          <w:bCs w:val="0"/>
          <w:color w:val="auto"/>
          <w:szCs w:val="32"/>
          <w:lang w:val="en-US" w:eastAsia="zh-CN"/>
        </w:rPr>
        <w:t>）</w:t>
      </w:r>
      <w:r>
        <w:rPr>
          <w:rFonts w:hint="eastAsia" w:ascii="仿宋_GB2312" w:hAnsi="仿宋_GB2312" w:cs="仿宋_GB2312"/>
          <w:b w:val="0"/>
          <w:bCs w:val="0"/>
          <w:color w:val="auto"/>
          <w:szCs w:val="32"/>
        </w:rPr>
        <w:t>885,321万元、基础设施配套费99,000万元、污水处理费收入35,000万元、彩票公益金收入2,500万元等。比上年实绩增收</w:t>
      </w:r>
      <w:r>
        <w:rPr>
          <w:rFonts w:hint="eastAsia" w:ascii="仿宋_GB2312" w:hAnsi="仿宋_GB2312" w:cs="仿宋_GB2312"/>
          <w:b w:val="0"/>
          <w:bCs w:val="0"/>
          <w:color w:val="auto"/>
          <w:szCs w:val="32"/>
          <w:lang w:val="en-US" w:eastAsia="zh-CN"/>
        </w:rPr>
        <w:t>562</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010</w:t>
      </w:r>
      <w:r>
        <w:rPr>
          <w:rFonts w:hint="eastAsia" w:ascii="仿宋_GB2312" w:hAnsi="仿宋_GB2312" w:cs="仿宋_GB2312"/>
          <w:b w:val="0"/>
          <w:bCs w:val="0"/>
          <w:color w:val="auto"/>
          <w:szCs w:val="32"/>
        </w:rPr>
        <w:t>万元，增长</w:t>
      </w:r>
      <w:r>
        <w:rPr>
          <w:rFonts w:hint="eastAsia" w:ascii="仿宋_GB2312" w:hAnsi="仿宋_GB2312" w:cs="仿宋_GB2312"/>
          <w:b w:val="0"/>
          <w:bCs w:val="0"/>
          <w:color w:val="auto"/>
          <w:szCs w:val="32"/>
          <w:lang w:val="en-US" w:eastAsia="zh-CN"/>
        </w:rPr>
        <w:t>122.23</w:t>
      </w:r>
      <w:r>
        <w:rPr>
          <w:rFonts w:hint="eastAsia" w:ascii="仿宋_GB2312" w:hAnsi="仿宋_GB2312" w:cs="仿宋_GB2312"/>
          <w:b w:val="0"/>
          <w:bCs w:val="0"/>
          <w:color w:val="auto"/>
          <w:szCs w:val="32"/>
        </w:rPr>
        <w:t>%，增收的主要原因：考虑到2024年已出让的两个住宅地块出让金按合同在2025年入库</w:t>
      </w:r>
      <w:r>
        <w:rPr>
          <w:rFonts w:hint="eastAsia" w:ascii="仿宋_GB2312" w:hAnsi="仿宋_GB2312" w:cs="仿宋_GB2312"/>
          <w:b w:val="0"/>
          <w:bCs w:val="0"/>
          <w:color w:val="auto"/>
          <w:szCs w:val="32"/>
          <w:lang w:eastAsia="zh-CN"/>
        </w:rPr>
        <w:t>，并且以前年度</w:t>
      </w:r>
      <w:r>
        <w:rPr>
          <w:rFonts w:hint="eastAsia" w:ascii="仿宋_GB2312" w:hAnsi="仿宋_GB2312" w:cs="仿宋_GB2312"/>
          <w:b w:val="0"/>
          <w:bCs w:val="0"/>
          <w:color w:val="auto"/>
          <w:szCs w:val="32"/>
        </w:rPr>
        <w:t>已收储的成熟地块可在2025年出让，预测2025年度土地出让分成收入比去年实绩增长。</w:t>
      </w:r>
    </w:p>
    <w:p w14:paraId="53AB71DB">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 w:val="32"/>
          <w:szCs w:val="32"/>
        </w:rPr>
      </w:pPr>
      <w:r>
        <w:rPr>
          <w:rFonts w:hint="eastAsia" w:ascii="仿宋_GB2312" w:hAnsi="仿宋_GB2312" w:cs="仿宋_GB2312"/>
          <w:b w:val="0"/>
          <w:bCs w:val="0"/>
          <w:color w:val="auto"/>
          <w:sz w:val="32"/>
          <w:szCs w:val="32"/>
        </w:rPr>
        <w:t>按现行财政体制计算，全区政府性基金预算收入1,021,821万元，加上上级补助</w:t>
      </w:r>
      <w:r>
        <w:rPr>
          <w:rFonts w:hint="eastAsia" w:ascii="仿宋_GB2312" w:hAnsi="仿宋_GB2312" w:cs="仿宋_GB2312"/>
          <w:b w:val="0"/>
          <w:bCs w:val="0"/>
          <w:color w:val="auto"/>
          <w:sz w:val="32"/>
          <w:szCs w:val="32"/>
          <w:lang w:val="en-US" w:eastAsia="zh-CN"/>
        </w:rPr>
        <w:t>86</w:t>
      </w:r>
      <w:r>
        <w:rPr>
          <w:rFonts w:hint="eastAsia" w:ascii="仿宋_GB2312" w:hAnsi="仿宋_GB2312" w:cs="仿宋_GB2312"/>
          <w:b w:val="0"/>
          <w:bCs w:val="0"/>
          <w:color w:val="auto"/>
          <w:sz w:val="32"/>
          <w:szCs w:val="32"/>
        </w:rPr>
        <w:t>,</w:t>
      </w:r>
      <w:r>
        <w:rPr>
          <w:rFonts w:hint="eastAsia" w:ascii="仿宋_GB2312" w:hAnsi="仿宋_GB2312" w:cs="仿宋_GB2312"/>
          <w:b w:val="0"/>
          <w:bCs w:val="0"/>
          <w:color w:val="auto"/>
          <w:sz w:val="32"/>
          <w:szCs w:val="32"/>
          <w:lang w:val="en-US" w:eastAsia="zh-CN"/>
        </w:rPr>
        <w:t>949</w:t>
      </w:r>
      <w:r>
        <w:rPr>
          <w:rFonts w:hint="eastAsia" w:ascii="仿宋_GB2312" w:hAnsi="仿宋_GB2312" w:cs="仿宋_GB2312"/>
          <w:b w:val="0"/>
          <w:bCs w:val="0"/>
          <w:color w:val="auto"/>
          <w:sz w:val="32"/>
          <w:szCs w:val="32"/>
        </w:rPr>
        <w:t>万元</w:t>
      </w:r>
      <w:r>
        <w:rPr>
          <w:rFonts w:hint="eastAsia" w:ascii="仿宋_GB2312" w:hAnsi="仿宋_GB2312" w:cs="仿宋_GB2312"/>
          <w:b w:val="0"/>
          <w:bCs w:val="0"/>
          <w:color w:val="auto"/>
          <w:sz w:val="32"/>
          <w:szCs w:val="32"/>
          <w:lang w:eastAsia="zh-CN"/>
        </w:rPr>
        <w:t>、上年区本级结转结余</w:t>
      </w:r>
      <w:r>
        <w:rPr>
          <w:rFonts w:hint="eastAsia" w:ascii="仿宋_GB2312" w:hAnsi="仿宋_GB2312" w:cs="仿宋_GB2312"/>
          <w:b w:val="0"/>
          <w:bCs w:val="0"/>
          <w:color w:val="auto"/>
          <w:sz w:val="32"/>
          <w:szCs w:val="32"/>
          <w:lang w:val="en-US" w:eastAsia="zh-CN"/>
        </w:rPr>
        <w:t>2,216万元</w:t>
      </w:r>
      <w:r>
        <w:rPr>
          <w:rFonts w:hint="eastAsia" w:ascii="仿宋_GB2312" w:hAnsi="仿宋_GB2312" w:cs="仿宋_GB2312"/>
          <w:b w:val="0"/>
          <w:bCs w:val="0"/>
          <w:color w:val="auto"/>
          <w:sz w:val="32"/>
          <w:szCs w:val="32"/>
        </w:rPr>
        <w:t>，减去调出资金</w:t>
      </w:r>
      <w:r>
        <w:rPr>
          <w:rFonts w:hint="eastAsia" w:ascii="仿宋_GB2312" w:hAnsi="仿宋_GB2312" w:cs="仿宋_GB2312"/>
          <w:b w:val="0"/>
          <w:bCs w:val="0"/>
          <w:color w:val="auto"/>
          <w:sz w:val="32"/>
          <w:szCs w:val="32"/>
          <w:lang w:val="en-US" w:eastAsia="zh-CN"/>
        </w:rPr>
        <w:t>427</w:t>
      </w:r>
      <w:r>
        <w:rPr>
          <w:rFonts w:hint="eastAsia" w:ascii="仿宋_GB2312" w:hAnsi="仿宋_GB2312" w:cs="仿宋_GB2312"/>
          <w:b w:val="0"/>
          <w:bCs w:val="0"/>
          <w:color w:val="auto"/>
          <w:sz w:val="32"/>
          <w:szCs w:val="32"/>
        </w:rPr>
        <w:t>,</w:t>
      </w:r>
      <w:r>
        <w:rPr>
          <w:rFonts w:hint="eastAsia" w:ascii="仿宋_GB2312" w:hAnsi="仿宋_GB2312" w:cs="仿宋_GB2312"/>
          <w:b w:val="0"/>
          <w:bCs w:val="0"/>
          <w:color w:val="auto"/>
          <w:sz w:val="32"/>
          <w:szCs w:val="32"/>
          <w:lang w:val="en-US" w:eastAsia="zh-CN"/>
        </w:rPr>
        <w:t>706</w:t>
      </w:r>
      <w:r>
        <w:rPr>
          <w:rFonts w:hint="eastAsia" w:ascii="仿宋_GB2312" w:hAnsi="仿宋_GB2312" w:cs="仿宋_GB2312"/>
          <w:b w:val="0"/>
          <w:bCs w:val="0"/>
          <w:color w:val="auto"/>
          <w:sz w:val="32"/>
          <w:szCs w:val="32"/>
        </w:rPr>
        <w:t>万元、地方政府专项债务还本支出13,774万元、抗疫特别国债还本</w:t>
      </w:r>
      <w:r>
        <w:rPr>
          <w:rFonts w:hint="eastAsia" w:ascii="仿宋_GB2312" w:hAnsi="仿宋_GB2312" w:cs="仿宋_GB2312"/>
          <w:b w:val="0"/>
          <w:bCs w:val="0"/>
          <w:color w:val="auto"/>
          <w:sz w:val="32"/>
          <w:szCs w:val="32"/>
          <w:lang w:eastAsia="zh-CN"/>
        </w:rPr>
        <w:t>以及其他</w:t>
      </w:r>
      <w:r>
        <w:rPr>
          <w:rFonts w:hint="eastAsia" w:ascii="仿宋_GB2312" w:hAnsi="仿宋_GB2312" w:cs="仿宋_GB2312"/>
          <w:b w:val="0"/>
          <w:bCs w:val="0"/>
          <w:color w:val="auto"/>
          <w:sz w:val="32"/>
          <w:szCs w:val="32"/>
        </w:rPr>
        <w:t>上解支出7,</w:t>
      </w:r>
      <w:r>
        <w:rPr>
          <w:rFonts w:hint="eastAsia" w:ascii="仿宋_GB2312" w:hAnsi="仿宋_GB2312" w:cs="仿宋_GB2312"/>
          <w:b w:val="0"/>
          <w:bCs w:val="0"/>
          <w:color w:val="auto"/>
          <w:sz w:val="32"/>
          <w:szCs w:val="32"/>
          <w:lang w:val="en-US" w:eastAsia="zh-CN"/>
        </w:rPr>
        <w:t>546</w:t>
      </w:r>
      <w:r>
        <w:rPr>
          <w:rFonts w:hint="eastAsia" w:ascii="仿宋_GB2312" w:hAnsi="仿宋_GB2312" w:cs="仿宋_GB2312"/>
          <w:b w:val="0"/>
          <w:bCs w:val="0"/>
          <w:color w:val="auto"/>
          <w:sz w:val="32"/>
          <w:szCs w:val="32"/>
        </w:rPr>
        <w:t>万元后，区级政府性基金预算可支配财力为661,960万元。</w:t>
      </w:r>
    </w:p>
    <w:p w14:paraId="50BED811">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2.政府性基金预算支出计划</w:t>
      </w:r>
    </w:p>
    <w:p w14:paraId="276459A2">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highlight w:val="yellow"/>
        </w:rPr>
      </w:pPr>
      <w:r>
        <w:rPr>
          <w:rFonts w:hint="eastAsia" w:ascii="仿宋_GB2312" w:hAnsi="仿宋_GB2312" w:cs="仿宋_GB2312"/>
          <w:b w:val="0"/>
          <w:bCs w:val="0"/>
          <w:color w:val="auto"/>
          <w:szCs w:val="32"/>
          <w:highlight w:val="none"/>
        </w:rPr>
        <w:t>按照“以收定支”的原则，2025年全区</w:t>
      </w:r>
      <w:r>
        <w:rPr>
          <w:rFonts w:hint="eastAsia" w:ascii="仿宋_GB2312" w:hAnsi="仿宋_GB2312" w:cs="仿宋_GB2312"/>
          <w:b w:val="0"/>
          <w:bCs w:val="0"/>
          <w:color w:val="auto"/>
          <w:szCs w:val="32"/>
          <w:highlight w:val="none"/>
          <w:lang w:eastAsia="zh-CN"/>
        </w:rPr>
        <w:t>政府性</w:t>
      </w:r>
      <w:r>
        <w:rPr>
          <w:rFonts w:hint="eastAsia" w:ascii="仿宋_GB2312" w:hAnsi="仿宋_GB2312" w:cs="仿宋_GB2312"/>
          <w:b w:val="0"/>
          <w:bCs w:val="0"/>
          <w:color w:val="auto"/>
          <w:szCs w:val="32"/>
          <w:highlight w:val="none"/>
        </w:rPr>
        <w:t>基金预算支出661,960万元主要安排如下：</w:t>
      </w:r>
    </w:p>
    <w:p w14:paraId="2828C0E5">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highlight w:val="yellow"/>
        </w:rPr>
      </w:pPr>
      <w:r>
        <w:rPr>
          <w:rFonts w:hint="eastAsia" w:ascii="仿宋_GB2312" w:hAnsi="仿宋_GB2312" w:cs="仿宋_GB2312"/>
          <w:b w:val="0"/>
          <w:bCs w:val="0"/>
          <w:color w:val="auto"/>
          <w:szCs w:val="32"/>
          <w:highlight w:val="none"/>
        </w:rPr>
        <w:t>国有土地使用权出让收入安排的支出</w:t>
      </w:r>
      <w:r>
        <w:rPr>
          <w:rFonts w:hint="eastAsia" w:ascii="仿宋_GB2312" w:hAnsi="仿宋_GB2312" w:cs="仿宋_GB2312"/>
          <w:b w:val="0"/>
          <w:bCs w:val="0"/>
          <w:color w:val="auto"/>
          <w:szCs w:val="32"/>
          <w:highlight w:val="none"/>
          <w:lang w:val="en-US" w:eastAsia="zh-CN"/>
        </w:rPr>
        <w:t>470</w:t>
      </w:r>
      <w:r>
        <w:rPr>
          <w:rFonts w:hint="eastAsia" w:ascii="仿宋_GB2312" w:hAnsi="仿宋_GB2312" w:cs="仿宋_GB2312"/>
          <w:b w:val="0"/>
          <w:bCs w:val="0"/>
          <w:color w:val="auto"/>
          <w:szCs w:val="32"/>
          <w:highlight w:val="none"/>
        </w:rPr>
        <w:t>,</w:t>
      </w:r>
      <w:r>
        <w:rPr>
          <w:rFonts w:hint="eastAsia" w:ascii="仿宋_GB2312" w:hAnsi="仿宋_GB2312" w:cs="仿宋_GB2312"/>
          <w:b w:val="0"/>
          <w:bCs w:val="0"/>
          <w:color w:val="auto"/>
          <w:szCs w:val="32"/>
          <w:highlight w:val="none"/>
          <w:lang w:val="en-US" w:eastAsia="zh-CN"/>
        </w:rPr>
        <w:t>103</w:t>
      </w:r>
      <w:r>
        <w:rPr>
          <w:rFonts w:hint="eastAsia" w:ascii="仿宋_GB2312" w:hAnsi="仿宋_GB2312" w:cs="仿宋_GB2312"/>
          <w:b w:val="0"/>
          <w:bCs w:val="0"/>
          <w:color w:val="auto"/>
          <w:szCs w:val="32"/>
          <w:highlight w:val="none"/>
        </w:rPr>
        <w:t>万元、城市基础设施配套费支出59,095万元、污水处理费支出</w:t>
      </w:r>
      <w:r>
        <w:rPr>
          <w:rFonts w:hint="eastAsia" w:ascii="仿宋_GB2312" w:hAnsi="仿宋_GB2312" w:cs="仿宋_GB2312"/>
          <w:b w:val="0"/>
          <w:bCs w:val="0"/>
          <w:color w:val="auto"/>
          <w:szCs w:val="32"/>
          <w:highlight w:val="none"/>
          <w:lang w:val="en-US" w:eastAsia="zh-CN"/>
        </w:rPr>
        <w:t>30</w:t>
      </w:r>
      <w:r>
        <w:rPr>
          <w:rFonts w:hint="eastAsia" w:ascii="仿宋_GB2312" w:hAnsi="仿宋_GB2312" w:cs="仿宋_GB2312"/>
          <w:b w:val="0"/>
          <w:bCs w:val="0"/>
          <w:color w:val="auto"/>
          <w:szCs w:val="32"/>
          <w:highlight w:val="none"/>
        </w:rPr>
        <w:t>,583万元、债务付息以及发行费支出98,628万元、彩票发行销售机构业务费及彩票公益金等其他支出3,</w:t>
      </w:r>
      <w:r>
        <w:rPr>
          <w:rFonts w:hint="eastAsia" w:ascii="仿宋_GB2312" w:hAnsi="仿宋_GB2312" w:cs="仿宋_GB2312"/>
          <w:b w:val="0"/>
          <w:bCs w:val="0"/>
          <w:color w:val="auto"/>
          <w:szCs w:val="32"/>
          <w:highlight w:val="none"/>
          <w:lang w:val="en-US" w:eastAsia="zh-CN"/>
        </w:rPr>
        <w:t>551</w:t>
      </w:r>
      <w:r>
        <w:rPr>
          <w:rFonts w:hint="eastAsia" w:ascii="仿宋_GB2312" w:hAnsi="仿宋_GB2312" w:cs="仿宋_GB2312"/>
          <w:b w:val="0"/>
          <w:bCs w:val="0"/>
          <w:color w:val="auto"/>
          <w:szCs w:val="32"/>
          <w:highlight w:val="none"/>
        </w:rPr>
        <w:t>万元。</w:t>
      </w:r>
    </w:p>
    <w:p w14:paraId="5A21070D">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Cs w:val="32"/>
        </w:rPr>
        <w:t>（</w:t>
      </w:r>
      <w:r>
        <w:rPr>
          <w:rFonts w:hint="eastAsia" w:ascii="楷体_GB2312" w:hAnsi="楷体_GB2312" w:eastAsia="楷体_GB2312" w:cs="楷体_GB2312"/>
          <w:b w:val="0"/>
          <w:bCs w:val="0"/>
          <w:color w:val="auto"/>
          <w:szCs w:val="32"/>
          <w:lang w:eastAsia="zh-CN"/>
        </w:rPr>
        <w:t>五</w:t>
      </w:r>
      <w:r>
        <w:rPr>
          <w:rFonts w:hint="eastAsia" w:ascii="楷体_GB2312" w:hAnsi="楷体_GB2312" w:eastAsia="楷体_GB2312" w:cs="楷体_GB2312"/>
          <w:b w:val="0"/>
          <w:bCs w:val="0"/>
          <w:color w:val="auto"/>
          <w:szCs w:val="32"/>
        </w:rPr>
        <w:t>）国有资本经营预算草案</w:t>
      </w:r>
    </w:p>
    <w:p w14:paraId="4FE95D1C">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1.国有资本经营预算收入计划</w:t>
      </w:r>
    </w:p>
    <w:p w14:paraId="79AFF721">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2025年全区国有资本经营预算收入计划为5,448万元，比2024年实绩减少1</w:t>
      </w:r>
      <w:r>
        <w:rPr>
          <w:rFonts w:hint="eastAsia" w:ascii="仿宋_GB2312" w:hAnsi="仿宋_GB2312" w:cs="仿宋_GB2312"/>
          <w:b w:val="0"/>
          <w:bCs w:val="0"/>
          <w:color w:val="auto"/>
          <w:szCs w:val="32"/>
          <w:lang w:val="en-US" w:eastAsia="zh-CN"/>
        </w:rPr>
        <w:t>6</w:t>
      </w:r>
      <w:r>
        <w:rPr>
          <w:rFonts w:hint="eastAsia" w:ascii="仿宋_GB2312" w:hAnsi="仿宋_GB2312" w:cs="仿宋_GB2312"/>
          <w:b w:val="0"/>
          <w:bCs w:val="0"/>
          <w:color w:val="auto"/>
          <w:szCs w:val="32"/>
        </w:rPr>
        <w:t>,309万元，下降78%，</w:t>
      </w:r>
      <w:r>
        <w:rPr>
          <w:rFonts w:hint="eastAsia" w:ascii="仿宋_GB2312" w:hAnsi="仿宋_GB2312" w:cs="仿宋_GB2312"/>
          <w:b w:val="0"/>
          <w:bCs w:val="0"/>
          <w:color w:val="auto"/>
          <w:szCs w:val="32"/>
          <w:lang w:val="en-US" w:eastAsia="zh-CN"/>
        </w:rPr>
        <w:t>主要是预计2025年区属国企没有土地出让收益上缴等一次性因素，导致上缴利润大幅减少</w:t>
      </w:r>
      <w:r>
        <w:rPr>
          <w:rFonts w:hint="eastAsia" w:ascii="仿宋_GB2312" w:hAnsi="仿宋_GB2312" w:cs="仿宋_GB2312"/>
          <w:b w:val="0"/>
          <w:bCs w:val="0"/>
          <w:color w:val="auto"/>
          <w:szCs w:val="32"/>
        </w:rPr>
        <w:t>。</w:t>
      </w:r>
    </w:p>
    <w:p w14:paraId="34E2A0A4">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2.国有资本经营预算支出计划</w:t>
      </w:r>
    </w:p>
    <w:p w14:paraId="72A4523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lang w:eastAsia="zh-CN"/>
        </w:rPr>
        <w:t>减去</w:t>
      </w:r>
      <w:r>
        <w:rPr>
          <w:rFonts w:hint="eastAsia" w:ascii="仿宋_GB2312" w:hAnsi="仿宋_GB2312" w:cs="仿宋_GB2312"/>
          <w:b w:val="0"/>
          <w:bCs w:val="0"/>
          <w:color w:val="auto"/>
          <w:szCs w:val="32"/>
        </w:rPr>
        <w:t>按规定将2,248万元调</w:t>
      </w:r>
      <w:r>
        <w:rPr>
          <w:rFonts w:hint="eastAsia" w:ascii="仿宋_GB2312" w:hAnsi="仿宋_GB2312" w:cs="仿宋_GB2312"/>
          <w:b w:val="0"/>
          <w:bCs w:val="0"/>
          <w:color w:val="auto"/>
          <w:szCs w:val="32"/>
          <w:lang w:eastAsia="zh-CN"/>
        </w:rPr>
        <w:t>出到</w:t>
      </w:r>
      <w:r>
        <w:rPr>
          <w:rFonts w:hint="eastAsia" w:ascii="仿宋_GB2312" w:hAnsi="仿宋_GB2312" w:cs="仿宋_GB2312"/>
          <w:b w:val="0"/>
          <w:bCs w:val="0"/>
          <w:color w:val="auto"/>
          <w:szCs w:val="32"/>
        </w:rPr>
        <w:t>一般公共预算</w:t>
      </w:r>
      <w:r>
        <w:rPr>
          <w:rFonts w:hint="eastAsia" w:ascii="仿宋_GB2312" w:hAnsi="仿宋_GB2312" w:cs="仿宋_GB2312"/>
          <w:b w:val="0"/>
          <w:bCs w:val="0"/>
          <w:color w:val="auto"/>
          <w:szCs w:val="32"/>
          <w:lang w:eastAsia="zh-CN"/>
        </w:rPr>
        <w:t>统筹使用</w:t>
      </w:r>
      <w:r>
        <w:rPr>
          <w:rFonts w:hint="eastAsia" w:ascii="仿宋_GB2312" w:hAnsi="仿宋_GB2312" w:cs="仿宋_GB2312"/>
          <w:b w:val="0"/>
          <w:bCs w:val="0"/>
          <w:color w:val="auto"/>
          <w:szCs w:val="32"/>
        </w:rPr>
        <w:t>后，2025年区级国有资本经营预算支出3,200万元，主要用于区创业投资引导基金财政出资款。</w:t>
      </w:r>
    </w:p>
    <w:p w14:paraId="534DC70D">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Cs w:val="32"/>
        </w:rPr>
        <w:t>（</w:t>
      </w:r>
      <w:r>
        <w:rPr>
          <w:rFonts w:hint="eastAsia" w:ascii="楷体_GB2312" w:hAnsi="楷体_GB2312" w:eastAsia="楷体_GB2312" w:cs="楷体_GB2312"/>
          <w:b w:val="0"/>
          <w:bCs w:val="0"/>
          <w:color w:val="auto"/>
          <w:szCs w:val="32"/>
          <w:lang w:eastAsia="zh-CN"/>
        </w:rPr>
        <w:t>六</w:t>
      </w:r>
      <w:r>
        <w:rPr>
          <w:rFonts w:hint="eastAsia" w:ascii="楷体_GB2312" w:hAnsi="楷体_GB2312" w:eastAsia="楷体_GB2312" w:cs="楷体_GB2312"/>
          <w:b w:val="0"/>
          <w:bCs w:val="0"/>
          <w:color w:val="auto"/>
          <w:szCs w:val="32"/>
        </w:rPr>
        <w:t>）财政专户预算草案</w:t>
      </w:r>
    </w:p>
    <w:p w14:paraId="395EFCDF">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1.财政专户预算收入计划</w:t>
      </w:r>
    </w:p>
    <w:p w14:paraId="4B297A22">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2025年财政专户资金预算收入计划为10,229万元，</w:t>
      </w:r>
      <w:r>
        <w:rPr>
          <w:rFonts w:hint="eastAsia" w:ascii="仿宋_GB2312" w:hAnsi="仿宋_GB2312" w:cs="仿宋_GB2312"/>
          <w:b w:val="0"/>
          <w:bCs w:val="0"/>
          <w:color w:val="auto"/>
          <w:szCs w:val="32"/>
          <w:lang w:eastAsia="zh-CN"/>
        </w:rPr>
        <w:t>全部</w:t>
      </w:r>
      <w:r>
        <w:rPr>
          <w:rFonts w:hint="eastAsia" w:ascii="仿宋_GB2312" w:hAnsi="仿宋_GB2312" w:cs="仿宋_GB2312"/>
          <w:b w:val="0"/>
          <w:bCs w:val="0"/>
          <w:color w:val="auto"/>
          <w:szCs w:val="32"/>
        </w:rPr>
        <w:t>是教育收费收入。</w:t>
      </w:r>
    </w:p>
    <w:p w14:paraId="12F8D55D">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2.财政专户预算支出计划</w:t>
      </w:r>
    </w:p>
    <w:p w14:paraId="40FCD23C">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按照“专款专用”的原则，全年财政专户预算支出10,229万元，其中公用经费7,965万元、运行经费1,168万元、教育补助经费等1,096万元。</w:t>
      </w:r>
    </w:p>
    <w:p w14:paraId="7E4CC2BD">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楷体_GB2312" w:hAnsi="楷体_GB2312" w:eastAsia="楷体_GB2312" w:cs="楷体_GB2312"/>
          <w:b w:val="0"/>
          <w:bCs w:val="0"/>
          <w:color w:val="auto"/>
          <w:szCs w:val="32"/>
        </w:rPr>
      </w:pPr>
      <w:r>
        <w:rPr>
          <w:rFonts w:hint="eastAsia" w:ascii="楷体_GB2312" w:hAnsi="楷体_GB2312" w:eastAsia="楷体_GB2312" w:cs="楷体_GB2312"/>
          <w:b w:val="0"/>
          <w:bCs w:val="0"/>
          <w:color w:val="auto"/>
          <w:szCs w:val="32"/>
        </w:rPr>
        <w:t>（</w:t>
      </w:r>
      <w:r>
        <w:rPr>
          <w:rFonts w:hint="eastAsia" w:ascii="楷体_GB2312" w:hAnsi="楷体_GB2312" w:eastAsia="楷体_GB2312" w:cs="楷体_GB2312"/>
          <w:b w:val="0"/>
          <w:bCs w:val="0"/>
          <w:color w:val="auto"/>
          <w:szCs w:val="32"/>
          <w:lang w:eastAsia="zh-CN"/>
        </w:rPr>
        <w:t>七</w:t>
      </w:r>
      <w:r>
        <w:rPr>
          <w:rFonts w:hint="eastAsia" w:ascii="楷体_GB2312" w:hAnsi="楷体_GB2312" w:eastAsia="楷体_GB2312" w:cs="楷体_GB2312"/>
          <w:b w:val="0"/>
          <w:bCs w:val="0"/>
          <w:color w:val="auto"/>
          <w:szCs w:val="32"/>
        </w:rPr>
        <w:t>）重大政策和重点项目资金安排情况</w:t>
      </w:r>
    </w:p>
    <w:p w14:paraId="78E2A503">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2025年是全面深化改革的重要一年，也是“十四五”规划的收官之年，区财政部门将全面贯彻落实党的二十大和二十届二中、三中全会精神，深入贯彻习近平总书记视察广东重要讲话、重要指示精神，落实好中央经济工作会议部署，坚持稳中求进工作总基调，完整准确全面贯彻新发展理念，在财政“紧平衡”下大力优化财政支出结构，加大重点领域支持力度，保障重大战略、重点规划部署与各项经济稳增长政策措施落实落地，稳定预期、激发活力，推动番禺经济社会持续回升向好发展。</w:t>
      </w:r>
    </w:p>
    <w:p w14:paraId="73D86BD1">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1.聚焦经济高质量发展，加快培育壮大新质生产力</w:t>
      </w:r>
    </w:p>
    <w:p w14:paraId="4A6E1C70">
      <w:pPr>
        <w:keepNext w:val="0"/>
        <w:keepLines w:val="0"/>
        <w:pageBreakBefore w:val="0"/>
        <w:widowControl w:val="0"/>
        <w:topLinePunct w:val="0"/>
        <w:autoSpaceDN/>
        <w:bidi w:val="0"/>
        <w:adjustRightInd/>
        <w:snapToGrid/>
        <w:spacing w:line="560" w:lineRule="exact"/>
        <w:ind w:firstLine="640" w:firstLineChars="200"/>
        <w:textAlignment w:val="auto"/>
        <w:rPr>
          <w:rFonts w:ascii="仿宋_GB2312" w:hAnsi="仿宋_GB2312" w:cs="仿宋_GB2312"/>
          <w:b w:val="0"/>
          <w:bCs w:val="0"/>
          <w:color w:val="auto"/>
          <w:szCs w:val="32"/>
        </w:rPr>
      </w:pPr>
      <w:r>
        <w:rPr>
          <w:rFonts w:hint="eastAsia" w:ascii="仿宋_GB2312" w:hAnsi="仿宋_GB2312" w:cs="仿宋_GB2312"/>
          <w:b w:val="0"/>
          <w:bCs w:val="0"/>
          <w:color w:val="auto"/>
          <w:szCs w:val="32"/>
        </w:rPr>
        <w:t>全面融入粤港澳大湾区建设，坚持产业第一，大力推动智造创新园、专精特新园区等重点片区建设发展，积极对接广州活力创新轴（番禺段）、广州城市新中轴番禺段、南大干线珠江后航道沿岸地区、番禺广场等重点区域重点项目规划设计，深入推进“万亩千亿”攻坚行动与全域土地综合整治，为番禺新质生产力快速发展奠定坚实基础。一是持续加大土地整备力度，夯实土地要素对高质量发展的支撑作用，安排土地储备专项资金83,049万元、耕地整治恢复、提质改造及储备指标经费3,522万元等；二是支持南大干线经济带空间优化提升，安排南大干线（东新高速至莲花大道）土地整治PPP项目服务费56,292万元、南大干线（东新高速至莲花大道）土地整治工程10,307万元、南大干线（市新路至莲花大道）缆线型综合管廊工程1,911万元等；三是持续深化番禺经济技术开发区千亿级汽车制造产业集群建设，安排番禺区广汽新能源汽车产业园四号路（园西大道至南大干线）工程2,400万元、广汽中路延长线工程等项目资金2,362万元等；四是</w:t>
      </w:r>
      <w:r>
        <w:rPr>
          <w:rFonts w:hint="eastAsia" w:ascii="仿宋_GB2312" w:hAnsi="仿宋_GB2312" w:cs="仿宋_GB2312"/>
          <w:b w:val="0"/>
          <w:bCs w:val="0"/>
          <w:color w:val="auto"/>
          <w:szCs w:val="32"/>
          <w:lang w:val="zh-CN"/>
        </w:rPr>
        <w:t>加快长隆万博、广州南站两大经济片区一体化融通发展，安排</w:t>
      </w:r>
      <w:r>
        <w:rPr>
          <w:rFonts w:hint="eastAsia" w:ascii="仿宋_GB2312" w:hAnsi="仿宋_GB2312" w:cs="仿宋_GB2312"/>
          <w:b w:val="0"/>
          <w:bCs w:val="0"/>
          <w:color w:val="auto"/>
          <w:szCs w:val="32"/>
        </w:rPr>
        <w:t>广州南站地区建设及维护管养经费5,514万元、广州南站地区安保服务经费及运行经费2,136万元、长隆万博商务周边项目经费483万元等；五是支持广州大学城粤港澳大湾区创新创业聚集区重大发展平台开发建设，安排大学城中关村青创汇项目及治安管理、社会事务管理专项经费1,834万元等。</w:t>
      </w:r>
    </w:p>
    <w:p w14:paraId="44879CF3">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2.激发人才创新创造活力，加快构建产业发展创新链</w:t>
      </w:r>
    </w:p>
    <w:p w14:paraId="22646319">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支持先进制造业、现代服务业深度融合发展，培育壮大新能源、新材料</w:t>
      </w:r>
      <w:r>
        <w:rPr>
          <w:rFonts w:hint="eastAsia" w:ascii="仿宋_GB2312" w:hAnsi="仿宋_GB2312" w:cs="仿宋_GB2312"/>
          <w:b w:val="0"/>
          <w:bCs w:val="0"/>
          <w:color w:val="auto"/>
          <w:szCs w:val="32"/>
          <w:lang w:eastAsia="zh-CN"/>
        </w:rPr>
        <w:t>、快时尚</w:t>
      </w:r>
      <w:r>
        <w:rPr>
          <w:rFonts w:hint="eastAsia" w:ascii="仿宋_GB2312" w:hAnsi="仿宋_GB2312" w:cs="仿宋_GB2312"/>
          <w:b w:val="0"/>
          <w:bCs w:val="0"/>
          <w:color w:val="auto"/>
          <w:szCs w:val="32"/>
        </w:rPr>
        <w:t>等新兴产业集群，以科技创新开辟发展新领域、新赛道，塑造发展新动能、新优势。安排产业扶持资金32,890万元、企业创新能力建设专项15,000万元、新能源公交车推广应用财政补贴资金8,400万元、产业人才发展专项资金8,374万元、工信产业四化赋能专题</w:t>
      </w:r>
      <w:r>
        <w:rPr>
          <w:rFonts w:hint="eastAsia" w:ascii="仿宋_GB2312" w:hAnsi="仿宋_GB2312" w:cs="仿宋_GB2312"/>
          <w:b w:val="0"/>
          <w:bCs w:val="0"/>
          <w:color w:val="auto"/>
          <w:szCs w:val="32"/>
          <w:lang w:val="en-US" w:eastAsia="zh-CN"/>
        </w:rPr>
        <w:t>—</w:t>
      </w:r>
      <w:r>
        <w:rPr>
          <w:rFonts w:hint="eastAsia" w:ascii="仿宋_GB2312" w:hAnsi="仿宋_GB2312" w:cs="仿宋_GB2312"/>
          <w:b w:val="0"/>
          <w:bCs w:val="0"/>
          <w:color w:val="auto"/>
          <w:szCs w:val="32"/>
        </w:rPr>
        <w:t>支持整车企业扩生产促消费第一批资金5,000万元、创业投资引导基金3,200万元、科技项目管理及成果转化基地经费810万元等。</w:t>
      </w:r>
    </w:p>
    <w:p w14:paraId="669AAF4A">
      <w:pPr>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3.扎实提升城市品质，加速“百千万工程”</w:t>
      </w:r>
      <w:r>
        <w:rPr>
          <w:rFonts w:hint="eastAsia" w:ascii="仿宋_GB2312" w:hAnsi="仿宋_GB2312" w:eastAsia="仿宋_GB2312" w:cs="仿宋_GB2312"/>
          <w:b/>
          <w:bCs/>
          <w:color w:val="auto"/>
          <w:szCs w:val="32"/>
          <w:lang w:eastAsia="zh-CN"/>
        </w:rPr>
        <w:t>促城乡融合</w:t>
      </w:r>
    </w:p>
    <w:p w14:paraId="37737FE5">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（1）持续发力优化生态环境，深入推进污水治理攻坚，巩固城市治理成效，安排排水设施日常运行维护及污水管网大中修费用</w:t>
      </w:r>
      <w:r>
        <w:rPr>
          <w:rFonts w:hint="eastAsia" w:ascii="仿宋_GB2312" w:hAnsi="仿宋_GB2312" w:cs="仿宋_GB2312"/>
          <w:b w:val="0"/>
          <w:bCs w:val="0"/>
          <w:color w:val="auto"/>
          <w:szCs w:val="32"/>
          <w:lang w:val="en-US" w:eastAsia="zh-CN"/>
        </w:rPr>
        <w:t>57</w:t>
      </w:r>
      <w:r>
        <w:rPr>
          <w:rFonts w:hint="eastAsia" w:ascii="仿宋_GB2312" w:hAnsi="仿宋_GB2312" w:cs="仿宋_GB2312"/>
          <w:b w:val="0"/>
          <w:bCs w:val="0"/>
          <w:color w:val="auto"/>
          <w:szCs w:val="32"/>
        </w:rPr>
        <w:t>,</w:t>
      </w:r>
      <w:r>
        <w:rPr>
          <w:rFonts w:hint="eastAsia" w:ascii="仿宋_GB2312" w:hAnsi="仿宋_GB2312" w:cs="仿宋_GB2312"/>
          <w:b w:val="0"/>
          <w:bCs w:val="0"/>
          <w:color w:val="auto"/>
          <w:szCs w:val="32"/>
          <w:lang w:val="en-US" w:eastAsia="zh-CN"/>
        </w:rPr>
        <w:t>276</w:t>
      </w:r>
      <w:r>
        <w:rPr>
          <w:rFonts w:hint="eastAsia" w:ascii="仿宋_GB2312" w:hAnsi="仿宋_GB2312" w:cs="仿宋_GB2312"/>
          <w:b w:val="0"/>
          <w:bCs w:val="0"/>
          <w:color w:val="auto"/>
          <w:szCs w:val="32"/>
        </w:rPr>
        <w:t>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污水处理运营服务费和一体化污水处理设施运行维护费48,886万元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市桥水道-沙湾水道流域等城中村截污纳管工程15,330万元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水利工程运行及维修养护等经费6,206万元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净水厂工程征地费用3,000万元、番禺应急备用水源工程1,800万元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黑臭水体治理工程1,689万元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无开发商住宅小区重置雨水系统建设1,223万元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堤岸修复、排水单元配套公共管网完善及改造（查缺补漏）以及农村生活污水治理等7,810万元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安排市政环卫、保洁、绿化养护等费用共55,547万元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安排垃圾收运、治理、分类处理经费6,571万元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安排绿美番禺生态建设经费3150万元等。</w:t>
      </w:r>
    </w:p>
    <w:p w14:paraId="15C761F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bookmarkStart w:id="0" w:name="_Hlk124708824"/>
      <w:r>
        <w:rPr>
          <w:rFonts w:hint="eastAsia" w:ascii="仿宋_GB2312" w:hAnsi="仿宋_GB2312" w:cs="仿宋_GB2312"/>
          <w:b w:val="0"/>
          <w:bCs w:val="0"/>
          <w:color w:val="auto"/>
          <w:szCs w:val="32"/>
        </w:rPr>
        <w:t>（2）加快推动城市更新，推进城中村改造、成片连片更新等多样化模式，深入实施城乡融合发展</w:t>
      </w:r>
      <w:bookmarkEnd w:id="0"/>
      <w:r>
        <w:rPr>
          <w:rFonts w:hint="eastAsia" w:ascii="仿宋_GB2312" w:hAnsi="仿宋_GB2312" w:cs="仿宋_GB2312"/>
          <w:b w:val="0"/>
          <w:bCs w:val="0"/>
          <w:color w:val="auto"/>
          <w:szCs w:val="32"/>
        </w:rPr>
        <w:t>的乡村振兴战略，安排市政道路管养经费12,176万元、“五好两宜”和美乡村试点试验项目经费</w:t>
      </w:r>
      <w:r>
        <w:rPr>
          <w:rFonts w:hint="eastAsia" w:ascii="仿宋_GB2312" w:hAnsi="仿宋_GB2312" w:cs="仿宋_GB2312"/>
          <w:b w:val="0"/>
          <w:bCs w:val="0"/>
          <w:color w:val="auto"/>
          <w:szCs w:val="32"/>
          <w:lang w:val="en-US" w:eastAsia="zh-CN"/>
        </w:rPr>
        <w:t>10,744</w:t>
      </w:r>
      <w:r>
        <w:rPr>
          <w:rFonts w:hint="eastAsia" w:ascii="仿宋_GB2312" w:hAnsi="仿宋_GB2312" w:cs="仿宋_GB2312"/>
          <w:b w:val="0"/>
          <w:bCs w:val="0"/>
          <w:color w:val="auto"/>
          <w:szCs w:val="32"/>
        </w:rPr>
        <w:t>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高标准农田建设及永久基本农田易地代保费及保护补贴资金3,541万元、沙堤路（大富村至市桥三桥段）项目3,776万元、市政设施建设及维护经费2,904万元、农村公路养护费2,215万元、市桥街东郊村（北基大街）安置区工程2,000万元、交通安全管理经费1,100万元、美丽乡村及新农村建设1,272万元等。</w:t>
      </w:r>
    </w:p>
    <w:p w14:paraId="0BA23ABB">
      <w:pPr>
        <w:keepNext w:val="0"/>
        <w:keepLines w:val="0"/>
        <w:pageBreakBefore w:val="0"/>
        <w:widowControl w:val="0"/>
        <w:topLinePunct w:val="0"/>
        <w:autoSpaceDN/>
        <w:bidi w:val="0"/>
        <w:adjustRightInd/>
        <w:snapToGrid/>
        <w:spacing w:line="560" w:lineRule="exact"/>
        <w:ind w:firstLine="640" w:firstLineChars="200"/>
        <w:textAlignment w:val="auto"/>
        <w:rPr>
          <w:rFonts w:ascii="仿宋_GB2312" w:hAnsi="仿宋_GB2312" w:cs="仿宋_GB2312"/>
          <w:b w:val="0"/>
          <w:bCs w:val="0"/>
          <w:color w:val="auto"/>
          <w:szCs w:val="32"/>
        </w:rPr>
      </w:pPr>
      <w:r>
        <w:rPr>
          <w:rFonts w:hint="eastAsia" w:ascii="仿宋_GB2312" w:hAnsi="仿宋_GB2312" w:cs="仿宋_GB2312"/>
          <w:b w:val="0"/>
          <w:bCs w:val="0"/>
          <w:color w:val="auto"/>
          <w:szCs w:val="32"/>
        </w:rPr>
        <w:t>（3）推动城市基础设施数字化改造，构建智能高效的新型城市基础设施体系，持续提升城市设施韧性、管理韧性、空间韧性，推动城市运行更安全、更有序、更智慧、更高效，安排“数字政府”建设专项</w:t>
      </w:r>
      <w:r>
        <w:rPr>
          <w:rFonts w:hint="eastAsia" w:ascii="仿宋_GB2312" w:hAnsi="仿宋_GB2312" w:cs="仿宋_GB2312"/>
          <w:b w:val="0"/>
          <w:bCs w:val="0"/>
          <w:color w:val="auto"/>
          <w:szCs w:val="32"/>
          <w:lang w:val="en-US" w:eastAsia="zh-CN"/>
        </w:rPr>
        <w:t>1,084</w:t>
      </w:r>
      <w:r>
        <w:rPr>
          <w:rFonts w:hint="eastAsia" w:ascii="仿宋_GB2312" w:hAnsi="仿宋_GB2312" w:cs="仿宋_GB2312"/>
          <w:b w:val="0"/>
          <w:bCs w:val="0"/>
          <w:color w:val="auto"/>
          <w:szCs w:val="32"/>
        </w:rPr>
        <w:t>万元、推进集约化管理及先锋社区数字家庭试点项目413万元等。</w:t>
      </w:r>
    </w:p>
    <w:p w14:paraId="4A283D59">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4）推进文旅体育事业发展，优化文旅服务和产品供给，丰富人民群众娱乐休闲活动，积极推动社会力量参与公共文化服务，逐步完善政府主导、社会力量参与的现代公共文化服务体系，安排图书馆新馆建设工程及业务工作经费3,490万元、公园管理业务工作经费1,068万元、儿童公园工程及更新维护经费570万元、全民健身体育设施运行经费325万元、全域旅游发展专项经费264万元、博物馆升级改造及免费开放经费251万元、文化体育工作经费215万元等。</w:t>
      </w:r>
    </w:p>
    <w:p w14:paraId="3CDBEA89">
      <w:pPr>
        <w:keepNext w:val="0"/>
        <w:keepLines w:val="0"/>
        <w:pageBreakBefore w:val="0"/>
        <w:widowControl w:val="0"/>
        <w:topLinePunct w:val="0"/>
        <w:autoSpaceDN/>
        <w:bidi w:val="0"/>
        <w:adjustRightInd/>
        <w:snapToGrid/>
        <w:spacing w:line="560" w:lineRule="exact"/>
        <w:ind w:firstLine="640" w:firstLineChars="200"/>
        <w:textAlignment w:val="auto"/>
        <w:rPr>
          <w:rFonts w:ascii="仿宋_GB2312" w:hAnsi="仿宋_GB2312" w:cs="仿宋_GB2312"/>
          <w:b w:val="0"/>
          <w:bCs w:val="0"/>
          <w:color w:val="auto"/>
          <w:szCs w:val="32"/>
        </w:rPr>
      </w:pPr>
      <w:r>
        <w:rPr>
          <w:rFonts w:hint="eastAsia" w:ascii="仿宋_GB2312" w:hAnsi="仿宋_GB2312" w:cs="仿宋_GB2312"/>
          <w:b w:val="0"/>
          <w:bCs w:val="0"/>
          <w:color w:val="auto"/>
          <w:szCs w:val="32"/>
        </w:rPr>
        <w:t>（5）持续支持做好省内对口（产业）协作帮扶、增城区派潭镇、三峡库区巫山县、东西部等</w:t>
      </w:r>
      <w:r>
        <w:rPr>
          <w:rFonts w:hint="eastAsia" w:ascii="仿宋_GB2312" w:hAnsi="仿宋_GB2312" w:cs="仿宋_GB2312"/>
          <w:b w:val="0"/>
          <w:bCs w:val="0"/>
          <w:color w:val="auto"/>
          <w:szCs w:val="32"/>
          <w:highlight w:val="none"/>
        </w:rPr>
        <w:t>帮扶协作</w:t>
      </w:r>
      <w:r>
        <w:rPr>
          <w:rFonts w:hint="eastAsia" w:ascii="仿宋_GB2312" w:hAnsi="仿宋_GB2312" w:cs="仿宋_GB2312"/>
          <w:b w:val="0"/>
          <w:bCs w:val="0"/>
          <w:color w:val="auto"/>
          <w:szCs w:val="32"/>
        </w:rPr>
        <w:t>工作，安排巩固脱贫攻坚成果衔接乡村振兴支出资金</w:t>
      </w:r>
      <w:r>
        <w:rPr>
          <w:rFonts w:hint="eastAsia" w:ascii="仿宋_GB2312" w:hAnsi="仿宋_GB2312" w:cs="仿宋_GB2312"/>
          <w:b w:val="0"/>
          <w:bCs w:val="0"/>
          <w:color w:val="auto"/>
          <w:szCs w:val="32"/>
          <w:lang w:val="en-US" w:eastAsia="zh-CN"/>
        </w:rPr>
        <w:t>2</w:t>
      </w:r>
      <w:r>
        <w:rPr>
          <w:rFonts w:hint="eastAsia" w:ascii="仿宋_GB2312" w:hAnsi="仿宋_GB2312" w:cs="仿宋_GB2312"/>
          <w:b w:val="0"/>
          <w:bCs w:val="0"/>
          <w:color w:val="auto"/>
          <w:szCs w:val="32"/>
        </w:rPr>
        <w:t>6,</w:t>
      </w:r>
      <w:r>
        <w:rPr>
          <w:rFonts w:hint="eastAsia" w:ascii="仿宋_GB2312" w:hAnsi="仿宋_GB2312" w:cs="仿宋_GB2312"/>
          <w:b w:val="0"/>
          <w:bCs w:val="0"/>
          <w:color w:val="auto"/>
          <w:szCs w:val="32"/>
          <w:lang w:val="en-US" w:eastAsia="zh-CN"/>
        </w:rPr>
        <w:t>357</w:t>
      </w:r>
      <w:r>
        <w:rPr>
          <w:rFonts w:hint="eastAsia" w:ascii="仿宋_GB2312" w:hAnsi="仿宋_GB2312" w:cs="仿宋_GB2312"/>
          <w:b w:val="0"/>
          <w:bCs w:val="0"/>
          <w:color w:val="auto"/>
          <w:szCs w:val="32"/>
        </w:rPr>
        <w:t>万元。</w:t>
      </w:r>
    </w:p>
    <w:p w14:paraId="2978F08C">
      <w:pPr>
        <w:keepNext w:val="0"/>
        <w:keepLines w:val="0"/>
        <w:pageBreakBefore w:val="0"/>
        <w:widowControl w:val="0"/>
        <w:topLinePunct w:val="0"/>
        <w:autoSpaceDN/>
        <w:bidi w:val="0"/>
        <w:adjustRightInd/>
        <w:snapToGrid/>
        <w:spacing w:line="560" w:lineRule="exact"/>
        <w:ind w:left="640"/>
        <w:textAlignment w:val="auto"/>
        <w:rPr>
          <w:rFonts w:hint="eastAsia" w:ascii="仿宋_GB2312" w:hAnsi="仿宋_GB2312" w:eastAsia="仿宋_GB2312" w:cs="仿宋_GB2312"/>
          <w:b w:val="0"/>
          <w:bCs w:val="0"/>
          <w:color w:val="auto"/>
          <w:szCs w:val="32"/>
        </w:rPr>
      </w:pPr>
      <w:r>
        <w:rPr>
          <w:rFonts w:hint="eastAsia" w:ascii="仿宋_GB2312" w:hAnsi="仿宋_GB2312" w:eastAsia="仿宋_GB2312" w:cs="仿宋_GB2312"/>
          <w:b/>
          <w:bCs/>
          <w:color w:val="auto"/>
          <w:szCs w:val="32"/>
        </w:rPr>
        <w:t>4.保障和改善民生，推进新时代新征程民生事业发展</w:t>
      </w:r>
    </w:p>
    <w:p w14:paraId="77945BE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lang w:eastAsia="zh-CN"/>
        </w:rPr>
        <w:t>着力办好“</w:t>
      </w:r>
      <w:r>
        <w:rPr>
          <w:rFonts w:hint="eastAsia" w:ascii="仿宋_GB2312" w:hAnsi="仿宋_GB2312" w:cs="仿宋_GB2312"/>
          <w:b w:val="0"/>
          <w:bCs w:val="0"/>
          <w:color w:val="auto"/>
          <w:szCs w:val="32"/>
        </w:rPr>
        <w:t>民生微实事</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加强普惠性、基础性、兜底性民生建设，</w:t>
      </w:r>
      <w:r>
        <w:rPr>
          <w:rFonts w:hint="eastAsia" w:ascii="仿宋_GB2312" w:hAnsi="仿宋_GB2312" w:cs="仿宋_GB2312"/>
          <w:b w:val="0"/>
          <w:bCs w:val="0"/>
          <w:color w:val="auto"/>
          <w:szCs w:val="32"/>
          <w:lang w:eastAsia="zh-CN"/>
        </w:rPr>
        <w:t>支持</w:t>
      </w:r>
      <w:r>
        <w:rPr>
          <w:rFonts w:hint="eastAsia" w:ascii="仿宋_GB2312" w:hAnsi="仿宋_GB2312" w:cs="仿宋_GB2312"/>
          <w:b w:val="0"/>
          <w:bCs w:val="0"/>
          <w:color w:val="auto"/>
          <w:szCs w:val="32"/>
        </w:rPr>
        <w:t>建立健全覆盖全民、统筹城乡、公平统一、安全规范、可持续的多层次社会保障体系，提升社会协同力，坚持在高质量发展中创造高品质生活，在高质量发展中改善民生、补齐民生短板。</w:t>
      </w:r>
    </w:p>
    <w:p w14:paraId="657C2CE2">
      <w:pPr>
        <w:keepNext w:val="0"/>
        <w:keepLines w:val="0"/>
        <w:pageBreakBefore w:val="0"/>
        <w:widowControl w:val="0"/>
        <w:numPr>
          <w:ilvl w:val="0"/>
          <w:numId w:val="3"/>
        </w:numPr>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持续深化社会保障，提高民生保障力。安排85,813万元用于社会保障和就业相关项目支出，主要包括：毕业生、退役军人等就业和再就业补助各项经费25,760万元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长者长寿保健金财政补贴5,341万元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社工服务站购买服务经费2,884万元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残疾人生活和护理补贴2,330万元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社区养老服务及设施运营等经费2,325万元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农村及城市最低生活保障2,106万元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免除户籍居民殡葬基本服务费1</w:t>
      </w:r>
      <w:r>
        <w:rPr>
          <w:rFonts w:hint="eastAsia" w:ascii="仿宋_GB2312" w:hAnsi="仿宋_GB2312" w:cs="仿宋_GB2312"/>
          <w:b w:val="0"/>
          <w:bCs w:val="0"/>
          <w:color w:val="auto"/>
          <w:szCs w:val="32"/>
          <w:lang w:val="en-US" w:eastAsia="zh-CN"/>
        </w:rPr>
        <w:t>,</w:t>
      </w:r>
      <w:r>
        <w:rPr>
          <w:rFonts w:hint="eastAsia" w:ascii="仿宋_GB2312" w:hAnsi="仿宋_GB2312" w:cs="仿宋_GB2312"/>
          <w:b w:val="0"/>
          <w:bCs w:val="0"/>
          <w:color w:val="auto"/>
          <w:szCs w:val="32"/>
        </w:rPr>
        <w:t>500万元等。</w:t>
      </w:r>
    </w:p>
    <w:p w14:paraId="72FAE5F0">
      <w:pPr>
        <w:keepNext w:val="0"/>
        <w:keepLines w:val="0"/>
        <w:pageBreakBefore w:val="0"/>
        <w:widowControl w:val="0"/>
        <w:numPr>
          <w:ilvl w:val="0"/>
          <w:numId w:val="3"/>
        </w:numPr>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实施健康优先发展战略，打造医疗卫生服务高地。安排141,</w:t>
      </w:r>
      <w:r>
        <w:rPr>
          <w:rFonts w:hint="eastAsia" w:ascii="仿宋_GB2312" w:hAnsi="仿宋_GB2312" w:cs="仿宋_GB2312"/>
          <w:b w:val="0"/>
          <w:bCs w:val="0"/>
          <w:color w:val="auto"/>
          <w:szCs w:val="32"/>
          <w:lang w:val="en-US" w:eastAsia="zh-CN"/>
        </w:rPr>
        <w:t>208</w:t>
      </w:r>
      <w:r>
        <w:rPr>
          <w:rFonts w:hint="eastAsia" w:ascii="仿宋_GB2312" w:hAnsi="仿宋_GB2312" w:cs="仿宋_GB2312"/>
          <w:b w:val="0"/>
          <w:bCs w:val="0"/>
          <w:color w:val="auto"/>
          <w:szCs w:val="32"/>
        </w:rPr>
        <w:t>万元用于卫生健康相关项目支出，主要包括：行政事业</w:t>
      </w:r>
      <w:r>
        <w:rPr>
          <w:rFonts w:hint="eastAsia" w:ascii="仿宋_GB2312" w:hAnsi="仿宋_GB2312" w:cs="仿宋_GB2312"/>
          <w:b w:val="0"/>
          <w:bCs w:val="0"/>
          <w:color w:val="auto"/>
          <w:szCs w:val="32"/>
          <w:lang w:eastAsia="zh-CN"/>
        </w:rPr>
        <w:t>及其他</w:t>
      </w:r>
      <w:r>
        <w:rPr>
          <w:rFonts w:hint="eastAsia" w:ascii="仿宋_GB2312" w:hAnsi="仿宋_GB2312" w:cs="仿宋_GB2312"/>
          <w:b w:val="0"/>
          <w:bCs w:val="0"/>
          <w:color w:val="auto"/>
          <w:szCs w:val="32"/>
        </w:rPr>
        <w:t>单位医疗经费</w:t>
      </w:r>
      <w:r>
        <w:rPr>
          <w:rFonts w:hint="eastAsia" w:ascii="仿宋_GB2312" w:hAnsi="仿宋_GB2312" w:cs="仿宋_GB2312"/>
          <w:b w:val="0"/>
          <w:bCs w:val="0"/>
          <w:color w:val="auto"/>
          <w:szCs w:val="32"/>
          <w:lang w:val="en-US" w:eastAsia="zh-CN"/>
        </w:rPr>
        <w:t>32</w:t>
      </w:r>
      <w:r>
        <w:rPr>
          <w:rFonts w:hint="eastAsia" w:ascii="仿宋_GB2312" w:hAnsi="仿宋_GB2312" w:cs="仿宋_GB2312"/>
          <w:b w:val="0"/>
          <w:bCs w:val="0"/>
          <w:color w:val="auto"/>
          <w:szCs w:val="32"/>
        </w:rPr>
        <w:t>,062万元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公立医院改革及补助经费21,602万元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基本公共卫生服务20,172万元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药品卫生耗材费13,220万元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其他行政事业单位医疗支出经费5,000万元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非免疫规划疫苗购置3,600万元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精神障碍患者监护、救治等经费等2,810万元</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专用设备、材料购置2,681万元等。</w:t>
      </w:r>
    </w:p>
    <w:p w14:paraId="7DFBA7EB">
      <w:pPr>
        <w:keepNext w:val="0"/>
        <w:keepLines w:val="0"/>
        <w:pageBreakBefore w:val="0"/>
        <w:widowControl w:val="0"/>
        <w:numPr>
          <w:ilvl w:val="0"/>
          <w:numId w:val="3"/>
        </w:numPr>
        <w:topLinePunct w:val="0"/>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cs="仿宋_GB2312"/>
          <w:b w:val="0"/>
          <w:bCs w:val="0"/>
          <w:color w:val="auto"/>
          <w:szCs w:val="32"/>
        </w:rPr>
        <w:t>支持建设高质量教育体系，更好发挥铸魂育人作用。安排</w:t>
      </w:r>
      <w:r>
        <w:rPr>
          <w:rFonts w:hint="eastAsia" w:ascii="仿宋_GB2312" w:hAnsi="仿宋_GB2312" w:cs="仿宋_GB2312"/>
          <w:b w:val="0"/>
          <w:bCs w:val="0"/>
          <w:color w:val="auto"/>
          <w:szCs w:val="32"/>
          <w:lang w:eastAsia="zh-CN"/>
        </w:rPr>
        <w:t>教育支出</w:t>
      </w:r>
      <w:r>
        <w:rPr>
          <w:rFonts w:hint="eastAsia" w:ascii="仿宋_GB2312" w:hAnsi="仿宋_GB2312" w:cs="仿宋_GB2312"/>
          <w:b w:val="0"/>
          <w:bCs w:val="0"/>
          <w:color w:val="auto"/>
          <w:szCs w:val="32"/>
        </w:rPr>
        <w:t>544,902万元用于城乡义务教育、学前教育与职业教育等</w:t>
      </w:r>
      <w:r>
        <w:rPr>
          <w:rFonts w:hint="eastAsia" w:ascii="仿宋_GB2312" w:hAnsi="仿宋_GB2312" w:cs="仿宋_GB2312"/>
          <w:b w:val="0"/>
          <w:bCs w:val="0"/>
          <w:color w:val="auto"/>
          <w:szCs w:val="32"/>
          <w:lang w:eastAsia="zh-CN"/>
        </w:rPr>
        <w:t>。</w:t>
      </w:r>
      <w:r>
        <w:rPr>
          <w:rFonts w:hint="eastAsia" w:ascii="仿宋_GB2312" w:hAnsi="仿宋_GB2312" w:cs="仿宋_GB2312"/>
          <w:b w:val="0"/>
          <w:bCs w:val="0"/>
          <w:color w:val="auto"/>
          <w:szCs w:val="32"/>
        </w:rPr>
        <w:t>主要包括：教育方面的人员及公用经费303,341万元、临聘教师等机构运行辅助经费66,897万元、学前三年行动计划经费25,284万元、学前教育发展专项21,633万元、城乡义务教育公用经费和课本费16,568万元、购买民办义务教育学校学位服务经费14,682万元、基础教育补助等经费11,070万元、城乡免费义务教育财政补助6,989万元、专任教师人员经费5,550万元、学校硬件建设项目基建及设备采购5,001万元、镇街学校建设补助4,316万元、广东仲元中学第二校区工程3,750万元、中小学增班补助3,548万元、民办教育发展及民办学校教师从教津贴等经费2,872万元、进城务工人员随迁子女学位补助2000万元、校</w:t>
      </w:r>
      <w:r>
        <w:rPr>
          <w:rFonts w:hint="eastAsia" w:ascii="仿宋_GB2312" w:hAnsi="仿宋_GB2312" w:eastAsia="仿宋_GB2312" w:cs="仿宋_GB2312"/>
          <w:b w:val="0"/>
          <w:bCs w:val="0"/>
          <w:color w:val="auto"/>
          <w:sz w:val="32"/>
          <w:szCs w:val="32"/>
        </w:rPr>
        <w:t>园安保经费1,057万元等。</w:t>
      </w:r>
    </w:p>
    <w:p w14:paraId="645240C5">
      <w:pPr>
        <w:pStyle w:val="2"/>
        <w:keepNext w:val="0"/>
        <w:keepLines w:val="0"/>
        <w:pageBreakBefore w:val="0"/>
        <w:widowControl w:val="0"/>
        <w:topLinePunct w:val="0"/>
        <w:autoSpaceDN/>
        <w:bidi w:val="0"/>
        <w:adjustRightInd/>
        <w:snapToGrid/>
        <w:spacing w:line="560" w:lineRule="exact"/>
        <w:ind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rPr>
        <w:t>5</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rPr>
        <w:t>坚决守好债务风险底线，提高风险防控能力</w:t>
      </w:r>
    </w:p>
    <w:p w14:paraId="4CDC0076">
      <w:pPr>
        <w:pStyle w:val="2"/>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highlight w:val="yellow"/>
        </w:rPr>
      </w:pPr>
      <w:r>
        <w:rPr>
          <w:rFonts w:hint="eastAsia" w:ascii="仿宋_GB2312" w:hAnsi="仿宋_GB2312" w:eastAsia="仿宋_GB2312" w:cs="仿宋_GB2312"/>
          <w:b w:val="0"/>
          <w:bCs w:val="0"/>
          <w:color w:val="auto"/>
          <w:sz w:val="32"/>
          <w:szCs w:val="32"/>
        </w:rPr>
        <w:t>2025年区级财政安排地方政府债务还本付息资金126,188万元，其中：偿还本金13,784万元，支付利息112,404万元。资金来源：一般公共预算14,320万元，政府性基金预算111,868万元。</w:t>
      </w:r>
    </w:p>
    <w:p w14:paraId="09C8BF38">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eastAsia="仿宋_GB2312" w:cs="仿宋_GB2312"/>
          <w:b w:val="0"/>
          <w:bCs w:val="0"/>
          <w:color w:val="auto"/>
          <w:sz w:val="32"/>
          <w:szCs w:val="32"/>
        </w:rPr>
        <w:t>需要说明的是，根据《预算法》有关规定，在预算年度开始后，区人民代表大会批准前，区财政</w:t>
      </w:r>
      <w:r>
        <w:rPr>
          <w:rFonts w:hint="eastAsia" w:ascii="仿宋_GB2312" w:hAnsi="仿宋_GB2312" w:cs="仿宋_GB2312"/>
          <w:b w:val="0"/>
          <w:bCs w:val="0"/>
          <w:color w:val="auto"/>
          <w:szCs w:val="32"/>
        </w:rPr>
        <w:t>根据实际工作需要，拨付本年度维持行政运行必须的支出、政府工程项目工人工资以及部分上一年度结转支出等。</w:t>
      </w:r>
    </w:p>
    <w:p w14:paraId="4846F1C9">
      <w:pPr>
        <w:keepNext w:val="0"/>
        <w:keepLines w:val="0"/>
        <w:pageBreakBefore w:val="0"/>
        <w:widowControl w:val="0"/>
        <w:topLinePunct w:val="0"/>
        <w:autoSpaceDN/>
        <w:bidi w:val="0"/>
        <w:adjustRightInd/>
        <w:snapToGrid/>
        <w:spacing w:line="560" w:lineRule="exact"/>
        <w:ind w:firstLine="640" w:firstLineChars="200"/>
        <w:textAlignment w:val="auto"/>
        <w:rPr>
          <w:rFonts w:hint="eastAsia" w:ascii="仿宋_GB2312" w:hAnsi="仿宋_GB2312" w:cs="仿宋_GB2312"/>
          <w:b w:val="0"/>
          <w:bCs w:val="0"/>
          <w:color w:val="auto"/>
          <w:szCs w:val="32"/>
        </w:rPr>
      </w:pPr>
      <w:r>
        <w:rPr>
          <w:rFonts w:hint="eastAsia" w:ascii="仿宋_GB2312" w:hAnsi="仿宋_GB2312" w:cs="仿宋_GB2312"/>
          <w:b w:val="0"/>
          <w:bCs w:val="0"/>
          <w:color w:val="auto"/>
          <w:szCs w:val="32"/>
        </w:rPr>
        <w:t>以上报告，请予审议。</w:t>
      </w:r>
    </w:p>
    <w:p w14:paraId="6B0480BD">
      <w:pPr>
        <w:pStyle w:val="2"/>
        <w:rPr>
          <w:rFonts w:hint="eastAsia" w:ascii="仿宋_GB2312" w:hAnsi="仿宋_GB2312" w:cs="仿宋_GB2312"/>
          <w:b w:val="0"/>
          <w:bCs w:val="0"/>
          <w:color w:val="auto"/>
          <w:szCs w:val="32"/>
        </w:rPr>
      </w:pPr>
    </w:p>
    <w:p w14:paraId="275C12E7">
      <w:pPr>
        <w:pStyle w:val="3"/>
        <w:rPr>
          <w:rFonts w:hint="eastAsia"/>
          <w:lang w:eastAsia="zh-CN"/>
        </w:rPr>
      </w:pPr>
    </w:p>
    <w:p w14:paraId="21174F74">
      <w:pPr>
        <w:keepNext w:val="0"/>
        <w:keepLines w:val="0"/>
        <w:pageBreakBefore w:val="0"/>
        <w:topLinePunct w:val="0"/>
        <w:autoSpaceDN/>
        <w:bidi w:val="0"/>
        <w:spacing w:line="560" w:lineRule="exact"/>
        <w:ind w:firstLine="960" w:firstLineChars="300"/>
        <w:rPr>
          <w:rFonts w:hint="eastAsia" w:ascii="仿宋_GB2312" w:hAnsi="仿宋_GB2312" w:eastAsia="仿宋_GB2312" w:cs="仿宋_GB2312"/>
          <w:b w:val="0"/>
          <w:bCs w:val="0"/>
          <w:color w:val="auto"/>
          <w:szCs w:val="32"/>
          <w:lang w:eastAsia="zh-CN"/>
        </w:rPr>
      </w:pPr>
      <w:r>
        <w:rPr>
          <w:rFonts w:hint="eastAsia" w:ascii="仿宋_GB2312" w:hAnsi="仿宋_GB2312" w:cs="仿宋_GB2312"/>
          <w:b w:val="0"/>
          <w:bCs w:val="0"/>
          <w:color w:val="auto"/>
          <w:szCs w:val="32"/>
          <w:lang w:eastAsia="zh-CN"/>
        </w:rPr>
        <w:t>附件：广州市番禺区2025年区级预算草案</w:t>
      </w:r>
    </w:p>
    <w:p w14:paraId="7506E57C">
      <w:pPr>
        <w:keepNext w:val="0"/>
        <w:keepLines w:val="0"/>
        <w:pageBreakBefore w:val="0"/>
        <w:topLinePunct w:val="0"/>
        <w:autoSpaceDN/>
        <w:bidi w:val="0"/>
        <w:spacing w:line="580" w:lineRule="exact"/>
        <w:ind w:firstLine="960" w:firstLineChars="300"/>
        <w:rPr>
          <w:rFonts w:hint="eastAsia" w:ascii="仿宋_GB2312" w:hAnsi="仿宋_GB2312" w:eastAsia="仿宋_GB2312" w:cs="仿宋_GB2312"/>
          <w:b w:val="0"/>
          <w:bCs w:val="0"/>
          <w:color w:val="auto"/>
          <w:szCs w:val="32"/>
          <w:lang w:eastAsia="zh-CN"/>
        </w:rPr>
        <w:sectPr>
          <w:footerReference r:id="rId4" w:type="default"/>
          <w:pgSz w:w="11906" w:h="16838"/>
          <w:pgMar w:top="2098" w:right="1474" w:bottom="1984" w:left="1587" w:header="851" w:footer="1587" w:gutter="0"/>
          <w:paperSrc/>
          <w:pgNumType w:fmt="decimal"/>
          <w:cols w:space="720" w:num="1"/>
          <w:rtlGutter w:val="0"/>
          <w:docGrid w:type="lines" w:linePitch="439" w:charSpace="0"/>
        </w:sectPr>
      </w:pPr>
    </w:p>
    <w:p w14:paraId="59B6CADE">
      <w:pPr>
        <w:rPr>
          <w:rFonts w:hint="eastAsia"/>
          <w:lang w:eastAsia="zh-CN"/>
        </w:rPr>
      </w:pPr>
    </w:p>
    <w:p w14:paraId="492FEC08">
      <w:pPr>
        <w:pStyle w:val="2"/>
        <w:rPr>
          <w:rFonts w:hint="eastAsia"/>
          <w:lang w:eastAsia="zh-CN"/>
        </w:rPr>
      </w:pPr>
    </w:p>
    <w:p w14:paraId="732EB41D">
      <w:pPr>
        <w:pStyle w:val="3"/>
        <w:rPr>
          <w:rFonts w:hint="eastAsia"/>
          <w:lang w:eastAsia="zh-CN"/>
        </w:rPr>
      </w:pPr>
    </w:p>
    <w:p w14:paraId="0580F7D7">
      <w:pPr>
        <w:pStyle w:val="4"/>
        <w:rPr>
          <w:rFonts w:hint="eastAsia"/>
          <w:lang w:eastAsia="zh-CN"/>
        </w:rPr>
      </w:pPr>
    </w:p>
    <w:p w14:paraId="163C36AB">
      <w:pPr>
        <w:rPr>
          <w:rFonts w:hint="eastAsia"/>
          <w:lang w:eastAsia="zh-CN"/>
        </w:rPr>
      </w:pPr>
    </w:p>
    <w:p w14:paraId="0CCF6472">
      <w:pPr>
        <w:pStyle w:val="2"/>
        <w:rPr>
          <w:rFonts w:hint="eastAsia"/>
          <w:lang w:eastAsia="zh-CN"/>
        </w:rPr>
      </w:pPr>
    </w:p>
    <w:p w14:paraId="51FAE2EF">
      <w:pPr>
        <w:pStyle w:val="4"/>
        <w:ind w:left="0" w:leftChars="0" w:firstLine="0" w:firstLineChars="0"/>
        <w:rPr>
          <w:rFonts w:hint="eastAsia"/>
          <w:lang w:eastAsia="zh-CN"/>
        </w:rPr>
      </w:pPr>
    </w:p>
    <w:p w14:paraId="0A7794A0">
      <w:pPr>
        <w:pStyle w:val="2"/>
        <w:ind w:left="0" w:leftChars="0" w:firstLine="0" w:firstLineChars="0"/>
        <w:rPr>
          <w:rFonts w:hint="eastAsia"/>
          <w:lang w:eastAsia="zh-CN"/>
        </w:rPr>
      </w:pPr>
    </w:p>
    <w:p w14:paraId="377A7ABB">
      <w:pPr>
        <w:pStyle w:val="3"/>
        <w:rPr>
          <w:rFonts w:hint="eastAsia"/>
          <w:lang w:eastAsia="zh-CN"/>
        </w:rPr>
      </w:pPr>
    </w:p>
    <w:p w14:paraId="7D47180F">
      <w:pPr>
        <w:rPr>
          <w:rFonts w:hint="eastAsia"/>
          <w:lang w:eastAsia="zh-CN"/>
        </w:rPr>
      </w:pPr>
    </w:p>
    <w:p w14:paraId="415C8652">
      <w:pPr>
        <w:pStyle w:val="2"/>
        <w:rPr>
          <w:rFonts w:hint="eastAsia"/>
          <w:lang w:eastAsia="zh-CN"/>
        </w:rPr>
      </w:pPr>
    </w:p>
    <w:p w14:paraId="0EBC418F">
      <w:pPr>
        <w:pStyle w:val="3"/>
        <w:rPr>
          <w:rFonts w:hint="eastAsia"/>
          <w:lang w:eastAsia="zh-CN"/>
        </w:rPr>
      </w:pPr>
    </w:p>
    <w:p w14:paraId="4A9E5481">
      <w:pPr>
        <w:pStyle w:val="4"/>
        <w:rPr>
          <w:rFonts w:hint="eastAsia"/>
          <w:lang w:eastAsia="zh-CN"/>
        </w:rPr>
      </w:pPr>
    </w:p>
    <w:p w14:paraId="70FD4B8E">
      <w:pPr>
        <w:rPr>
          <w:rFonts w:hint="eastAsia"/>
          <w:lang w:eastAsia="zh-CN"/>
        </w:rPr>
      </w:pPr>
    </w:p>
    <w:p w14:paraId="3C1FFE6E">
      <w:pPr>
        <w:pStyle w:val="2"/>
        <w:rPr>
          <w:rFonts w:hint="eastAsia"/>
          <w:lang w:eastAsia="zh-CN"/>
        </w:rPr>
      </w:pPr>
    </w:p>
    <w:p w14:paraId="209333B3">
      <w:pPr>
        <w:rPr>
          <w:rFonts w:hint="eastAsia"/>
          <w:lang w:eastAsia="zh-CN"/>
        </w:rPr>
      </w:pPr>
    </w:p>
    <w:p w14:paraId="4CA1E49B">
      <w:pPr>
        <w:pStyle w:val="2"/>
        <w:rPr>
          <w:rFonts w:hint="eastAsia"/>
          <w:lang w:eastAsia="zh-CN"/>
        </w:rPr>
      </w:pPr>
    </w:p>
    <w:p w14:paraId="2095CAC8">
      <w:pPr>
        <w:pStyle w:val="3"/>
        <w:ind w:left="0" w:leftChars="0" w:firstLine="0" w:firstLineChars="0"/>
        <w:rPr>
          <w:rFonts w:hint="eastAsia"/>
          <w:lang w:eastAsia="zh-CN"/>
        </w:rPr>
      </w:pPr>
    </w:p>
    <w:p w14:paraId="7E78E961">
      <w:pPr>
        <w:pStyle w:val="4"/>
        <w:rPr>
          <w:rFonts w:hint="eastAsia"/>
          <w:lang w:eastAsia="zh-CN"/>
        </w:rPr>
      </w:pPr>
    </w:p>
    <w:p w14:paraId="5F107280">
      <w:pPr>
        <w:rPr>
          <w:rFonts w:hint="eastAsia"/>
          <w:lang w:eastAsia="zh-CN"/>
        </w:rPr>
      </w:pPr>
    </w:p>
    <w:p w14:paraId="7E79D19D">
      <w:pPr>
        <w:pStyle w:val="2"/>
        <w:rPr>
          <w:rFonts w:hint="eastAsia"/>
          <w:lang w:eastAsia="zh-CN"/>
        </w:rPr>
      </w:pPr>
    </w:p>
    <w:p w14:paraId="2FCC2179">
      <w:pPr>
        <w:pStyle w:val="3"/>
        <w:rPr>
          <w:rFonts w:hint="eastAsia"/>
          <w:lang w:eastAsia="zh-CN"/>
        </w:rPr>
      </w:pPr>
    </w:p>
    <w:tbl>
      <w:tblPr>
        <w:tblStyle w:val="15"/>
        <w:tblpPr w:leftFromText="181" w:rightFromText="181" w:horzAnchor="page" w:tblpXSpec="center" w:tblpYSpec="bottom"/>
        <w:tblOverlap w:val="never"/>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00"/>
      </w:tblGrid>
      <w:tr w14:paraId="06D201B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9100" w:type="dxa"/>
            <w:noWrap w:val="0"/>
            <w:vAlign w:val="center"/>
          </w:tcPr>
          <w:p w14:paraId="0633CA4B">
            <w:pPr>
              <w:keepNext w:val="0"/>
              <w:keepLines w:val="0"/>
              <w:pageBreakBefore w:val="0"/>
              <w:widowControl w:val="0"/>
              <w:kinsoku/>
              <w:wordWrap/>
              <w:overflowPunct/>
              <w:topLinePunct w:val="0"/>
              <w:autoSpaceDE/>
              <w:autoSpaceDN/>
              <w:bidi w:val="0"/>
              <w:adjustRightInd/>
              <w:snapToGrid/>
              <w:spacing w:line="580" w:lineRule="exact"/>
              <w:ind w:left="-102" w:leftChars="-32" w:right="-80" w:rightChars="-25" w:firstLine="280" w:firstLineChars="100"/>
              <w:jc w:val="both"/>
              <w:textAlignment w:val="auto"/>
              <w:rPr>
                <w:rFonts w:hint="eastAsia" w:ascii="仿宋_GB2312" w:hAnsi="GulimChe" w:eastAsia="仿宋_GB2312"/>
                <w:sz w:val="32"/>
                <w:szCs w:val="32"/>
                <w:lang w:val="en-US" w:eastAsia="zh-CN"/>
              </w:rPr>
            </w:pPr>
            <w:r>
              <w:rPr>
                <w:rFonts w:hint="eastAsia" w:ascii="仿宋_GB2312" w:hAnsi="GulimChe" w:eastAsia="仿宋_GB2312"/>
                <w:sz w:val="28"/>
                <w:szCs w:val="28"/>
              </w:rPr>
              <w:t>区</w:t>
            </w:r>
            <w:r>
              <w:rPr>
                <w:rFonts w:hint="eastAsia" w:ascii="仿宋_GB2312" w:hAnsi="GulimChe" w:eastAsia="仿宋_GB2312"/>
                <w:sz w:val="28"/>
                <w:szCs w:val="28"/>
                <w:lang w:eastAsia="zh-CN"/>
              </w:rPr>
              <w:t>十八</w:t>
            </w:r>
            <w:r>
              <w:rPr>
                <w:rFonts w:hint="eastAsia" w:ascii="仿宋_GB2312" w:hAnsi="GulimChe" w:eastAsia="仿宋_GB2312"/>
                <w:sz w:val="28"/>
                <w:szCs w:val="28"/>
              </w:rPr>
              <w:t>届人大</w:t>
            </w:r>
            <w:r>
              <w:rPr>
                <w:rFonts w:hint="eastAsia" w:ascii="仿宋_GB2312" w:hAnsi="GulimChe" w:eastAsia="仿宋_GB2312"/>
                <w:sz w:val="28"/>
                <w:szCs w:val="28"/>
                <w:lang w:val="en-US" w:eastAsia="zh-CN"/>
              </w:rPr>
              <w:t>五</w:t>
            </w:r>
            <w:r>
              <w:rPr>
                <w:rFonts w:hint="eastAsia" w:ascii="仿宋_GB2312" w:hAnsi="GulimChe" w:eastAsia="仿宋_GB2312"/>
                <w:sz w:val="28"/>
                <w:szCs w:val="28"/>
              </w:rPr>
              <w:t xml:space="preserve">次会议秘书处     </w:t>
            </w:r>
            <w:r>
              <w:rPr>
                <w:rFonts w:hint="eastAsia" w:ascii="仿宋_GB2312" w:hAnsi="GulimChe" w:eastAsia="仿宋_GB2312"/>
                <w:sz w:val="28"/>
                <w:szCs w:val="28"/>
                <w:lang w:val="en-US" w:eastAsia="zh-CN"/>
              </w:rPr>
              <w:t xml:space="preserve">         </w:t>
            </w:r>
            <w:r>
              <w:rPr>
                <w:rFonts w:hint="eastAsia" w:ascii="仿宋_GB2312" w:hAnsi="GulimChe" w:eastAsia="仿宋_GB2312"/>
                <w:sz w:val="28"/>
                <w:szCs w:val="28"/>
              </w:rPr>
              <w:t xml:space="preserve">     </w:t>
            </w:r>
            <w:r>
              <w:rPr>
                <w:rFonts w:hint="eastAsia" w:ascii="仿宋_GB2312" w:hAnsi="GulimChe" w:eastAsia="仿宋_GB2312"/>
                <w:sz w:val="28"/>
                <w:szCs w:val="28"/>
                <w:lang w:val="en-US" w:eastAsia="zh-CN"/>
              </w:rPr>
              <w:t xml:space="preserve"> </w:t>
            </w:r>
            <w:r>
              <w:rPr>
                <w:rFonts w:hint="eastAsia" w:ascii="仿宋_GB2312" w:hAnsi="GulimChe" w:eastAsia="仿宋_GB2312"/>
                <w:sz w:val="28"/>
                <w:szCs w:val="28"/>
              </w:rPr>
              <w:t xml:space="preserve">  </w:t>
            </w:r>
            <w:r>
              <w:rPr>
                <w:rFonts w:hint="eastAsia" w:ascii="仿宋_GB2312" w:hAnsi="GulimChe" w:eastAsia="仿宋_GB2312"/>
                <w:sz w:val="28"/>
                <w:szCs w:val="28"/>
                <w:lang w:val="en-US" w:eastAsia="zh-CN"/>
              </w:rPr>
              <w:t>2025</w:t>
            </w:r>
            <w:r>
              <w:rPr>
                <w:rFonts w:hint="eastAsia" w:ascii="仿宋_GB2312" w:hAnsi="GulimChe" w:eastAsia="仿宋_GB2312"/>
                <w:sz w:val="28"/>
                <w:szCs w:val="28"/>
              </w:rPr>
              <w:t>年</w:t>
            </w:r>
            <w:r>
              <w:rPr>
                <w:rFonts w:hint="eastAsia" w:ascii="仿宋_GB2312" w:hAnsi="仿宋_GB2312" w:eastAsia="仿宋_GB2312" w:cs="仿宋_GB2312"/>
                <w:kern w:val="0"/>
                <w:sz w:val="28"/>
                <w:szCs w:val="28"/>
                <w:lang w:val="en-US" w:eastAsia="zh-CN"/>
              </w:rPr>
              <w:t>2</w:t>
            </w:r>
            <w:r>
              <w:rPr>
                <w:rFonts w:hint="eastAsia" w:ascii="仿宋_GB2312" w:hAnsi="GulimChe" w:eastAsia="仿宋_GB2312"/>
                <w:sz w:val="28"/>
                <w:szCs w:val="28"/>
              </w:rPr>
              <w:t>月</w:t>
            </w:r>
            <w:r>
              <w:rPr>
                <w:rFonts w:hint="eastAsia" w:ascii="仿宋_GB2312" w:hAnsi="GulimChe" w:eastAsia="仿宋_GB2312"/>
                <w:sz w:val="28"/>
                <w:szCs w:val="28"/>
                <w:lang w:eastAsia="zh-CN"/>
              </w:rPr>
              <w:t>印</w:t>
            </w:r>
          </w:p>
        </w:tc>
      </w:tr>
    </w:tbl>
    <w:p w14:paraId="5E9C1580">
      <w:pPr>
        <w:pStyle w:val="4"/>
        <w:keepNext w:val="0"/>
        <w:keepLines w:val="0"/>
        <w:pageBreakBefore w:val="0"/>
        <w:widowControl w:val="0"/>
        <w:kinsoku/>
        <w:wordWrap/>
        <w:overflowPunct/>
        <w:topLinePunct w:val="0"/>
        <w:autoSpaceDE/>
        <w:autoSpaceDN/>
        <w:bidi w:val="0"/>
        <w:adjustRightInd/>
        <w:snapToGrid/>
        <w:spacing w:line="20" w:lineRule="exact"/>
        <w:ind w:left="0" w:leftChars="0" w:firstLine="0" w:firstLineChars="0"/>
        <w:textAlignment w:val="auto"/>
        <w:rPr>
          <w:rFonts w:hint="eastAsia"/>
          <w:lang w:eastAsia="zh-CN"/>
        </w:rPr>
      </w:pPr>
    </w:p>
    <w:sectPr>
      <w:footerReference r:id="rId5" w:type="default"/>
      <w:pgSz w:w="11906" w:h="16838"/>
      <w:pgMar w:top="2098" w:right="1474" w:bottom="1984" w:left="1587" w:header="851" w:footer="1587" w:gutter="0"/>
      <w:paperSrc/>
      <w:pgNumType w:fmt="decimal"/>
      <w:cols w:space="720" w:num="1"/>
      <w:rtlGutter w:val="0"/>
      <w:docGrid w:type="lines"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1" w:usb1="080E0000" w:usb2="00000000" w:usb3="00000000" w:csb0="00040000" w:csb1="00000000"/>
  </w:font>
  <w:font w:name="GulimChe">
    <w:panose1 w:val="020B0609000101010101"/>
    <w:charset w:val="81"/>
    <w:family w:val="modern"/>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4E525">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4B4133">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14:paraId="1D4B4133">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E0FB9">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72071973">
      <w:pPr>
        <w:pStyle w:val="11"/>
        <w:snapToGrid w:val="0"/>
        <w:rPr>
          <w:rFonts w:hint="default" w:eastAsia="宋体"/>
          <w:lang w:val="en-US" w:eastAsia="zh-CN"/>
        </w:rPr>
      </w:pPr>
      <w:r>
        <w:rPr>
          <w:rStyle w:val="18"/>
        </w:rPr>
        <w:footnoteRef/>
      </w:r>
      <w:r>
        <w:t xml:space="preserve"> </w:t>
      </w:r>
      <w:r>
        <w:rPr>
          <w:rFonts w:hint="eastAsia"/>
          <w:lang w:val="en-US" w:eastAsia="zh-CN"/>
        </w:rPr>
        <w:t>由于报告编制时，2024年财政年度尚未执行结束，2024年预算执行数据以截至2024年12月27日的财政收支执行情况为基础，综合考虑各项收支因素进行预测而形成，2024年完整年度数据将通过决算报告再专题向区人大常委会报告；下同。</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C35113"/>
    <w:multiLevelType w:val="singleLevel"/>
    <w:tmpl w:val="9AC35113"/>
    <w:lvl w:ilvl="0" w:tentative="0">
      <w:start w:val="1"/>
      <w:numFmt w:val="decimal"/>
      <w:suff w:val="nothing"/>
      <w:lvlText w:val="（%1）"/>
      <w:lvlJc w:val="left"/>
    </w:lvl>
  </w:abstractNum>
  <w:abstractNum w:abstractNumId="1">
    <w:nsid w:val="DBA7334A"/>
    <w:multiLevelType w:val="singleLevel"/>
    <w:tmpl w:val="DBA7334A"/>
    <w:lvl w:ilvl="0" w:tentative="0">
      <w:start w:val="1"/>
      <w:numFmt w:val="decimal"/>
      <w:suff w:val="nothing"/>
      <w:lvlText w:val="（%1）"/>
      <w:lvlJc w:val="left"/>
      <w:pPr>
        <w:ind w:left="640" w:firstLine="0"/>
      </w:pPr>
    </w:lvl>
  </w:abstractNum>
  <w:abstractNum w:abstractNumId="2">
    <w:nsid w:val="31522EC0"/>
    <w:multiLevelType w:val="singleLevel"/>
    <w:tmpl w:val="31522EC0"/>
    <w:lvl w:ilvl="0" w:tentative="0">
      <w:start w:val="1"/>
      <w:numFmt w:val="decimal"/>
      <w:suff w:val="nothing"/>
      <w:lvlText w:val="（%1）"/>
      <w:lvlJc w:val="left"/>
      <w:pPr>
        <w:ind w:left="64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trackRevisions w:val="1"/>
  <w:documentProtection w:enforcement="0"/>
  <w:defaultTabStop w:val="420"/>
  <w:hyphenationZone w:val="360"/>
  <w:drawingGridVerticalSpacing w:val="220"/>
  <w:displayHorizontalDrawingGridEvery w:val="1"/>
  <w:displayVerticalDrawingGridEvery w:val="1"/>
  <w:noPunctuationKerning w:val="1"/>
  <w:characterSpacingControl w:val="compressPunctuation"/>
  <w:hdrShapeDefaults>
    <o:shapelayout v:ext="edit">
      <o:idmap v:ext="edit" data="2"/>
    </o:shapelayout>
  </w:hdrShapeDefaults>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A5288"/>
    <w:rsid w:val="00201F37"/>
    <w:rsid w:val="002038FF"/>
    <w:rsid w:val="00262E2F"/>
    <w:rsid w:val="002B07C0"/>
    <w:rsid w:val="00334C75"/>
    <w:rsid w:val="003D216F"/>
    <w:rsid w:val="003F60FC"/>
    <w:rsid w:val="004268F8"/>
    <w:rsid w:val="004B5F08"/>
    <w:rsid w:val="00507513"/>
    <w:rsid w:val="005F17CF"/>
    <w:rsid w:val="00613316"/>
    <w:rsid w:val="00774B11"/>
    <w:rsid w:val="007C08F0"/>
    <w:rsid w:val="00845909"/>
    <w:rsid w:val="00867030"/>
    <w:rsid w:val="00977F99"/>
    <w:rsid w:val="0099068B"/>
    <w:rsid w:val="00A03209"/>
    <w:rsid w:val="00A37D6E"/>
    <w:rsid w:val="00AA3883"/>
    <w:rsid w:val="00AB0B5F"/>
    <w:rsid w:val="00AF77B5"/>
    <w:rsid w:val="00D5363B"/>
    <w:rsid w:val="00D92FCF"/>
    <w:rsid w:val="00DC74B9"/>
    <w:rsid w:val="00E8376B"/>
    <w:rsid w:val="00E867B1"/>
    <w:rsid w:val="00FE1B26"/>
    <w:rsid w:val="015622E3"/>
    <w:rsid w:val="02834A72"/>
    <w:rsid w:val="029653A1"/>
    <w:rsid w:val="02BC18D7"/>
    <w:rsid w:val="02F84202"/>
    <w:rsid w:val="035E1E8C"/>
    <w:rsid w:val="03C167F6"/>
    <w:rsid w:val="044741DA"/>
    <w:rsid w:val="04A12412"/>
    <w:rsid w:val="04E30F2F"/>
    <w:rsid w:val="05412420"/>
    <w:rsid w:val="05B30DC9"/>
    <w:rsid w:val="05BF1090"/>
    <w:rsid w:val="05CB6719"/>
    <w:rsid w:val="05CD2EAE"/>
    <w:rsid w:val="060D4941"/>
    <w:rsid w:val="06395922"/>
    <w:rsid w:val="06F5015B"/>
    <w:rsid w:val="082516B7"/>
    <w:rsid w:val="089E695E"/>
    <w:rsid w:val="08FD7407"/>
    <w:rsid w:val="094F765E"/>
    <w:rsid w:val="09C9001A"/>
    <w:rsid w:val="0A372752"/>
    <w:rsid w:val="0A425B59"/>
    <w:rsid w:val="0A51102E"/>
    <w:rsid w:val="0B383BB4"/>
    <w:rsid w:val="0B70211A"/>
    <w:rsid w:val="0CB2283B"/>
    <w:rsid w:val="0D55096F"/>
    <w:rsid w:val="0D854813"/>
    <w:rsid w:val="0DCD62DE"/>
    <w:rsid w:val="0DE15C68"/>
    <w:rsid w:val="0EB6465E"/>
    <w:rsid w:val="0F1F0D0F"/>
    <w:rsid w:val="10266F74"/>
    <w:rsid w:val="10766A32"/>
    <w:rsid w:val="10B8780B"/>
    <w:rsid w:val="118B1AA1"/>
    <w:rsid w:val="12855C0C"/>
    <w:rsid w:val="12C2343A"/>
    <w:rsid w:val="12E97286"/>
    <w:rsid w:val="12F91B72"/>
    <w:rsid w:val="132B4DA8"/>
    <w:rsid w:val="14806E29"/>
    <w:rsid w:val="14D10F94"/>
    <w:rsid w:val="14E60F42"/>
    <w:rsid w:val="15175F1C"/>
    <w:rsid w:val="1580503C"/>
    <w:rsid w:val="15E428A0"/>
    <w:rsid w:val="163D1067"/>
    <w:rsid w:val="164108D2"/>
    <w:rsid w:val="16D62DE7"/>
    <w:rsid w:val="172A3879"/>
    <w:rsid w:val="17395D77"/>
    <w:rsid w:val="17495A4C"/>
    <w:rsid w:val="1818623A"/>
    <w:rsid w:val="18714539"/>
    <w:rsid w:val="18CD13B4"/>
    <w:rsid w:val="196D1144"/>
    <w:rsid w:val="1A253282"/>
    <w:rsid w:val="1A2A3703"/>
    <w:rsid w:val="1AB92138"/>
    <w:rsid w:val="1B086B44"/>
    <w:rsid w:val="1B682968"/>
    <w:rsid w:val="1B8821BA"/>
    <w:rsid w:val="1BF957B5"/>
    <w:rsid w:val="1C263844"/>
    <w:rsid w:val="1C3943C7"/>
    <w:rsid w:val="1CB755B1"/>
    <w:rsid w:val="1CD56B51"/>
    <w:rsid w:val="1CF25801"/>
    <w:rsid w:val="1D0046CA"/>
    <w:rsid w:val="1D0D338B"/>
    <w:rsid w:val="1D1E53FB"/>
    <w:rsid w:val="1D2B51B3"/>
    <w:rsid w:val="1D454E03"/>
    <w:rsid w:val="1D455EED"/>
    <w:rsid w:val="1D627DE9"/>
    <w:rsid w:val="1EBC5ACA"/>
    <w:rsid w:val="1ED823C1"/>
    <w:rsid w:val="1EEB40DF"/>
    <w:rsid w:val="1F6017EC"/>
    <w:rsid w:val="1FE1229D"/>
    <w:rsid w:val="20047024"/>
    <w:rsid w:val="20A13D58"/>
    <w:rsid w:val="20A82C9A"/>
    <w:rsid w:val="20AB576F"/>
    <w:rsid w:val="211F1ED0"/>
    <w:rsid w:val="212D5FED"/>
    <w:rsid w:val="21317F2E"/>
    <w:rsid w:val="21421878"/>
    <w:rsid w:val="221C1AA1"/>
    <w:rsid w:val="223935AC"/>
    <w:rsid w:val="22C67E51"/>
    <w:rsid w:val="2343776F"/>
    <w:rsid w:val="246D7581"/>
    <w:rsid w:val="24742B81"/>
    <w:rsid w:val="25602E2F"/>
    <w:rsid w:val="259D5E2A"/>
    <w:rsid w:val="26360C0A"/>
    <w:rsid w:val="264D3017"/>
    <w:rsid w:val="268C6B89"/>
    <w:rsid w:val="26EA363F"/>
    <w:rsid w:val="272A4522"/>
    <w:rsid w:val="27705B8F"/>
    <w:rsid w:val="28245501"/>
    <w:rsid w:val="286E4DEF"/>
    <w:rsid w:val="28D34CF5"/>
    <w:rsid w:val="297B1D24"/>
    <w:rsid w:val="2B030ECA"/>
    <w:rsid w:val="2B271FF8"/>
    <w:rsid w:val="2B7F72CB"/>
    <w:rsid w:val="2B98564D"/>
    <w:rsid w:val="2BA07020"/>
    <w:rsid w:val="2BBB63E0"/>
    <w:rsid w:val="2C205DC1"/>
    <w:rsid w:val="2C5F4334"/>
    <w:rsid w:val="2D1A10DA"/>
    <w:rsid w:val="2DBB39A9"/>
    <w:rsid w:val="2E761A77"/>
    <w:rsid w:val="2EB07FB1"/>
    <w:rsid w:val="2F2E07B8"/>
    <w:rsid w:val="3061362C"/>
    <w:rsid w:val="30A53303"/>
    <w:rsid w:val="311323B9"/>
    <w:rsid w:val="311D5D13"/>
    <w:rsid w:val="31333F28"/>
    <w:rsid w:val="3162580D"/>
    <w:rsid w:val="31773B5B"/>
    <w:rsid w:val="31EF6F01"/>
    <w:rsid w:val="32E02D19"/>
    <w:rsid w:val="33870782"/>
    <w:rsid w:val="33B43986"/>
    <w:rsid w:val="33DB3554"/>
    <w:rsid w:val="340013E9"/>
    <w:rsid w:val="34225A23"/>
    <w:rsid w:val="344650B1"/>
    <w:rsid w:val="34A12DC2"/>
    <w:rsid w:val="355B55B3"/>
    <w:rsid w:val="357E6104"/>
    <w:rsid w:val="359678C9"/>
    <w:rsid w:val="35C15A46"/>
    <w:rsid w:val="35DE77E2"/>
    <w:rsid w:val="35E63470"/>
    <w:rsid w:val="362B06AC"/>
    <w:rsid w:val="36301896"/>
    <w:rsid w:val="36C60F98"/>
    <w:rsid w:val="36F91992"/>
    <w:rsid w:val="374A4436"/>
    <w:rsid w:val="3850628C"/>
    <w:rsid w:val="385C57DE"/>
    <w:rsid w:val="386D6896"/>
    <w:rsid w:val="38E75C60"/>
    <w:rsid w:val="39142BA2"/>
    <w:rsid w:val="393030DF"/>
    <w:rsid w:val="39701CFF"/>
    <w:rsid w:val="39CC72E2"/>
    <w:rsid w:val="39D75F0E"/>
    <w:rsid w:val="39E77E91"/>
    <w:rsid w:val="3AB66C4F"/>
    <w:rsid w:val="3AC7092A"/>
    <w:rsid w:val="3B17605D"/>
    <w:rsid w:val="3B3B40D4"/>
    <w:rsid w:val="3B607919"/>
    <w:rsid w:val="3BAD2196"/>
    <w:rsid w:val="3C927540"/>
    <w:rsid w:val="3C956B5C"/>
    <w:rsid w:val="3D4050A4"/>
    <w:rsid w:val="3E4563E8"/>
    <w:rsid w:val="3E5C3340"/>
    <w:rsid w:val="3EBB2CD3"/>
    <w:rsid w:val="3EC8105C"/>
    <w:rsid w:val="3ECB364C"/>
    <w:rsid w:val="3F1F754D"/>
    <w:rsid w:val="3F550B03"/>
    <w:rsid w:val="3F7769CB"/>
    <w:rsid w:val="3FA219EC"/>
    <w:rsid w:val="3FD572C4"/>
    <w:rsid w:val="3FE25A38"/>
    <w:rsid w:val="400B60AE"/>
    <w:rsid w:val="401A748C"/>
    <w:rsid w:val="403768E5"/>
    <w:rsid w:val="40400F07"/>
    <w:rsid w:val="404104F9"/>
    <w:rsid w:val="40BC5BAE"/>
    <w:rsid w:val="40E335C1"/>
    <w:rsid w:val="4219562A"/>
    <w:rsid w:val="42C1560E"/>
    <w:rsid w:val="42E3496B"/>
    <w:rsid w:val="42F425C9"/>
    <w:rsid w:val="431752B6"/>
    <w:rsid w:val="436D27E7"/>
    <w:rsid w:val="43A76324"/>
    <w:rsid w:val="43B17500"/>
    <w:rsid w:val="43EA6911"/>
    <w:rsid w:val="44634022"/>
    <w:rsid w:val="44BA37A1"/>
    <w:rsid w:val="455C659B"/>
    <w:rsid w:val="45B419E7"/>
    <w:rsid w:val="45D81DA4"/>
    <w:rsid w:val="45E95AF5"/>
    <w:rsid w:val="4625544D"/>
    <w:rsid w:val="46447A9B"/>
    <w:rsid w:val="467667B3"/>
    <w:rsid w:val="469161D0"/>
    <w:rsid w:val="46DC52A9"/>
    <w:rsid w:val="472F5EEB"/>
    <w:rsid w:val="47CE56FE"/>
    <w:rsid w:val="482D1F5A"/>
    <w:rsid w:val="48642FC4"/>
    <w:rsid w:val="48757997"/>
    <w:rsid w:val="48B03407"/>
    <w:rsid w:val="48CB7226"/>
    <w:rsid w:val="48FB110D"/>
    <w:rsid w:val="49645893"/>
    <w:rsid w:val="49D55C6D"/>
    <w:rsid w:val="4A2409E6"/>
    <w:rsid w:val="4A2442C5"/>
    <w:rsid w:val="4A317C5F"/>
    <w:rsid w:val="4A5979AD"/>
    <w:rsid w:val="4AA95092"/>
    <w:rsid w:val="4B2F46B6"/>
    <w:rsid w:val="4BF67DA7"/>
    <w:rsid w:val="4BF845EE"/>
    <w:rsid w:val="4C270334"/>
    <w:rsid w:val="4C5F5E7D"/>
    <w:rsid w:val="4C6D19AC"/>
    <w:rsid w:val="4CC44E20"/>
    <w:rsid w:val="4D5C0172"/>
    <w:rsid w:val="4D8A4CD1"/>
    <w:rsid w:val="4EBD1425"/>
    <w:rsid w:val="4F460E7D"/>
    <w:rsid w:val="507228C9"/>
    <w:rsid w:val="50B6780E"/>
    <w:rsid w:val="52BC48B0"/>
    <w:rsid w:val="52E64F13"/>
    <w:rsid w:val="538551B7"/>
    <w:rsid w:val="53B97C1E"/>
    <w:rsid w:val="53E81B0F"/>
    <w:rsid w:val="54783855"/>
    <w:rsid w:val="54B60458"/>
    <w:rsid w:val="54FB625D"/>
    <w:rsid w:val="55624125"/>
    <w:rsid w:val="568F0C89"/>
    <w:rsid w:val="568F3DC1"/>
    <w:rsid w:val="5699210B"/>
    <w:rsid w:val="56C05837"/>
    <w:rsid w:val="56F43971"/>
    <w:rsid w:val="572142C3"/>
    <w:rsid w:val="573568B4"/>
    <w:rsid w:val="57567E13"/>
    <w:rsid w:val="579E28DB"/>
    <w:rsid w:val="57A115A1"/>
    <w:rsid w:val="58396341"/>
    <w:rsid w:val="586A6566"/>
    <w:rsid w:val="58AB1720"/>
    <w:rsid w:val="58E2356A"/>
    <w:rsid w:val="594C2D0D"/>
    <w:rsid w:val="5A9102A6"/>
    <w:rsid w:val="5B486A0F"/>
    <w:rsid w:val="5BFA25FB"/>
    <w:rsid w:val="5BFB2278"/>
    <w:rsid w:val="5D343405"/>
    <w:rsid w:val="5DDF1DE9"/>
    <w:rsid w:val="5E3C22D6"/>
    <w:rsid w:val="5FCA51AB"/>
    <w:rsid w:val="5FEB3D8F"/>
    <w:rsid w:val="603E75C4"/>
    <w:rsid w:val="60F578F1"/>
    <w:rsid w:val="60F809FB"/>
    <w:rsid w:val="628E2DAE"/>
    <w:rsid w:val="629E66E7"/>
    <w:rsid w:val="62BE4A5E"/>
    <w:rsid w:val="62C301A9"/>
    <w:rsid w:val="6335412B"/>
    <w:rsid w:val="635D5DA8"/>
    <w:rsid w:val="639F2DB5"/>
    <w:rsid w:val="63AF2BE5"/>
    <w:rsid w:val="63C600C0"/>
    <w:rsid w:val="647124AD"/>
    <w:rsid w:val="64DB327A"/>
    <w:rsid w:val="64E22A3B"/>
    <w:rsid w:val="655F1A2B"/>
    <w:rsid w:val="661830C4"/>
    <w:rsid w:val="661D1837"/>
    <w:rsid w:val="668600A6"/>
    <w:rsid w:val="66B100C2"/>
    <w:rsid w:val="67191E9B"/>
    <w:rsid w:val="679D0A8D"/>
    <w:rsid w:val="67B4414A"/>
    <w:rsid w:val="688E6C2F"/>
    <w:rsid w:val="690E523D"/>
    <w:rsid w:val="69D810F3"/>
    <w:rsid w:val="6A332249"/>
    <w:rsid w:val="6AD51678"/>
    <w:rsid w:val="6AEB34A6"/>
    <w:rsid w:val="6C9D4629"/>
    <w:rsid w:val="6CEE1365"/>
    <w:rsid w:val="6D3014A3"/>
    <w:rsid w:val="6D7E3A53"/>
    <w:rsid w:val="6D875448"/>
    <w:rsid w:val="6DDC38A4"/>
    <w:rsid w:val="6DF24642"/>
    <w:rsid w:val="6E3C4307"/>
    <w:rsid w:val="6ECD31BB"/>
    <w:rsid w:val="6F6B4593"/>
    <w:rsid w:val="701120B5"/>
    <w:rsid w:val="70150EF7"/>
    <w:rsid w:val="70355790"/>
    <w:rsid w:val="70E46AD1"/>
    <w:rsid w:val="716B1B77"/>
    <w:rsid w:val="71837B47"/>
    <w:rsid w:val="723E4C23"/>
    <w:rsid w:val="73116136"/>
    <w:rsid w:val="739259A7"/>
    <w:rsid w:val="742741E7"/>
    <w:rsid w:val="74B64477"/>
    <w:rsid w:val="75015B43"/>
    <w:rsid w:val="752928B5"/>
    <w:rsid w:val="75292B69"/>
    <w:rsid w:val="7552473D"/>
    <w:rsid w:val="75727BF3"/>
    <w:rsid w:val="75BD6346"/>
    <w:rsid w:val="75CA2C88"/>
    <w:rsid w:val="75CF26AB"/>
    <w:rsid w:val="76125F02"/>
    <w:rsid w:val="765B1386"/>
    <w:rsid w:val="766B0AA0"/>
    <w:rsid w:val="76CE65F7"/>
    <w:rsid w:val="779C4054"/>
    <w:rsid w:val="77DD2734"/>
    <w:rsid w:val="780D582C"/>
    <w:rsid w:val="78263477"/>
    <w:rsid w:val="789528F4"/>
    <w:rsid w:val="7A41175E"/>
    <w:rsid w:val="7B333798"/>
    <w:rsid w:val="7BA63064"/>
    <w:rsid w:val="7BC25170"/>
    <w:rsid w:val="7BD45209"/>
    <w:rsid w:val="7C2A5F78"/>
    <w:rsid w:val="7C3E61A7"/>
    <w:rsid w:val="7C62193F"/>
    <w:rsid w:val="7C9C0F82"/>
    <w:rsid w:val="7CC62646"/>
    <w:rsid w:val="7E102E20"/>
    <w:rsid w:val="7E1A5E3E"/>
    <w:rsid w:val="7EB17EB2"/>
    <w:rsid w:val="7EB4618D"/>
    <w:rsid w:val="7EF42312"/>
    <w:rsid w:val="7F061AE9"/>
    <w:rsid w:val="7F152538"/>
    <w:rsid w:val="7F795DBA"/>
    <w:rsid w:val="7F840509"/>
    <w:rsid w:val="7FF6442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qFormat="1" w:uiPriority="99"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kern w:val="2"/>
      <w:sz w:val="32"/>
      <w:szCs w:val="24"/>
      <w:lang w:val="en-US" w:eastAsia="zh-CN" w:bidi="ar-SA"/>
    </w:rPr>
  </w:style>
  <w:style w:type="paragraph" w:styleId="5">
    <w:name w:val="heading 2"/>
    <w:basedOn w:val="1"/>
    <w:next w:val="1"/>
    <w:qFormat/>
    <w:uiPriority w:val="0"/>
    <w:pPr>
      <w:keepNext/>
      <w:jc w:val="center"/>
      <w:outlineLvl w:val="1"/>
    </w:pPr>
    <w:rPr>
      <w:b/>
      <w:bCs/>
      <w:color w:val="FFFFFF"/>
      <w:sz w:val="48"/>
    </w:rPr>
  </w:style>
  <w:style w:type="character" w:default="1" w:styleId="16">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styleId="2">
    <w:name w:val="Body Text First Indent"/>
    <w:basedOn w:val="3"/>
    <w:next w:val="3"/>
    <w:qFormat/>
    <w:uiPriority w:val="0"/>
    <w:pPr>
      <w:ind w:firstLine="420" w:firstLineChars="100"/>
    </w:pPr>
  </w:style>
  <w:style w:type="paragraph" w:styleId="3">
    <w:name w:val="Body Text"/>
    <w:basedOn w:val="1"/>
    <w:next w:val="4"/>
    <w:unhideWhenUsed/>
    <w:qFormat/>
    <w:uiPriority w:val="1"/>
    <w:pPr>
      <w:spacing w:beforeLines="0" w:afterLines="0"/>
      <w:ind w:left="116"/>
    </w:pPr>
    <w:rPr>
      <w:rFonts w:hint="eastAsia" w:ascii="宋体" w:hAnsi="宋体" w:eastAsia="宋体"/>
      <w:sz w:val="33"/>
    </w:rPr>
  </w:style>
  <w:style w:type="paragraph" w:styleId="4">
    <w:name w:val="toc 5"/>
    <w:basedOn w:val="1"/>
    <w:next w:val="1"/>
    <w:unhideWhenUsed/>
    <w:qFormat/>
    <w:uiPriority w:val="39"/>
    <w:pPr>
      <w:ind w:left="1680" w:leftChars="800"/>
    </w:pPr>
  </w:style>
  <w:style w:type="paragraph" w:styleId="6">
    <w:name w:val="Normal Indent"/>
    <w:basedOn w:val="1"/>
    <w:next w:val="7"/>
    <w:unhideWhenUsed/>
    <w:qFormat/>
    <w:uiPriority w:val="99"/>
    <w:pPr>
      <w:spacing w:before="50" w:beforeLines="50" w:afterLines="0" w:line="360" w:lineRule="auto"/>
      <w:ind w:firstLine="200" w:firstLineChars="200"/>
    </w:pPr>
    <w:rPr>
      <w:rFonts w:hint="default"/>
      <w:sz w:val="24"/>
      <w:szCs w:val="20"/>
    </w:rPr>
  </w:style>
  <w:style w:type="paragraph" w:styleId="7">
    <w:name w:val="toc 4"/>
    <w:basedOn w:val="1"/>
    <w:next w:val="1"/>
    <w:unhideWhenUsed/>
    <w:qFormat/>
    <w:uiPriority w:val="99"/>
    <w:pPr>
      <w:wordWrap w:val="0"/>
      <w:spacing w:beforeLines="0" w:afterLines="0"/>
      <w:ind w:left="850"/>
    </w:pPr>
    <w:rPr>
      <w:rFonts w:hint="default" w:ascii="Calibri" w:hAnsi="Calibri" w:cs="黑体"/>
      <w:sz w:val="21"/>
      <w:szCs w:val="22"/>
    </w:rPr>
  </w:style>
  <w:style w:type="paragraph" w:styleId="8">
    <w:name w:val="annotation text"/>
    <w:basedOn w:val="1"/>
    <w:uiPriority w:val="0"/>
    <w:pPr>
      <w:jc w:val="left"/>
    </w:pPr>
  </w:style>
  <w:style w:type="paragraph" w:styleId="9">
    <w:name w:val="footer"/>
    <w:basedOn w:val="1"/>
    <w:unhideWhenUsed/>
    <w:uiPriority w:val="0"/>
    <w:pPr>
      <w:tabs>
        <w:tab w:val="center" w:pos="4153"/>
        <w:tab w:val="right" w:pos="8306"/>
      </w:tabs>
      <w:snapToGrid w:val="0"/>
      <w:spacing w:beforeLines="0" w:afterLines="0"/>
      <w:jc w:val="left"/>
    </w:pPr>
    <w:rPr>
      <w:rFonts w:hint="default"/>
      <w:sz w:val="18"/>
      <w:szCs w:val="24"/>
    </w:rPr>
  </w:style>
  <w:style w:type="paragraph" w:styleId="10">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footnote text"/>
    <w:basedOn w:val="1"/>
    <w:uiPriority w:val="0"/>
    <w:pPr>
      <w:snapToGrid w:val="0"/>
      <w:jc w:val="left"/>
    </w:pPr>
    <w:rPr>
      <w:sz w:val="18"/>
    </w:rPr>
  </w:style>
  <w:style w:type="paragraph" w:styleId="12">
    <w:name w:val="toc 2"/>
    <w:basedOn w:val="1"/>
    <w:next w:val="1"/>
    <w:qFormat/>
    <w:uiPriority w:val="39"/>
    <w:pPr>
      <w:ind w:left="420" w:leftChars="200"/>
    </w:p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Title"/>
    <w:basedOn w:val="1"/>
    <w:next w:val="1"/>
    <w:qFormat/>
    <w:uiPriority w:val="0"/>
    <w:pPr>
      <w:widowControl w:val="0"/>
      <w:spacing w:before="240" w:after="60"/>
      <w:jc w:val="center"/>
      <w:outlineLvl w:val="0"/>
    </w:pPr>
    <w:rPr>
      <w:rFonts w:ascii="Cambria" w:hAnsi="Cambria" w:eastAsia="仿宋_GB2312" w:cs="Times New Roman"/>
      <w:b/>
      <w:bCs/>
      <w:kern w:val="2"/>
      <w:sz w:val="32"/>
      <w:szCs w:val="32"/>
      <w:lang w:val="en-US" w:eastAsia="zh-CN" w:bidi="ar-SA"/>
    </w:rPr>
  </w:style>
  <w:style w:type="character" w:styleId="17">
    <w:name w:val="Emphasis"/>
    <w:qFormat/>
    <w:uiPriority w:val="0"/>
    <w:rPr>
      <w:i/>
    </w:rPr>
  </w:style>
  <w:style w:type="character" w:styleId="18">
    <w:name w:val="footnote reference"/>
    <w:basedOn w:val="16"/>
    <w:uiPriority w:val="0"/>
    <w:rPr>
      <w:vertAlign w:val="superscript"/>
    </w:rPr>
  </w:style>
  <w:style w:type="character" w:customStyle="1" w:styleId="19">
    <w:name w:val="fontstyle21"/>
    <w:qFormat/>
    <w:uiPriority w:val="0"/>
    <w:rPr>
      <w:rFonts w:hint="eastAsia" w:ascii="仿宋_GB2312" w:eastAsia="仿宋_GB2312"/>
      <w:color w:val="000000"/>
      <w:sz w:val="32"/>
      <w:szCs w:val="32"/>
    </w:rPr>
  </w:style>
  <w:style w:type="paragraph" w:customStyle="1" w:styleId="20">
    <w:name w:val="正文 New New New New New New New New New"/>
    <w:unhideWhenUsed/>
    <w:qFormat/>
    <w:uiPriority w:val="0"/>
    <w:pPr>
      <w:widowControl w:val="0"/>
      <w:jc w:val="both"/>
    </w:pPr>
    <w:rPr>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1248</Words>
  <Characters>7119</Characters>
  <Lines>59</Lines>
  <Paragraphs>16</Paragraphs>
  <TotalTime>16</TotalTime>
  <ScaleCrop>false</ScaleCrop>
  <LinksUpToDate>false</LinksUpToDate>
  <CharactersWithSpaces>8351</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dc:creator>
  <cp:lastModifiedBy>hp</cp:lastModifiedBy>
  <dcterms:modified xsi:type="dcterms:W3CDTF">2025-03-19T08:31:51Z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268116D8F18A455188E23E20CAC23ACA_13</vt:lpwstr>
  </property>
</Properties>
</file>