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ind w:right="-156" w:hanging="180"/>
        <w:jc w:val="center"/>
        <w:rPr>
          <w:rFonts w:ascii="公文小标宋简" w:eastAsia="公文小标宋简"/>
          <w:b/>
          <w:bCs/>
          <w:smallCaps/>
          <w:snapToGrid w:val="0"/>
          <w:color w:val="000000" w:themeColor="text1"/>
          <w:spacing w:val="56"/>
          <w:kern w:val="0"/>
          <w:sz w:val="72"/>
          <w:szCs w:val="72"/>
          <w14:textFill>
            <w14:solidFill>
              <w14:schemeClr w14:val="tx1"/>
            </w14:solidFill>
          </w14:textFill>
        </w:rPr>
      </w:pPr>
    </w:p>
    <w:p>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000000" w:themeColor="text1"/>
          <w14:textFill>
            <w14:solidFill>
              <w14:schemeClr w14:val="tx1"/>
            </w14:solidFill>
          </w14:textFill>
        </w:rPr>
      </w:pPr>
      <w:r>
        <w:rPr>
          <w:rFonts w:hint="eastAsia" w:ascii="仿宋_GB2312"/>
          <w:color w:val="000000" w:themeColor="text1"/>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穗环管影（番）〔202</w:t>
      </w:r>
      <w:r>
        <w:rPr>
          <w:rFonts w:hint="eastAsia" w:ascii="仿宋_GB2312" w:eastAsia="仿宋_GB2312"/>
          <w:color w:val="000000" w:themeColor="text1"/>
          <w:sz w:val="32"/>
          <w:szCs w:val="32"/>
          <w:lang w:val="en-US" w:eastAsia="zh-CN"/>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21</w:t>
      </w:r>
      <w:r>
        <w:rPr>
          <w:rFonts w:hint="eastAsia" w:ascii="仿宋_GB2312" w:eastAsia="仿宋_GB2312"/>
          <w:color w:val="000000" w:themeColor="text1"/>
          <w:sz w:val="32"/>
          <w:szCs w:val="32"/>
          <w14:textFill>
            <w14:solidFill>
              <w14:schemeClr w14:val="tx1"/>
            </w14:solidFill>
          </w14:textFill>
        </w:rPr>
        <w:t>号</w:t>
      </w:r>
    </w:p>
    <w:p>
      <w:pPr>
        <w:keepNext w:val="0"/>
        <w:keepLines w:val="0"/>
        <w:pageBreakBefore w:val="0"/>
        <w:kinsoku/>
        <w:overflowPunct/>
        <w:topLinePunct w:val="0"/>
        <w:autoSpaceDE/>
        <w:autoSpaceDN/>
        <w:bidi w:val="0"/>
        <w:spacing w:line="560" w:lineRule="exact"/>
        <w:textAlignment w:val="auto"/>
        <w:rPr>
          <w:rFonts w:ascii="黑体" w:eastAsia="黑体"/>
          <w:color w:val="000000" w:themeColor="text1"/>
          <w14:textFill>
            <w14:solidFill>
              <w14:schemeClr w14:val="tx1"/>
            </w14:solidFill>
          </w14:textFill>
        </w:rPr>
      </w:pPr>
    </w:p>
    <w:p>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000000" w:themeColor="text1"/>
          <w14:textFill>
            <w14:solidFill>
              <w14:schemeClr w14:val="tx1"/>
            </w14:solidFill>
          </w14:textFill>
        </w:rPr>
      </w:pPr>
    </w:p>
    <w:p>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000000" w:themeColor="text1"/>
          <w:sz w:val="44"/>
          <w:szCs w:val="44"/>
          <w14:textFill>
            <w14:solidFill>
              <w14:schemeClr w14:val="tx1"/>
            </w14:solidFill>
          </w14:textFill>
        </w:rPr>
      </w:pPr>
      <w:r>
        <w:rPr>
          <w:rFonts w:hint="eastAsia" w:ascii="方正小标宋简体" w:eastAsia="方正小标宋简体"/>
          <w:color w:val="000000" w:themeColor="text1"/>
          <w:sz w:val="44"/>
          <w:szCs w:val="44"/>
          <w14:textFill>
            <w14:solidFill>
              <w14:schemeClr w14:val="tx1"/>
            </w14:solidFill>
          </w14:textFill>
        </w:rPr>
        <w:t>广州市生态环境局关于</w:t>
      </w:r>
      <w:bookmarkStart w:id="0" w:name="OLE_LINK1"/>
      <w:r>
        <w:rPr>
          <w:rFonts w:hint="eastAsia" w:ascii="方正小标宋简体" w:eastAsia="方正小标宋简体"/>
          <w:color w:val="000000" w:themeColor="text1"/>
          <w:sz w:val="44"/>
          <w:szCs w:val="44"/>
          <w14:textFill>
            <w14:solidFill>
              <w14:schemeClr w14:val="tx1"/>
            </w14:solidFill>
          </w14:textFill>
        </w:rPr>
        <w:t>广州橙子厨房用品有限公司</w:t>
      </w:r>
      <w:bookmarkEnd w:id="0"/>
      <w:r>
        <w:rPr>
          <w:rFonts w:hint="eastAsia" w:ascii="方正小标宋简体" w:eastAsia="方正小标宋简体"/>
          <w:color w:val="000000" w:themeColor="text1"/>
          <w:sz w:val="44"/>
          <w:szCs w:val="44"/>
          <w14:textFill>
            <w14:solidFill>
              <w14:schemeClr w14:val="tx1"/>
            </w14:solidFill>
          </w14:textFill>
        </w:rPr>
        <w:t>年产500t塑料制品建设项目环境影响</w:t>
      </w:r>
    </w:p>
    <w:p>
      <w:pPr>
        <w:keepNext w:val="0"/>
        <w:keepLines w:val="0"/>
        <w:pageBreakBefore w:val="0"/>
        <w:kinsoku/>
        <w:overflowPunct/>
        <w:topLinePunct w:val="0"/>
        <w:autoSpaceDE/>
        <w:autoSpaceDN/>
        <w:bidi w:val="0"/>
        <w:spacing w:line="560" w:lineRule="exact"/>
        <w:jc w:val="center"/>
        <w:textAlignment w:val="auto"/>
        <w:rPr>
          <w:rFonts w:ascii="方正小标宋简体" w:eastAsia="方正小标宋简体"/>
          <w:color w:val="000000" w:themeColor="text1"/>
          <w:sz w:val="44"/>
          <w:szCs w:val="44"/>
          <w14:textFill>
            <w14:solidFill>
              <w14:schemeClr w14:val="tx1"/>
            </w14:solidFill>
          </w14:textFill>
        </w:rPr>
      </w:pPr>
      <w:r>
        <w:rPr>
          <w:rFonts w:hint="eastAsia" w:ascii="方正小标宋简体" w:eastAsia="方正小标宋简体"/>
          <w:color w:val="000000" w:themeColor="text1"/>
          <w:sz w:val="44"/>
          <w:szCs w:val="44"/>
          <w14:textFill>
            <w14:solidFill>
              <w14:schemeClr w14:val="tx1"/>
            </w14:solidFill>
          </w14:textFill>
        </w:rPr>
        <w:t>报告表的批复</w:t>
      </w: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bookmarkStart w:id="2" w:name="_GoBack"/>
      <w:bookmarkEnd w:id="2"/>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广州橙子厨房用品有限公司（91440113MADN594D5N）：</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你单位报送的《广州橙子厨房用品有限公司年产500t塑料制品建设项目环境影响报告表》（以下简称《报告表》）及附送资料收悉。经研究，现批复如下：</w:t>
      </w:r>
    </w:p>
    <w:p>
      <w:pPr>
        <w:keepNext w:val="0"/>
        <w:keepLines w:val="0"/>
        <w:pageBreakBefore w:val="0"/>
        <w:kinsoku/>
        <w:overflowPunct/>
        <w:topLinePunct w:val="0"/>
        <w:autoSpaceDE/>
        <w:autoSpaceDN/>
        <w:bidi w:val="0"/>
        <w:spacing w:line="560" w:lineRule="exact"/>
        <w:ind w:firstLine="640" w:firstLineChars="200"/>
        <w:textAlignment w:val="auto"/>
        <w:rPr>
          <w:rFonts w:hint="default"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w:t>
      </w:r>
      <w:bookmarkStart w:id="1" w:name="OLE_LINK2"/>
      <w:r>
        <w:rPr>
          <w:rFonts w:hint="eastAsia" w:ascii="仿宋_GB2312" w:eastAsia="仿宋_GB2312"/>
          <w:color w:val="000000" w:themeColor="text1"/>
          <w:sz w:val="32"/>
          <w:szCs w:val="32"/>
          <w14:textFill>
            <w14:solidFill>
              <w14:schemeClr w14:val="tx1"/>
            </w14:solidFill>
          </w14:textFill>
        </w:rPr>
        <w:t>广州橙子厨房用品有限公司年产500t塑料制品建设项目（以下简称“该项目”）位于广州市番禺区沙头街南双玉村南山工业区1区A栋106，申报内容为从事塑料制品的生产</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年产刮板30万个、量杯60万个、保鲜盒30万个、冷水壶2.5万个、份数盘15万个、挤酱瓶20万个、食品铲15万个、PP棒2.5万米</w:t>
      </w:r>
      <w:r>
        <w:rPr>
          <w:rFonts w:hint="eastAsia" w:ascii="仿宋_GB2312" w:eastAsia="仿宋_GB2312"/>
          <w:color w:val="000000" w:themeColor="text1"/>
          <w:sz w:val="32"/>
          <w:szCs w:val="32"/>
          <w14:textFill>
            <w14:solidFill>
              <w14:schemeClr w14:val="tx1"/>
            </w14:solidFill>
          </w14:textFill>
        </w:rPr>
        <w:t>。该项目</w:t>
      </w:r>
      <w:r>
        <w:rPr>
          <w:rFonts w:hint="eastAsia" w:ascii="仿宋_GB2312" w:eastAsia="仿宋_GB2312"/>
          <w:color w:val="000000" w:themeColor="text1"/>
          <w:sz w:val="32"/>
          <w:szCs w:val="32"/>
          <w:lang w:val="en-US" w:eastAsia="zh-CN"/>
          <w14:textFill>
            <w14:solidFill>
              <w14:schemeClr w14:val="tx1"/>
            </w14:solidFill>
          </w14:textFill>
        </w:rPr>
        <w:t>总</w:t>
      </w:r>
      <w:r>
        <w:rPr>
          <w:rFonts w:hint="eastAsia" w:ascii="仿宋_GB2312" w:eastAsia="仿宋_GB2312"/>
          <w:color w:val="000000" w:themeColor="text1"/>
          <w:sz w:val="32"/>
          <w:szCs w:val="32"/>
          <w14:textFill>
            <w14:solidFill>
              <w14:schemeClr w14:val="tx1"/>
            </w14:solidFill>
          </w14:textFill>
        </w:rPr>
        <w:t>占地面积1000</w:t>
      </w:r>
      <w:r>
        <w:rPr>
          <w:rFonts w:hint="eastAsia" w:ascii="仿宋_GB2312" w:eastAsia="仿宋_GB2312"/>
          <w:color w:val="000000" w:themeColor="text1"/>
          <w:sz w:val="32"/>
          <w:szCs w:val="32"/>
          <w:lang w:val="en-US" w:eastAsia="zh-CN"/>
          <w14:textFill>
            <w14:solidFill>
              <w14:schemeClr w14:val="tx1"/>
            </w14:solidFill>
          </w14:textFill>
        </w:rPr>
        <w:t>平方米，</w:t>
      </w:r>
      <w:r>
        <w:rPr>
          <w:rFonts w:hint="eastAsia" w:ascii="仿宋_GB2312" w:eastAsia="仿宋_GB2312"/>
          <w:color w:val="000000" w:themeColor="text1"/>
          <w:sz w:val="32"/>
          <w:szCs w:val="32"/>
          <w14:textFill>
            <w14:solidFill>
              <w14:schemeClr w14:val="tx1"/>
            </w14:solidFill>
          </w14:textFill>
        </w:rPr>
        <w:t>建筑面积</w:t>
      </w:r>
      <w:r>
        <w:rPr>
          <w:rFonts w:hint="eastAsia" w:ascii="仿宋_GB2312" w:eastAsia="仿宋_GB2312"/>
          <w:color w:val="000000" w:themeColor="text1"/>
          <w:sz w:val="32"/>
          <w:szCs w:val="32"/>
          <w:lang w:val="en-US" w:eastAsia="zh-CN"/>
          <w14:textFill>
            <w14:solidFill>
              <w14:schemeClr w14:val="tx1"/>
            </w14:solidFill>
          </w14:textFill>
        </w:rPr>
        <w:t>1000</w:t>
      </w:r>
      <w:r>
        <w:rPr>
          <w:rFonts w:hint="eastAsia" w:ascii="仿宋_GB2312" w:eastAsia="仿宋_GB2312"/>
          <w:color w:val="000000" w:themeColor="text1"/>
          <w:sz w:val="32"/>
          <w:szCs w:val="32"/>
          <w14:textFill>
            <w14:solidFill>
              <w14:schemeClr w14:val="tx1"/>
            </w14:solidFill>
          </w14:textFill>
        </w:rPr>
        <w:t>平方米，</w:t>
      </w:r>
      <w:r>
        <w:rPr>
          <w:rFonts w:hint="eastAsia" w:ascii="仿宋_GB2312" w:eastAsia="仿宋_GB2312"/>
          <w:color w:val="000000" w:themeColor="text1"/>
          <w:sz w:val="32"/>
          <w:szCs w:val="32"/>
          <w:lang w:val="en-US" w:eastAsia="zh-CN"/>
          <w14:textFill>
            <w14:solidFill>
              <w14:schemeClr w14:val="tx1"/>
            </w14:solidFill>
          </w14:textFill>
        </w:rPr>
        <w:t>主要建筑物为1栋单层厂房</w:t>
      </w:r>
      <w:r>
        <w:rPr>
          <w:rFonts w:hint="eastAsia" w:ascii="仿宋_GB2312" w:eastAsia="仿宋_GB2312"/>
          <w:color w:val="000000" w:themeColor="text1"/>
          <w:sz w:val="32"/>
          <w:szCs w:val="32"/>
          <w14:textFill>
            <w14:solidFill>
              <w14:schemeClr w14:val="tx1"/>
            </w14:solidFill>
          </w14:textFill>
        </w:rPr>
        <w:t>；主要设备有</w:t>
      </w:r>
      <w:r>
        <w:rPr>
          <w:rFonts w:hint="eastAsia" w:ascii="仿宋_GB2312" w:eastAsia="仿宋_GB2312"/>
          <w:color w:val="000000" w:themeColor="text1"/>
          <w:sz w:val="32"/>
          <w:szCs w:val="32"/>
          <w:lang w:val="en-US" w:eastAsia="zh-CN"/>
          <w14:textFill>
            <w14:solidFill>
              <w14:schemeClr w14:val="tx1"/>
            </w14:solidFill>
          </w14:textFill>
        </w:rPr>
        <w:t>注塑机21台、吹瓶机1台、挤棒机1台、烘料机19台、混料机5台、破碎机5台、冷却塔1台、空压机1台、龙门吊2台等</w:t>
      </w:r>
      <w:r>
        <w:rPr>
          <w:rFonts w:hint="eastAsia" w:ascii="仿宋_GB2312" w:eastAsia="仿宋_GB2312"/>
          <w:color w:val="000000" w:themeColor="text1"/>
          <w:sz w:val="32"/>
          <w:szCs w:val="32"/>
          <w14:textFill>
            <w14:solidFill>
              <w14:schemeClr w14:val="tx1"/>
            </w14:solidFill>
          </w14:textFill>
        </w:rPr>
        <w:t>；员工</w:t>
      </w:r>
      <w:r>
        <w:rPr>
          <w:rFonts w:hint="eastAsia" w:ascii="仿宋_GB2312" w:eastAsia="仿宋_GB2312"/>
          <w:color w:val="000000" w:themeColor="text1"/>
          <w:sz w:val="32"/>
          <w:szCs w:val="32"/>
          <w:lang w:val="en-US" w:eastAsia="zh-CN"/>
          <w14:textFill>
            <w14:solidFill>
              <w14:schemeClr w14:val="tx1"/>
            </w14:solidFill>
          </w14:textFill>
        </w:rPr>
        <w:t>25</w:t>
      </w:r>
      <w:r>
        <w:rPr>
          <w:rFonts w:hint="eastAsia" w:ascii="仿宋_GB2312" w:eastAsia="仿宋_GB2312"/>
          <w:color w:val="000000" w:themeColor="text1"/>
          <w:sz w:val="32"/>
          <w:szCs w:val="32"/>
          <w14:textFill>
            <w14:solidFill>
              <w14:schemeClr w14:val="tx1"/>
            </w14:solidFill>
          </w14:textFill>
        </w:rPr>
        <w:t>名，内部不安排食宿。</w:t>
      </w:r>
      <w:r>
        <w:rPr>
          <w:rFonts w:hint="eastAsia" w:ascii="仿宋_GB2312" w:eastAsia="仿宋_GB2312"/>
          <w:color w:val="000000" w:themeColor="text1"/>
          <w:sz w:val="32"/>
          <w:szCs w:val="32"/>
          <w:lang w:val="en-US" w:eastAsia="zh-CN"/>
          <w14:textFill>
            <w14:solidFill>
              <w14:schemeClr w14:val="tx1"/>
            </w14:solidFill>
          </w14:textFill>
        </w:rPr>
        <w:t>该项目不使用再生塑料。</w:t>
      </w:r>
      <w:bookmarkEnd w:id="1"/>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按照《报告表》的评价结论，在落实各项环境保护措施后，该项目产生的污染物及不良环境影响能够得到有效控制，从环境保护角度，在现选址处建设可行。经审查，我局原则同意《报告表》评价结论。该项目应当按照《报告表》所述性质、规模、地点、生产工艺和环境保护措施进行建设。</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二、该项目各类污染物排放控制要求如下：</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一</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highlight w:val="none"/>
          <w:lang w:val="en-US" w:eastAsia="zh-CN"/>
          <w14:textFill>
            <w14:solidFill>
              <w14:schemeClr w14:val="tx1"/>
            </w14:solidFill>
          </w14:textFill>
        </w:rPr>
        <w:t>冷却废水排放执行广东省《水污染物排放限值》（DB44/26-2001）第二时段三级标准。冷却废水排放量不超过598t/a。</w:t>
      </w:r>
    </w:p>
    <w:p>
      <w:pPr>
        <w:keepNext w:val="0"/>
        <w:keepLines w:val="0"/>
        <w:pageBreakBefore w:val="0"/>
        <w:kinsoku/>
        <w:overflowPunct/>
        <w:topLinePunct w:val="0"/>
        <w:autoSpaceDE/>
        <w:autoSpaceDN/>
        <w:bidi w:val="0"/>
        <w:spacing w:line="560" w:lineRule="exact"/>
        <w:ind w:firstLine="640" w:firstLineChars="200"/>
        <w:textAlignment w:val="auto"/>
        <w:rPr>
          <w:rFonts w:hint="default" w:ascii="仿宋_GB2312" w:eastAsia="仿宋_GB2312"/>
          <w:color w:val="000000" w:themeColor="text1"/>
          <w:sz w:val="32"/>
          <w:szCs w:val="32"/>
          <w:highlight w:val="none"/>
          <w:lang w:val="en-US"/>
          <w14:textFill>
            <w14:solidFill>
              <w14:schemeClr w14:val="tx1"/>
            </w14:solidFill>
          </w14:textFill>
        </w:rPr>
      </w:pPr>
      <w:r>
        <w:rPr>
          <w:rFonts w:hint="eastAsia" w:ascii="仿宋_GB2312" w:eastAsia="仿宋_GB2312"/>
          <w:color w:val="000000" w:themeColor="text1"/>
          <w:sz w:val="32"/>
          <w:szCs w:val="32"/>
          <w:highlight w:val="none"/>
          <w:lang w:val="en-US" w:eastAsia="zh-CN"/>
          <w14:textFill>
            <w14:solidFill>
              <w14:schemeClr w14:val="tx1"/>
            </w14:solidFill>
          </w14:textFill>
        </w:rPr>
        <w:t>（二）非甲烷总烃、TVOC排放执行《合成树脂工业污染物排放标准》（GB 31572-2015）及其修改单表</w:t>
      </w:r>
      <w:r>
        <w:rPr>
          <w:rFonts w:hint="eastAsia" w:ascii="仿宋_GB2312" w:eastAsia="仿宋_GB2312"/>
          <w:color w:val="000000" w:themeColor="text1"/>
          <w:sz w:val="32"/>
          <w:szCs w:val="32"/>
          <w:highlight w:val="none"/>
          <w14:textFill>
            <w14:solidFill>
              <w14:schemeClr w14:val="tx1"/>
            </w14:solidFill>
          </w14:textFill>
        </w:rPr>
        <w:t>5大气污染物特别排放限值</w:t>
      </w:r>
      <w:r>
        <w:rPr>
          <w:rFonts w:hint="eastAsia" w:ascii="仿宋_GB2312" w:eastAsia="仿宋_GB2312"/>
          <w:color w:val="000000" w:themeColor="text1"/>
          <w:sz w:val="32"/>
          <w:szCs w:val="32"/>
          <w:highlight w:val="none"/>
          <w:lang w:eastAsia="zh-CN"/>
          <w14:textFill>
            <w14:solidFill>
              <w14:schemeClr w14:val="tx1"/>
            </w14:solidFill>
          </w14:textFill>
        </w:rPr>
        <w:t>，</w:t>
      </w:r>
      <w:r>
        <w:rPr>
          <w:rFonts w:hint="eastAsia" w:ascii="仿宋_GB2312" w:eastAsia="仿宋_GB2312"/>
          <w:color w:val="000000" w:themeColor="text1"/>
          <w:sz w:val="32"/>
          <w:szCs w:val="32"/>
          <w:highlight w:val="none"/>
          <w:lang w:val="en-US" w:eastAsia="zh-CN"/>
          <w14:textFill>
            <w14:solidFill>
              <w14:schemeClr w14:val="tx1"/>
            </w14:solidFill>
          </w14:textFill>
        </w:rPr>
        <w:t>颗粒物排放执行《大气污染物排放限值》（DB44/27-2001）第二时段无组织排放监控浓度限值；臭气浓度排放执行《恶臭污染物排放标准》（GB14554-93）表2及表1厂界新扩改建二级标准限值；厂区内非甲烷总烃无组织排放执行《固定污染源挥发性有机物综合排放标准》（DB 44/2367-2022）表3厂区内VOCs无组织排放限值。挥发性有机物排放量不超过0.434t/a。</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三</w:t>
      </w:r>
      <w:r>
        <w:rPr>
          <w:rFonts w:hint="eastAsia" w:ascii="仿宋_GB2312" w:eastAsia="仿宋_GB2312"/>
          <w:color w:val="000000" w:themeColor="text1"/>
          <w:sz w:val="32"/>
          <w:szCs w:val="32"/>
          <w14:textFill>
            <w14:solidFill>
              <w14:schemeClr w14:val="tx1"/>
            </w14:solidFill>
          </w14:textFill>
        </w:rPr>
        <w:t>）边界噪声排放执行《工业企业厂界环境噪声排放标准》（GB12348-2008）2类区限值，即：昼间≤60</w:t>
      </w:r>
      <w:r>
        <w:rPr>
          <w:rFonts w:hint="eastAsia" w:ascii="仿宋_GB2312" w:eastAsia="仿宋_GB2312"/>
          <w:color w:val="000000" w:themeColor="text1"/>
          <w:sz w:val="32"/>
          <w:szCs w:val="32"/>
          <w:lang w:val="en-US" w:eastAsia="zh-CN"/>
          <w14:textFill>
            <w14:solidFill>
              <w14:schemeClr w14:val="tx1"/>
            </w14:solidFill>
          </w14:textFill>
        </w:rPr>
        <w:t>dB（A）</w:t>
      </w:r>
      <w:r>
        <w:rPr>
          <w:rFonts w:hint="eastAsia" w:ascii="仿宋_GB2312" w:eastAsia="仿宋_GB2312"/>
          <w:color w:val="000000" w:themeColor="text1"/>
          <w:sz w:val="32"/>
          <w:szCs w:val="32"/>
          <w14:textFill>
            <w14:solidFill>
              <w14:schemeClr w14:val="tx1"/>
            </w14:solidFill>
          </w14:textFill>
        </w:rPr>
        <w:t>，夜间≤50</w:t>
      </w:r>
      <w:r>
        <w:rPr>
          <w:rFonts w:hint="eastAsia" w:ascii="仿宋_GB2312" w:eastAsia="仿宋_GB2312"/>
          <w:color w:val="000000" w:themeColor="text1"/>
          <w:sz w:val="32"/>
          <w:szCs w:val="32"/>
          <w:lang w:val="en-US" w:eastAsia="zh-CN"/>
          <w14:textFill>
            <w14:solidFill>
              <w14:schemeClr w14:val="tx1"/>
            </w14:solidFill>
          </w14:textFill>
        </w:rPr>
        <w:t>dB（A）</w:t>
      </w:r>
      <w:r>
        <w:rPr>
          <w:rFonts w:hint="eastAsia" w:ascii="仿宋_GB2312" w:eastAsia="仿宋_GB2312"/>
          <w:color w:val="000000" w:themeColor="text1"/>
          <w:sz w:val="32"/>
          <w:szCs w:val="32"/>
          <w14:textFill>
            <w14:solidFill>
              <w14:schemeClr w14:val="tx1"/>
            </w14:solidFill>
          </w14:textFill>
        </w:rPr>
        <w:t>。</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三、该项目应当认真落实《报告表》提出的各项环境保护措施，重点做好以下工作：</w:t>
      </w:r>
    </w:p>
    <w:p>
      <w:pPr>
        <w:keepNext w:val="0"/>
        <w:keepLines w:val="0"/>
        <w:pageBreakBefore w:val="0"/>
        <w:kinsoku/>
        <w:overflowPunct/>
        <w:topLinePunct w:val="0"/>
        <w:autoSpaceDE/>
        <w:autoSpaceDN/>
        <w:bidi w:val="0"/>
        <w:spacing w:line="560" w:lineRule="exact"/>
        <w:ind w:firstLine="640" w:firstLineChars="200"/>
        <w:textAlignment w:val="auto"/>
        <w:rPr>
          <w:rFonts w:hint="default"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（一）排水系统采用雨污分流。冷却废水循环使用，</w:t>
      </w:r>
      <w:r>
        <w:rPr>
          <w:rFonts w:hint="eastAsia" w:ascii="仿宋_GB2312" w:eastAsia="仿宋_GB2312"/>
          <w:color w:val="000000" w:themeColor="text1"/>
          <w:sz w:val="32"/>
          <w:szCs w:val="32"/>
          <w:lang w:val="en-US" w:eastAsia="zh-CN"/>
          <w14:textFill>
            <w14:solidFill>
              <w14:schemeClr w14:val="tx1"/>
            </w14:solidFill>
          </w14:textFill>
        </w:rPr>
        <w:t>定期排入市政管网，送前锋净水厂集中处理</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项目设置冷却废水排放口1个。</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（二）按照《固定污染源挥发性有机物综合排放标准》（DB44/2367-2022）的无组织排放控制要求落实相关措施</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highlight w:val="none"/>
          <w:lang w:val="en-US" w:eastAsia="zh-CN"/>
          <w14:textFill>
            <w14:solidFill>
              <w14:schemeClr w14:val="tx1"/>
            </w14:solidFill>
          </w14:textFill>
        </w:rPr>
        <w:t>注塑、吹塑、挤出工序产生的废气收集至二级活性炭吸附装置处理后，通过专用管道引至项目所在建筑物楼顶高空排放，排放口高度不低于15米；项目设置废气排放口1个。</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加强</w:t>
      </w:r>
      <w:r>
        <w:rPr>
          <w:rFonts w:hint="eastAsia" w:ascii="仿宋_GB2312" w:eastAsia="仿宋_GB2312"/>
          <w:color w:val="000000" w:themeColor="text1"/>
          <w:sz w:val="32"/>
          <w:szCs w:val="32"/>
          <w14:textFill>
            <w14:solidFill>
              <w14:schemeClr w14:val="tx1"/>
            </w14:solidFill>
          </w14:textFill>
        </w:rPr>
        <w:t>车间边界</w:t>
      </w:r>
      <w:r>
        <w:rPr>
          <w:rFonts w:hint="eastAsia" w:ascii="仿宋_GB2312" w:hAnsi="仿宋_GB2312" w:eastAsia="仿宋_GB2312" w:cs="仿宋_GB2312"/>
          <w:color w:val="000000" w:themeColor="text1"/>
          <w:sz w:val="32"/>
          <w:szCs w:val="32"/>
          <w14:textFill>
            <w14:solidFill>
              <w14:schemeClr w14:val="tx1"/>
            </w14:solidFill>
          </w14:textFill>
        </w:rPr>
        <w:t>无组织</w:t>
      </w:r>
      <w:r>
        <w:rPr>
          <w:rFonts w:hint="eastAsia" w:ascii="仿宋_GB2312" w:hAnsi="仿宋_GB2312" w:eastAsia="仿宋_GB2312" w:cs="仿宋_GB2312"/>
          <w:color w:val="000000" w:themeColor="text1"/>
          <w:sz w:val="32"/>
          <w:szCs w:val="32"/>
          <w:lang w:eastAsia="zh-CN"/>
          <w14:textFill>
            <w14:solidFill>
              <w14:schemeClr w14:val="tx1"/>
            </w14:solidFill>
          </w14:textFill>
        </w:rPr>
        <w:t>排放</w:t>
      </w:r>
      <w:r>
        <w:rPr>
          <w:rFonts w:hint="eastAsia" w:ascii="仿宋_GB2312" w:hAnsi="仿宋_GB2312" w:eastAsia="仿宋_GB2312" w:cs="仿宋_GB2312"/>
          <w:color w:val="000000" w:themeColor="text1"/>
          <w:sz w:val="32"/>
          <w:szCs w:val="32"/>
          <w14:textFill>
            <w14:solidFill>
              <w14:schemeClr w14:val="tx1"/>
            </w14:solidFill>
          </w14:textFill>
        </w:rPr>
        <w:t>废气的监控，确保</w:t>
      </w:r>
      <w:r>
        <w:rPr>
          <w:rFonts w:hint="eastAsia" w:ascii="仿宋_GB2312" w:eastAsia="仿宋_GB2312"/>
          <w:color w:val="000000" w:themeColor="text1"/>
          <w:sz w:val="32"/>
          <w:szCs w:val="32"/>
          <w14:textFill>
            <w14:solidFill>
              <w14:schemeClr w14:val="tx1"/>
            </w14:solidFill>
          </w14:textFill>
        </w:rPr>
        <w:t>车间边界</w:t>
      </w:r>
      <w:r>
        <w:rPr>
          <w:rFonts w:hint="eastAsia" w:ascii="仿宋_GB2312" w:hAnsi="仿宋_GB2312" w:eastAsia="仿宋_GB2312" w:cs="仿宋_GB2312"/>
          <w:color w:val="000000" w:themeColor="text1"/>
          <w:sz w:val="32"/>
          <w:szCs w:val="32"/>
          <w14:textFill>
            <w14:solidFill>
              <w14:schemeClr w14:val="tx1"/>
            </w14:solidFill>
          </w14:textFill>
        </w:rPr>
        <w:t>无组织</w:t>
      </w:r>
      <w:r>
        <w:rPr>
          <w:rFonts w:hint="eastAsia" w:ascii="仿宋_GB2312" w:hAnsi="仿宋_GB2312" w:eastAsia="仿宋_GB2312" w:cs="仿宋_GB2312"/>
          <w:color w:val="000000" w:themeColor="text1"/>
          <w:sz w:val="32"/>
          <w:szCs w:val="32"/>
          <w:lang w:eastAsia="zh-CN"/>
          <w14:textFill>
            <w14:solidFill>
              <w14:schemeClr w14:val="tx1"/>
            </w14:solidFill>
          </w14:textFill>
        </w:rPr>
        <w:t>排放</w:t>
      </w:r>
      <w:r>
        <w:rPr>
          <w:rFonts w:hint="eastAsia" w:ascii="仿宋_GB2312" w:hAnsi="仿宋_GB2312" w:eastAsia="仿宋_GB2312" w:cs="仿宋_GB2312"/>
          <w:color w:val="000000" w:themeColor="text1"/>
          <w:sz w:val="32"/>
          <w:szCs w:val="32"/>
          <w14:textFill>
            <w14:solidFill>
              <w14:schemeClr w14:val="tx1"/>
            </w14:solidFill>
          </w14:textFill>
        </w:rPr>
        <w:t>监控点的废气达到相应标准限值的要求，监测超标时应</w:t>
      </w:r>
      <w:r>
        <w:rPr>
          <w:rFonts w:hint="eastAsia" w:ascii="仿宋_GB2312" w:hAnsi="仿宋_GB2312" w:eastAsia="仿宋_GB2312" w:cs="仿宋_GB2312"/>
          <w:color w:val="000000" w:themeColor="text1"/>
          <w:sz w:val="32"/>
          <w:szCs w:val="32"/>
          <w:lang w:eastAsia="zh-CN"/>
          <w14:textFill>
            <w14:solidFill>
              <w14:schemeClr w14:val="tx1"/>
            </w14:solidFill>
          </w14:textFill>
        </w:rPr>
        <w:t>加强</w:t>
      </w:r>
      <w:r>
        <w:rPr>
          <w:rFonts w:hint="eastAsia" w:ascii="仿宋_GB2312" w:hAnsi="仿宋_GB2312" w:eastAsia="仿宋_GB2312" w:cs="仿宋_GB2312"/>
          <w:color w:val="000000" w:themeColor="text1"/>
          <w:sz w:val="32"/>
          <w:szCs w:val="32"/>
          <w14:textFill>
            <w14:solidFill>
              <w14:schemeClr w14:val="tx1"/>
            </w14:solidFill>
          </w14:textFill>
        </w:rPr>
        <w:t>对无组织排放废气进行收集、净化处理。</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（三）选用低噪声设备，合理布设生产车间，对噪声源采取隔声、减振等措施，定期检修设备。</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（四）废活性炭、废机油桶</w:t>
      </w:r>
      <w:r>
        <w:rPr>
          <w:rFonts w:hint="eastAsia" w:ascii="仿宋_GB2312" w:eastAsia="仿宋_GB2312"/>
          <w:color w:val="000000" w:themeColor="text1"/>
          <w:sz w:val="32"/>
          <w:szCs w:val="32"/>
          <w:lang w:eastAsia="zh-CN"/>
          <w14:textFill>
            <w14:solidFill>
              <w14:schemeClr w14:val="tx1"/>
            </w14:solidFill>
          </w14:textFill>
        </w:rPr>
        <w:t>、废机油、含油废抹布及手套、色粉包装袋</w:t>
      </w:r>
      <w:r>
        <w:rPr>
          <w:rFonts w:hint="eastAsia" w:ascii="仿宋_GB2312" w:eastAsia="仿宋_GB2312"/>
          <w:color w:val="000000" w:themeColor="text1"/>
          <w:sz w:val="32"/>
          <w:szCs w:val="32"/>
          <w14:textFill>
            <w14:solidFill>
              <w14:schemeClr w14:val="tx1"/>
            </w14:solidFill>
          </w14:textFill>
        </w:rPr>
        <w:t>等</w:t>
      </w:r>
      <w:r>
        <w:rPr>
          <w:rFonts w:hint="eastAsia" w:ascii="仿宋_GB2312" w:eastAsia="仿宋_GB2312"/>
          <w:color w:val="000000" w:themeColor="text1"/>
          <w:sz w:val="32"/>
          <w:szCs w:val="32"/>
          <w:lang w:val="en-US" w:eastAsia="zh-CN"/>
          <w14:textFill>
            <w14:solidFill>
              <w14:schemeClr w14:val="tx1"/>
            </w14:solidFill>
          </w14:textFill>
        </w:rPr>
        <w:t>属于</w:t>
      </w:r>
      <w:r>
        <w:rPr>
          <w:rFonts w:hint="eastAsia" w:ascii="仿宋_GB2312" w:eastAsia="仿宋_GB2312"/>
          <w:color w:val="000000" w:themeColor="text1"/>
          <w:sz w:val="32"/>
          <w:szCs w:val="32"/>
          <w14:textFill>
            <w14:solidFill>
              <w14:schemeClr w14:val="tx1"/>
            </w14:solidFill>
          </w14:textFill>
        </w:rPr>
        <w:t>危险废物</w:t>
      </w:r>
      <w:r>
        <w:rPr>
          <w:rFonts w:hint="eastAsia" w:ascii="仿宋_GB2312" w:eastAsia="仿宋_GB2312"/>
          <w:color w:val="000000" w:themeColor="text1"/>
          <w:sz w:val="32"/>
          <w:szCs w:val="32"/>
          <w:lang w:val="en-US" w:eastAsia="zh-CN"/>
          <w14:textFill>
            <w14:solidFill>
              <w14:schemeClr w14:val="tx1"/>
            </w14:solidFill>
          </w14:textFill>
        </w:rPr>
        <w:t>的</w:t>
      </w:r>
      <w:r>
        <w:rPr>
          <w:rFonts w:hint="eastAsia" w:ascii="仿宋_GB2312" w:eastAsia="仿宋_GB2312"/>
          <w:color w:val="000000" w:themeColor="text1"/>
          <w:sz w:val="32"/>
          <w:szCs w:val="32"/>
          <w14:textFill>
            <w14:solidFill>
              <w14:schemeClr w14:val="tx1"/>
            </w14:solidFill>
          </w14:textFill>
        </w:rPr>
        <w:t>须设置符合《危险废物贮存污染控制标准》（GB18597-20</w:t>
      </w:r>
      <w:r>
        <w:rPr>
          <w:rFonts w:hint="eastAsia" w:ascii="仿宋_GB2312" w:eastAsia="仿宋_GB2312"/>
          <w:color w:val="000000" w:themeColor="text1"/>
          <w:sz w:val="32"/>
          <w:szCs w:val="32"/>
          <w:lang w:val="en-US" w:eastAsia="zh-CN"/>
          <w14:textFill>
            <w14:solidFill>
              <w14:schemeClr w14:val="tx1"/>
            </w14:solidFill>
          </w14:textFill>
        </w:rPr>
        <w:t>23</w:t>
      </w:r>
      <w:r>
        <w:rPr>
          <w:rFonts w:hint="eastAsia" w:ascii="仿宋_GB2312" w:eastAsia="仿宋_GB2312"/>
          <w:color w:val="000000" w:themeColor="text1"/>
          <w:sz w:val="32"/>
          <w:szCs w:val="32"/>
          <w14:textFill>
            <w14:solidFill>
              <w14:schemeClr w14:val="tx1"/>
            </w14:solidFill>
          </w14:textFill>
        </w:rPr>
        <w:t>）要求的专用贮存场所存放并委托具备危险废物处理资质的机构处理。</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四、该项目的性质、规模、地点、采用的生产工艺或者防治污染、防止生态破坏的措施发生重大变动的，你单位应当重新报批环境影响评价文件。</w:t>
      </w:r>
    </w:p>
    <w:p>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五</w:t>
      </w:r>
      <w:r>
        <w:rPr>
          <w:rFonts w:hint="eastAsia" w:ascii="仿宋_GB2312" w:eastAsia="仿宋_GB2312"/>
          <w:color w:val="000000" w:themeColor="text1"/>
          <w:sz w:val="32"/>
          <w:szCs w:val="32"/>
          <w14:textFill>
            <w14:solidFill>
              <w14:schemeClr w14:val="tx1"/>
            </w14:solidFill>
          </w14:textFill>
        </w:rPr>
        <w:t>、该项目建设应严格执行配套建设的环境保护设施与主体工程同时设计、同时施工、同时投产使用的环境保护“三同时”制度，具体要求如下：</w:t>
      </w:r>
    </w:p>
    <w:p>
      <w:pPr>
        <w:keepNext w:val="0"/>
        <w:keepLines w:val="0"/>
        <w:pageBreakBefore w:val="0"/>
        <w:widowControl/>
        <w:tabs>
          <w:tab w:val="left" w:pos="1418"/>
        </w:tabs>
        <w:kinsoku/>
        <w:overflowPunct/>
        <w:topLinePunct w:val="0"/>
        <w:autoSpaceDE/>
        <w:autoSpaceDN/>
        <w:bidi w:val="0"/>
        <w:spacing w:line="560" w:lineRule="exact"/>
        <w:ind w:firstLine="64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（一）项目竣工后，你单位应按规定申请取得排污许可证或填报排污登记表，并按照规定的标准、程序和时限，对配套建设的环境保护设施进行验收，编制验收报告，依法向社会公开。</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（二）项目配套建设的环境保护设施经验收合格后，方可投入生产或者使用。</w:t>
      </w: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六</w:t>
      </w:r>
      <w:r>
        <w:rPr>
          <w:rFonts w:hint="eastAsia" w:ascii="仿宋_GB2312" w:eastAsia="仿宋_GB2312"/>
          <w:color w:val="000000" w:themeColor="text1"/>
          <w:sz w:val="32"/>
          <w:szCs w:val="32"/>
          <w14:textFill>
            <w14:solidFill>
              <w14:schemeClr w14:val="tx1"/>
            </w14:solidFill>
          </w14:textFill>
        </w:rPr>
        <w:t>、该项目建设和运行过程中如涉及规划、土地利用、建设、水务、消防、安全等问题，应遵照相关法律法规要求到相应的行政主管部门办理有关手续。</w:t>
      </w:r>
    </w:p>
    <w:p>
      <w:pPr>
        <w:pStyle w:val="23"/>
        <w:ind w:firstLine="636"/>
        <w:rPr>
          <w:rFonts w:hint="eastAsia"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七</w:t>
      </w:r>
      <w:r>
        <w:rPr>
          <w:rFonts w:hint="eastAsia" w:ascii="仿宋_GB2312" w:eastAsia="仿宋_GB2312"/>
          <w:color w:val="000000" w:themeColor="text1"/>
          <w:sz w:val="32"/>
          <w:szCs w:val="32"/>
          <w14:textFill>
            <w14:solidFill>
              <w14:schemeClr w14:val="tx1"/>
            </w14:solidFill>
          </w14:textFill>
        </w:rPr>
        <w:t>、</w:t>
      </w:r>
      <w:r>
        <w:rPr>
          <w:rFonts w:hint="eastAsia" w:ascii="仿宋_GB2312" w:hAnsi="仿宋" w:eastAsia="仿宋_GB2312"/>
          <w:color w:val="000000" w:themeColor="text1"/>
          <w:sz w:val="32"/>
          <w14:textFill>
            <w14:solidFill>
              <w14:schemeClr w14:val="tx1"/>
            </w14:solidFill>
          </w14:textFill>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p>
    <w:p>
      <w:pPr>
        <w:pStyle w:val="23"/>
        <w:keepNext w:val="0"/>
        <w:keepLines w:val="0"/>
        <w:pageBreakBefore w:val="0"/>
        <w:kinsoku/>
        <w:overflowPunct/>
        <w:topLinePunct w:val="0"/>
        <w:autoSpaceDE/>
        <w:autoSpaceDN/>
        <w:bidi w:val="0"/>
        <w:spacing w:line="560" w:lineRule="exact"/>
        <w:textAlignment w:val="auto"/>
        <w:rPr>
          <w:rFonts w:hint="eastAsia" w:ascii="仿宋_GB2312" w:hAnsi="仿宋" w:eastAsia="仿宋_GB2312"/>
          <w:color w:val="000000" w:themeColor="text1"/>
          <w:sz w:val="32"/>
          <w14:textFill>
            <w14:solidFill>
              <w14:schemeClr w14:val="tx1"/>
            </w14:solidFill>
          </w14:textFill>
        </w:rPr>
      </w:pP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p>
    <w:p>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                        广州市生态环境局</w:t>
      </w:r>
    </w:p>
    <w:p>
      <w:pPr>
        <w:keepNext w:val="0"/>
        <w:keepLines w:val="0"/>
        <w:pageBreakBefore w:val="0"/>
        <w:kinsoku/>
        <w:overflowPunct/>
        <w:topLinePunct w:val="0"/>
        <w:autoSpaceDE/>
        <w:autoSpaceDN/>
        <w:bidi w:val="0"/>
        <w:spacing w:line="560" w:lineRule="exact"/>
        <w:ind w:right="4" w:rightChars="0" w:firstLine="5120" w:firstLineChars="16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20</w:t>
      </w:r>
      <w:r>
        <w:rPr>
          <w:rFonts w:hint="eastAsia" w:ascii="仿宋_GB2312" w:eastAsia="仿宋_GB2312"/>
          <w:color w:val="000000" w:themeColor="text1"/>
          <w:sz w:val="32"/>
          <w:szCs w:val="32"/>
          <w:lang w:val="en-US" w:eastAsia="zh-CN"/>
          <w14:textFill>
            <w14:solidFill>
              <w14:schemeClr w14:val="tx1"/>
            </w14:solidFill>
          </w14:textFill>
        </w:rPr>
        <w:t>25</w:t>
      </w:r>
      <w:r>
        <w:rPr>
          <w:rFonts w:hint="eastAsia" w:ascii="仿宋_GB2312" w:eastAsia="仿宋_GB2312"/>
          <w:color w:val="000000" w:themeColor="text1"/>
          <w:sz w:val="32"/>
          <w:szCs w:val="32"/>
          <w14:textFill>
            <w14:solidFill>
              <w14:schemeClr w14:val="tx1"/>
            </w14:solidFill>
          </w14:textFill>
        </w:rPr>
        <w:t>年</w:t>
      </w:r>
      <w:r>
        <w:rPr>
          <w:rFonts w:hint="eastAsia" w:ascii="仿宋_GB2312" w:eastAsia="仿宋_GB2312"/>
          <w:color w:val="000000" w:themeColor="text1"/>
          <w:sz w:val="32"/>
          <w:szCs w:val="32"/>
          <w:lang w:val="en-US" w:eastAsia="zh-CN"/>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月</w:t>
      </w:r>
      <w:r>
        <w:rPr>
          <w:rFonts w:hint="eastAsia" w:ascii="仿宋_GB2312" w:eastAsia="仿宋_GB2312"/>
          <w:color w:val="000000" w:themeColor="text1"/>
          <w:sz w:val="32"/>
          <w:szCs w:val="32"/>
          <w:lang w:val="en-US" w:eastAsia="zh-CN"/>
          <w14:textFill>
            <w14:solidFill>
              <w14:schemeClr w14:val="tx1"/>
            </w14:solidFill>
          </w14:textFill>
        </w:rPr>
        <w:t>24</w:t>
      </w:r>
      <w:r>
        <w:rPr>
          <w:rFonts w:hint="eastAsia" w:ascii="仿宋_GB2312" w:eastAsia="仿宋_GB2312"/>
          <w:color w:val="000000" w:themeColor="text1"/>
          <w:sz w:val="32"/>
          <w:szCs w:val="32"/>
          <w14:textFill>
            <w14:solidFill>
              <w14:schemeClr w14:val="tx1"/>
            </w14:solidFill>
          </w14:textFill>
        </w:rPr>
        <w:t>日</w:t>
      </w: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r>
        <w:rPr>
          <w:rFonts w:hint="eastAsia" w:ascii="黑体" w:eastAsia="黑体"/>
          <w:color w:val="000000" w:themeColor="text1"/>
          <w:sz w:val="32"/>
          <w:szCs w:val="32"/>
          <w14:textFill>
            <w14:solidFill>
              <w14:schemeClr w14:val="tx1"/>
            </w14:solidFill>
          </w14:textFill>
        </w:rPr>
        <w:t>公开方式：</w:t>
      </w:r>
      <w:r>
        <w:rPr>
          <w:rFonts w:hint="eastAsia" w:ascii="仿宋_GB2312" w:eastAsia="仿宋_GB2312"/>
          <w:color w:val="000000" w:themeColor="text1"/>
          <w:sz w:val="32"/>
          <w:szCs w:val="32"/>
          <w14:textFill>
            <w14:solidFill>
              <w14:schemeClr w14:val="tx1"/>
            </w14:solidFill>
          </w14:textFill>
        </w:rPr>
        <w:t>主动公开</w:t>
      </w:r>
    </w:p>
    <w:p>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p>
    <w:p>
      <w:pPr>
        <w:keepNext w:val="0"/>
        <w:keepLines w:val="0"/>
        <w:pageBreakBefore w:val="0"/>
        <w:kinsoku/>
        <w:overflowPunct/>
        <w:topLinePunct w:val="0"/>
        <w:autoSpaceDE/>
        <w:autoSpaceDN/>
        <w:bidi w:val="0"/>
        <w:spacing w:line="560" w:lineRule="exact"/>
        <w:ind w:left="1133" w:leftChars="201" w:hanging="711" w:hangingChars="254"/>
        <w:textAlignment w:val="auto"/>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抄送：广州市生态环境局番禺分局</w:t>
      </w:r>
      <w:r>
        <w:rPr>
          <w:rFonts w:hint="eastAsia" w:ascii="仿宋_GB2312" w:eastAsia="仿宋_GB2312" w:cs="Times New Roman"/>
          <w:color w:val="000000" w:themeColor="text1"/>
          <w:sz w:val="28"/>
          <w:szCs w:val="28"/>
          <w14:textFill>
            <w14:solidFill>
              <w14:schemeClr w14:val="tx1"/>
            </w14:solidFill>
          </w14:textFill>
        </w:rPr>
        <w:t>执法</w:t>
      </w:r>
      <w:r>
        <w:rPr>
          <w:rFonts w:hint="eastAsia" w:ascii="仿宋_GB2312" w:eastAsia="仿宋_GB2312" w:cs="Times New Roman"/>
          <w:color w:val="000000" w:themeColor="text1"/>
          <w:sz w:val="28"/>
          <w:szCs w:val="28"/>
          <w:lang w:val="en-US" w:eastAsia="zh-CN"/>
          <w14:textFill>
            <w14:solidFill>
              <w14:schemeClr w14:val="tx1"/>
            </w14:solidFill>
          </w14:textFill>
        </w:rPr>
        <w:t>一</w:t>
      </w:r>
      <w:r>
        <w:rPr>
          <w:rFonts w:hint="eastAsia" w:ascii="仿宋_GB2312" w:eastAsia="仿宋_GB2312" w:cs="Times New Roman"/>
          <w:color w:val="000000" w:themeColor="text1"/>
          <w:sz w:val="28"/>
          <w:szCs w:val="28"/>
          <w14:textFill>
            <w14:solidFill>
              <w14:schemeClr w14:val="tx1"/>
            </w14:solidFill>
          </w14:textFill>
        </w:rPr>
        <w:t>科、</w:t>
      </w:r>
      <w:r>
        <w:rPr>
          <w:rFonts w:hint="eastAsia" w:ascii="仿宋_GB2312" w:eastAsia="仿宋_GB2312" w:cs="Times New Roman"/>
          <w:color w:val="000000" w:themeColor="text1"/>
          <w:sz w:val="28"/>
          <w:szCs w:val="28"/>
          <w:lang w:eastAsia="zh-CN"/>
          <w14:textFill>
            <w14:solidFill>
              <w14:schemeClr w14:val="tx1"/>
            </w14:solidFill>
          </w14:textFill>
        </w:rPr>
        <w:t>番禺</w:t>
      </w:r>
      <w:r>
        <w:rPr>
          <w:rFonts w:hint="eastAsia" w:ascii="仿宋_GB2312" w:eastAsia="仿宋_GB2312" w:cs="Times New Roman"/>
          <w:color w:val="000000" w:themeColor="text1"/>
          <w:sz w:val="28"/>
          <w:szCs w:val="28"/>
          <w14:textFill>
            <w14:solidFill>
              <w14:schemeClr w14:val="tx1"/>
            </w14:solidFill>
          </w14:textFill>
        </w:rPr>
        <w:t>第</w:t>
      </w:r>
      <w:r>
        <w:rPr>
          <w:rFonts w:hint="eastAsia" w:ascii="仿宋_GB2312" w:eastAsia="仿宋_GB2312" w:cs="Times New Roman"/>
          <w:color w:val="000000" w:themeColor="text1"/>
          <w:sz w:val="28"/>
          <w:szCs w:val="28"/>
          <w:lang w:val="en-US" w:eastAsia="zh-CN"/>
          <w14:textFill>
            <w14:solidFill>
              <w14:schemeClr w14:val="tx1"/>
            </w14:solidFill>
          </w14:textFill>
        </w:rPr>
        <w:t>一</w:t>
      </w:r>
      <w:r>
        <w:rPr>
          <w:rFonts w:hint="eastAsia" w:ascii="仿宋_GB2312" w:eastAsia="仿宋_GB2312" w:cs="Times New Roman"/>
          <w:color w:val="000000" w:themeColor="text1"/>
          <w:sz w:val="28"/>
          <w:szCs w:val="28"/>
          <w14:textFill>
            <w14:solidFill>
              <w14:schemeClr w14:val="tx1"/>
            </w14:solidFill>
          </w14:textFill>
        </w:rPr>
        <w:t>环保</w:t>
      </w:r>
      <w:r>
        <w:rPr>
          <w:rFonts w:hint="eastAsia" w:ascii="仿宋_GB2312" w:eastAsia="仿宋_GB2312"/>
          <w:color w:val="000000" w:themeColor="text1"/>
          <w:sz w:val="28"/>
          <w:szCs w:val="28"/>
          <w14:textFill>
            <w14:solidFill>
              <w14:schemeClr w14:val="tx1"/>
            </w14:solidFill>
          </w14:textFill>
        </w:rPr>
        <w:t>所，</w:t>
      </w:r>
      <w:r>
        <w:rPr>
          <w:rFonts w:hint="eastAsia" w:ascii="仿宋_GB2312" w:eastAsia="仿宋_GB2312"/>
          <w:color w:val="000000" w:themeColor="text1"/>
          <w:sz w:val="28"/>
          <w:szCs w:val="28"/>
          <w:lang w:val="en-US" w:eastAsia="zh-CN"/>
          <w14:textFill>
            <w14:solidFill>
              <w14:schemeClr w14:val="tx1"/>
            </w14:solidFill>
          </w14:textFill>
        </w:rPr>
        <w:t>广州颐景环保科技有限公司</w:t>
      </w:r>
      <w:r>
        <w:rPr>
          <w:rFonts w:hint="eastAsia" w:ascii="仿宋_GB2312" w:eastAsia="仿宋_GB2312"/>
          <w:color w:val="000000" w:themeColor="text1"/>
          <w:sz w:val="28"/>
          <w:szCs w:val="28"/>
          <w14:textFill>
            <w14:solidFill>
              <w14:schemeClr w14:val="tx1"/>
            </w14:solidFill>
          </w14:textFill>
        </w:rPr>
        <w:t>。</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rPr>
        <w:rStyle w:val="14"/>
        <w:rFonts w:ascii="宋体" w:hAnsi="宋体"/>
        <w:sz w:val="28"/>
        <w:szCs w:val="28"/>
      </w:rPr>
    </w:pPr>
    <w:r>
      <w:rPr>
        <w:rStyle w:val="14"/>
        <w:rFonts w:hint="eastAsia" w:ascii="宋体" w:hAnsi="宋体"/>
        <w:sz w:val="28"/>
        <w:szCs w:val="28"/>
      </w:rPr>
      <w:t xml:space="preserve">— </w:t>
    </w:r>
    <w:r>
      <w:rPr>
        <w:rStyle w:val="14"/>
        <w:rFonts w:ascii="宋体" w:hAnsi="宋体"/>
        <w:sz w:val="28"/>
        <w:szCs w:val="28"/>
      </w:rPr>
      <w:fldChar w:fldCharType="begin"/>
    </w:r>
    <w:r>
      <w:rPr>
        <w:rStyle w:val="14"/>
        <w:rFonts w:ascii="宋体" w:hAnsi="宋体"/>
        <w:sz w:val="28"/>
        <w:szCs w:val="28"/>
      </w:rPr>
      <w:instrText xml:space="preserve">PAGE  </w:instrText>
    </w:r>
    <w:r>
      <w:rPr>
        <w:rStyle w:val="14"/>
        <w:rFonts w:ascii="宋体" w:hAnsi="宋体"/>
        <w:sz w:val="28"/>
        <w:szCs w:val="28"/>
      </w:rPr>
      <w:fldChar w:fldCharType="separate"/>
    </w:r>
    <w:r>
      <w:rPr>
        <w:rStyle w:val="14"/>
        <w:rFonts w:ascii="宋体" w:hAnsi="宋体"/>
        <w:sz w:val="28"/>
        <w:szCs w:val="28"/>
      </w:rPr>
      <w:t>3</w:t>
    </w:r>
    <w:r>
      <w:rPr>
        <w:rStyle w:val="14"/>
        <w:rFonts w:ascii="宋体" w:hAnsi="宋体"/>
        <w:sz w:val="28"/>
        <w:szCs w:val="28"/>
      </w:rPr>
      <w:fldChar w:fldCharType="end"/>
    </w:r>
    <w:r>
      <w:rPr>
        <w:rStyle w:val="14"/>
        <w:rFonts w:hint="eastAsia" w:ascii="宋体" w:hAnsi="宋体"/>
        <w:sz w:val="28"/>
        <w:szCs w:val="28"/>
      </w:rPr>
      <w:t xml:space="preserve"> —</w:t>
    </w:r>
  </w:p>
  <w:p>
    <w:pPr>
      <w:pStyle w:val="8"/>
      <w:ind w:right="360" w:firstLine="360"/>
      <w:jc w:val="center"/>
      <w:rPr>
        <w:rFonts w:ascii="Times New Roman" w:hAnsi="Times New Roman"/>
        <w:sz w:val="28"/>
        <w:szCs w:val="28"/>
      </w:rPr>
    </w:pP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rPr>
        <w:rStyle w:val="14"/>
      </w:rPr>
    </w:pPr>
    <w:r>
      <w:rPr>
        <w:rStyle w:val="14"/>
      </w:rPr>
      <w:fldChar w:fldCharType="begin"/>
    </w:r>
    <w:r>
      <w:rPr>
        <w:rStyle w:val="14"/>
      </w:rPr>
      <w:instrText xml:space="preserve">PAGE  </w:instrText>
    </w:r>
    <w:r>
      <w:rPr>
        <w:rStyle w:val="14"/>
      </w:rPr>
      <w:fldChar w:fldCharType="end"/>
    </w:r>
  </w:p>
  <w:p>
    <w:pPr>
      <w:pStyle w:val="8"/>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attachedTemplate r:id="rId1"/>
  <w:trackRevisions w:val="1"/>
  <w:documentProtection w:enforcement="0"/>
  <w:defaultTabStop w:val="420"/>
  <w:drawingGridHorizontalSpacing w:val="158"/>
  <w:drawingGridVerticalSpacing w:val="6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2ZGFmMGVmYWFiODk5YTFiNTc2ZWNlODI1MTcyOTM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7DE0347"/>
    <w:rsid w:val="091574A4"/>
    <w:rsid w:val="0B97191E"/>
    <w:rsid w:val="0FAB4523"/>
    <w:rsid w:val="0FB13066"/>
    <w:rsid w:val="10BF38FB"/>
    <w:rsid w:val="11CD14B7"/>
    <w:rsid w:val="12737E91"/>
    <w:rsid w:val="12DA5DA1"/>
    <w:rsid w:val="157D650A"/>
    <w:rsid w:val="1665249F"/>
    <w:rsid w:val="199774DF"/>
    <w:rsid w:val="1BC528C4"/>
    <w:rsid w:val="1C191985"/>
    <w:rsid w:val="1D4266B3"/>
    <w:rsid w:val="1F1D0879"/>
    <w:rsid w:val="1F4D7EC7"/>
    <w:rsid w:val="20CF4E76"/>
    <w:rsid w:val="28AE5DA0"/>
    <w:rsid w:val="2F9C41E0"/>
    <w:rsid w:val="307C5365"/>
    <w:rsid w:val="30A22B85"/>
    <w:rsid w:val="30EB75C5"/>
    <w:rsid w:val="351B5590"/>
    <w:rsid w:val="35407AA3"/>
    <w:rsid w:val="38EB77CC"/>
    <w:rsid w:val="3AA44A54"/>
    <w:rsid w:val="3AE822E0"/>
    <w:rsid w:val="3CC7607D"/>
    <w:rsid w:val="41171C7F"/>
    <w:rsid w:val="434A0C21"/>
    <w:rsid w:val="450F1F75"/>
    <w:rsid w:val="453C3F01"/>
    <w:rsid w:val="4AE22D88"/>
    <w:rsid w:val="4B621286"/>
    <w:rsid w:val="4CCE0D51"/>
    <w:rsid w:val="4D3C6C5F"/>
    <w:rsid w:val="4EB11A7C"/>
    <w:rsid w:val="4F586ABA"/>
    <w:rsid w:val="4F9C166D"/>
    <w:rsid w:val="58272CFA"/>
    <w:rsid w:val="596879A6"/>
    <w:rsid w:val="59F57B8E"/>
    <w:rsid w:val="5CE57A42"/>
    <w:rsid w:val="60F02C38"/>
    <w:rsid w:val="62973EAF"/>
    <w:rsid w:val="670A7A3E"/>
    <w:rsid w:val="69EF3DF1"/>
    <w:rsid w:val="6A5C4330"/>
    <w:rsid w:val="6B2F71CC"/>
    <w:rsid w:val="6D8B22BF"/>
    <w:rsid w:val="71A81496"/>
    <w:rsid w:val="73006EB1"/>
    <w:rsid w:val="73417714"/>
    <w:rsid w:val="754C3C5F"/>
    <w:rsid w:val="757E51B5"/>
    <w:rsid w:val="7617196A"/>
    <w:rsid w:val="762C5749"/>
    <w:rsid w:val="765C5FCF"/>
    <w:rsid w:val="77A5337F"/>
    <w:rsid w:val="785F314B"/>
    <w:rsid w:val="7B331FDF"/>
    <w:rsid w:val="7B642E63"/>
    <w:rsid w:val="7BA515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next w:val="4"/>
    <w:qFormat/>
    <w:uiPriority w:val="99"/>
    <w:pPr>
      <w:widowControl w:val="0"/>
      <w:autoSpaceDE w:val="0"/>
      <w:autoSpaceDN w:val="0"/>
      <w:adjustRightInd w:val="0"/>
    </w:pPr>
    <w:rPr>
      <w:rFonts w:ascii="宋体" w:cs="宋体"/>
      <w:color w:val="000000"/>
      <w:sz w:val="24"/>
      <w:szCs w:val="24"/>
      <w:lang w:val="en-US" w:eastAsia="zh-CN" w:bidi="ar-SA"/>
    </w:rPr>
  </w:style>
  <w:style w:type="paragraph" w:customStyle="1" w:styleId="3">
    <w:name w:val="纯文本1"/>
    <w:basedOn w:val="1"/>
    <w:next w:val="1"/>
    <w:qFormat/>
    <w:uiPriority w:val="0"/>
    <w:pPr>
      <w:adjustRightInd w:val="0"/>
      <w:jc w:val="center"/>
      <w:textAlignment w:val="baseline"/>
    </w:pPr>
    <w:rPr>
      <w:rFonts w:ascii="宋体" w:hAnsi="Courier New"/>
    </w:rPr>
  </w:style>
  <w:style w:type="paragraph" w:customStyle="1" w:styleId="4">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5">
    <w:name w:val="List 3"/>
    <w:basedOn w:val="1"/>
    <w:qFormat/>
    <w:uiPriority w:val="0"/>
    <w:pPr>
      <w:autoSpaceDE w:val="0"/>
      <w:autoSpaceDN w:val="0"/>
      <w:adjustRightInd w:val="0"/>
      <w:spacing w:line="288" w:lineRule="auto"/>
      <w:ind w:left="1260" w:hanging="420"/>
      <w:jc w:val="left"/>
      <w:textAlignment w:val="baseline"/>
    </w:pPr>
    <w:rPr>
      <w:kern w:val="0"/>
      <w:sz w:val="24"/>
      <w:szCs w:val="20"/>
    </w:rPr>
  </w:style>
  <w:style w:type="paragraph" w:styleId="6">
    <w:name w:val="annotation text"/>
    <w:basedOn w:val="1"/>
    <w:link w:val="19"/>
    <w:semiHidden/>
    <w:unhideWhenUsed/>
    <w:qFormat/>
    <w:uiPriority w:val="99"/>
    <w:pPr>
      <w:jc w:val="left"/>
    </w:pPr>
  </w:style>
  <w:style w:type="paragraph" w:styleId="7">
    <w:name w:val="Balloon Text"/>
    <w:basedOn w:val="1"/>
    <w:link w:val="21"/>
    <w:semiHidden/>
    <w:unhideWhenUsed/>
    <w:qFormat/>
    <w:uiPriority w:val="99"/>
    <w:rPr>
      <w:sz w:val="18"/>
      <w:szCs w:val="18"/>
    </w:rPr>
  </w:style>
  <w:style w:type="paragraph" w:styleId="8">
    <w:name w:val="footer"/>
    <w:basedOn w:val="1"/>
    <w:link w:val="17"/>
    <w:unhideWhenUsed/>
    <w:qFormat/>
    <w:uiPriority w:val="99"/>
    <w:pPr>
      <w:tabs>
        <w:tab w:val="center" w:pos="4153"/>
        <w:tab w:val="right" w:pos="8306"/>
      </w:tabs>
      <w:snapToGrid w:val="0"/>
      <w:jc w:val="left"/>
    </w:pPr>
    <w:rPr>
      <w:sz w:val="18"/>
      <w:szCs w:val="18"/>
    </w:rPr>
  </w:style>
  <w:style w:type="paragraph" w:styleId="9">
    <w:name w:val="header"/>
    <w:basedOn w:val="1"/>
    <w:link w:val="16"/>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annotation subject"/>
    <w:basedOn w:val="6"/>
    <w:next w:val="6"/>
    <w:link w:val="20"/>
    <w:semiHidden/>
    <w:unhideWhenUsed/>
    <w:qFormat/>
    <w:uiPriority w:val="99"/>
    <w:rPr>
      <w:b/>
      <w:bCs/>
    </w:rPr>
  </w:style>
  <w:style w:type="table" w:styleId="12">
    <w:name w:val="Table Grid"/>
    <w:basedOn w:val="11"/>
    <w:qFormat/>
    <w:uiPriority w:val="39"/>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character" w:styleId="15">
    <w:name w:val="annotation reference"/>
    <w:basedOn w:val="13"/>
    <w:semiHidden/>
    <w:unhideWhenUsed/>
    <w:qFormat/>
    <w:uiPriority w:val="99"/>
    <w:rPr>
      <w:sz w:val="21"/>
      <w:szCs w:val="21"/>
    </w:rPr>
  </w:style>
  <w:style w:type="character" w:customStyle="1" w:styleId="16">
    <w:name w:val="页眉 Char"/>
    <w:basedOn w:val="13"/>
    <w:link w:val="9"/>
    <w:semiHidden/>
    <w:qFormat/>
    <w:uiPriority w:val="99"/>
    <w:rPr>
      <w:kern w:val="2"/>
      <w:sz w:val="18"/>
      <w:szCs w:val="18"/>
    </w:rPr>
  </w:style>
  <w:style w:type="character" w:customStyle="1" w:styleId="17">
    <w:name w:val="页脚 Char"/>
    <w:basedOn w:val="13"/>
    <w:link w:val="8"/>
    <w:qFormat/>
    <w:uiPriority w:val="99"/>
    <w:rPr>
      <w:kern w:val="2"/>
      <w:sz w:val="18"/>
      <w:szCs w:val="18"/>
    </w:rPr>
  </w:style>
  <w:style w:type="paragraph" w:customStyle="1" w:styleId="18">
    <w:name w:val="Char1"/>
    <w:basedOn w:val="1"/>
    <w:qFormat/>
    <w:uiPriority w:val="0"/>
    <w:pPr>
      <w:tabs>
        <w:tab w:val="left" w:pos="840"/>
      </w:tabs>
      <w:ind w:left="840" w:hanging="420"/>
    </w:pPr>
    <w:rPr>
      <w:rFonts w:ascii="Times New Roman" w:hAnsi="Times New Roman"/>
      <w:sz w:val="24"/>
      <w:szCs w:val="24"/>
    </w:rPr>
  </w:style>
  <w:style w:type="character" w:customStyle="1" w:styleId="19">
    <w:name w:val="批注文字 Char"/>
    <w:basedOn w:val="13"/>
    <w:link w:val="6"/>
    <w:semiHidden/>
    <w:qFormat/>
    <w:uiPriority w:val="99"/>
    <w:rPr>
      <w:kern w:val="2"/>
      <w:sz w:val="21"/>
      <w:szCs w:val="22"/>
    </w:rPr>
  </w:style>
  <w:style w:type="character" w:customStyle="1" w:styleId="20">
    <w:name w:val="批注主题 Char"/>
    <w:basedOn w:val="19"/>
    <w:link w:val="10"/>
    <w:semiHidden/>
    <w:qFormat/>
    <w:uiPriority w:val="99"/>
    <w:rPr>
      <w:b/>
      <w:bCs/>
    </w:rPr>
  </w:style>
  <w:style w:type="character" w:customStyle="1" w:styleId="21">
    <w:name w:val="批注框文本 Char"/>
    <w:basedOn w:val="13"/>
    <w:link w:val="7"/>
    <w:semiHidden/>
    <w:qFormat/>
    <w:uiPriority w:val="99"/>
    <w:rPr>
      <w:kern w:val="2"/>
      <w:sz w:val="18"/>
      <w:szCs w:val="18"/>
    </w:rPr>
  </w:style>
  <w:style w:type="paragraph" w:customStyle="1" w:styleId="22">
    <w:name w:val="Revision"/>
    <w:hidden/>
    <w:semiHidden/>
    <w:qFormat/>
    <w:uiPriority w:val="99"/>
    <w:rPr>
      <w:rFonts w:ascii="Calibri" w:hAnsi="Calibri" w:eastAsia="宋体" w:cs="Times New Roman"/>
      <w:kern w:val="2"/>
      <w:sz w:val="21"/>
      <w:szCs w:val="22"/>
      <w:lang w:val="en-US" w:eastAsia="zh-CN" w:bidi="ar-SA"/>
    </w:rPr>
  </w:style>
  <w:style w:type="paragraph" w:customStyle="1" w:styleId="23">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4</Pages>
  <Words>2766</Words>
  <Characters>2996</Characters>
  <Lines>19</Lines>
  <Paragraphs>5</Paragraphs>
  <TotalTime>11</TotalTime>
  <ScaleCrop>false</ScaleCrop>
  <LinksUpToDate>false</LinksUpToDate>
  <CharactersWithSpaces>3060</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administrator</cp:lastModifiedBy>
  <cp:lastPrinted>2012-12-06T03:13:00Z</cp:lastPrinted>
  <dcterms:modified xsi:type="dcterms:W3CDTF">2025-02-24T02:16:36Z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2052-11.8.2.10393</vt:lpwstr>
  </property>
  <property fmtid="{D5CDD505-2E9C-101B-9397-08002B2CF9AE}" pid="4" name="ICV">
    <vt:lpwstr>EE89F1234A7B42F6A576B5B6561FAB88</vt:lpwstr>
  </property>
</Properties>
</file>