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ind w:right="-156" w:hanging="180"/>
        <w:jc w:val="center"/>
        <w:rPr>
          <w:rFonts w:ascii="公文小标宋简" w:eastAsia="公文小标宋简"/>
          <w:b/>
          <w:bCs/>
          <w:smallCaps/>
          <w:snapToGrid w:val="0"/>
          <w:color w:val="auto"/>
          <w:spacing w:val="56"/>
          <w:kern w:val="0"/>
          <w:sz w:val="72"/>
          <w:szCs w:val="72"/>
        </w:rPr>
      </w:pPr>
    </w:p>
    <w:p>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号</w:t>
      </w:r>
    </w:p>
    <w:p>
      <w:pPr>
        <w:keepNext w:val="0"/>
        <w:keepLines w:val="0"/>
        <w:pageBreakBefore w:val="0"/>
        <w:kinsoku/>
        <w:overflowPunct/>
        <w:topLinePunct w:val="0"/>
        <w:autoSpaceDE/>
        <w:autoSpaceDN/>
        <w:bidi w:val="0"/>
        <w:spacing w:line="560" w:lineRule="exact"/>
        <w:textAlignment w:val="auto"/>
        <w:rPr>
          <w:rFonts w:ascii="黑体" w:eastAsia="黑体"/>
          <w:color w:val="auto"/>
        </w:rPr>
      </w:pPr>
    </w:p>
    <w:p>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bookmarkStart w:id="0" w:name="_GoBack"/>
      <w:bookmarkEnd w:id="0"/>
    </w:p>
    <w:p>
      <w:pPr>
        <w:keepNext w:val="0"/>
        <w:keepLines w:val="0"/>
        <w:pageBreakBefore w:val="0"/>
        <w:kinsoku/>
        <w:overflowPunct/>
        <w:topLinePunct w:val="0"/>
        <w:autoSpaceDE/>
        <w:autoSpaceDN/>
        <w:bidi w:val="0"/>
        <w:spacing w:line="56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广州市星百丽照明科技有限公司年产霓虹灯带45吨建设项目</w:t>
      </w:r>
    </w:p>
    <w:p>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广州市星百丽照明科技有限公司（</w:t>
      </w:r>
      <w:r>
        <w:rPr>
          <w:rFonts w:hint="default" w:ascii="仿宋_GB2312" w:eastAsia="仿宋_GB2312"/>
          <w:color w:val="auto"/>
          <w:sz w:val="32"/>
          <w:szCs w:val="32"/>
          <w:lang w:eastAsia="zh-CN"/>
        </w:rPr>
        <w:t>91440113MA59CRC690</w:t>
      </w:r>
      <w:r>
        <w:rPr>
          <w:rFonts w:hint="eastAsia" w:ascii="仿宋_GB2312" w:eastAsia="仿宋_GB2312"/>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广州市星百丽照明科技有限公司年产霓虹灯带45吨建设项目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广州市星百丽照明科技有限公司年产霓虹灯带45吨建设项目</w:t>
      </w:r>
      <w:r>
        <w:rPr>
          <w:rFonts w:hint="eastAsia" w:ascii="仿宋_GB2312" w:eastAsia="仿宋_GB2312"/>
          <w:color w:val="auto"/>
          <w:sz w:val="32"/>
          <w:szCs w:val="32"/>
        </w:rPr>
        <w:t>（以下简称“该</w:t>
      </w:r>
      <w:r>
        <w:rPr>
          <w:rFonts w:hint="eastAsia" w:ascii="仿宋_GB2312" w:eastAsia="仿宋_GB2312" w:cs="Times New Roman"/>
          <w:color w:val="auto"/>
          <w:sz w:val="32"/>
          <w:szCs w:val="32"/>
        </w:rPr>
        <w:t>项目”）位于广州市</w:t>
      </w:r>
      <w:r>
        <w:rPr>
          <w:rFonts w:hint="eastAsia" w:ascii="仿宋_GB2312" w:eastAsia="仿宋_GB2312" w:cs="Times New Roman"/>
          <w:color w:val="auto"/>
          <w:sz w:val="32"/>
          <w:szCs w:val="32"/>
          <w:lang w:eastAsia="zh-CN"/>
        </w:rPr>
        <w:t>番禺区</w:t>
      </w:r>
      <w:r>
        <w:rPr>
          <w:rFonts w:hint="default" w:ascii="仿宋_GB2312" w:eastAsia="仿宋_GB2312" w:cs="Times New Roman"/>
          <w:color w:val="auto"/>
          <w:sz w:val="32"/>
          <w:szCs w:val="32"/>
          <w:lang w:val="en-US" w:eastAsia="zh-CN"/>
        </w:rPr>
        <w:t>石</w:t>
      </w:r>
      <w:r>
        <w:rPr>
          <w:rFonts w:hint="eastAsia" w:ascii="仿宋_GB2312" w:eastAsia="仿宋_GB2312" w:cs="Times New Roman"/>
          <w:color w:val="auto"/>
          <w:sz w:val="32"/>
          <w:szCs w:val="32"/>
          <w:lang w:val="en-US" w:eastAsia="zh-CN"/>
        </w:rPr>
        <w:t>碁</w:t>
      </w:r>
      <w:r>
        <w:rPr>
          <w:rFonts w:hint="default" w:ascii="仿宋_GB2312" w:eastAsia="仿宋_GB2312" w:cs="Times New Roman"/>
          <w:color w:val="auto"/>
          <w:sz w:val="32"/>
          <w:szCs w:val="32"/>
          <w:lang w:val="en-US" w:eastAsia="zh-CN"/>
        </w:rPr>
        <w:t>镇华腾路9号华创动漫产业园B6栋四层</w:t>
      </w:r>
      <w:r>
        <w:rPr>
          <w:rFonts w:hint="eastAsia" w:ascii="仿宋_GB2312" w:eastAsia="仿宋_GB2312" w:cs="Times New Roman"/>
          <w:color w:val="auto"/>
          <w:sz w:val="32"/>
          <w:szCs w:val="32"/>
          <w:lang w:eastAsia="zh-CN"/>
        </w:rPr>
        <w:t>，申报内容为年产</w:t>
      </w:r>
      <w:r>
        <w:rPr>
          <w:rFonts w:hint="eastAsia" w:ascii="仿宋_GB2312" w:eastAsia="仿宋_GB2312"/>
          <w:color w:val="auto"/>
          <w:sz w:val="32"/>
          <w:szCs w:val="32"/>
          <w:lang w:eastAsia="zh-CN"/>
        </w:rPr>
        <w:t>霓虹灯带45吨</w:t>
      </w:r>
      <w:r>
        <w:rPr>
          <w:rFonts w:hint="eastAsia" w:ascii="仿宋_GB2312" w:eastAsia="仿宋_GB2312" w:cs="Times New Roman"/>
          <w:color w:val="auto"/>
          <w:sz w:val="32"/>
          <w:szCs w:val="32"/>
          <w:lang w:eastAsia="zh-CN"/>
        </w:rPr>
        <w:t>。该</w:t>
      </w:r>
      <w:r>
        <w:rPr>
          <w:rFonts w:hint="eastAsia" w:ascii="仿宋_GB2312" w:eastAsia="仿宋_GB2312"/>
          <w:color w:val="auto"/>
          <w:sz w:val="32"/>
          <w:szCs w:val="32"/>
        </w:rPr>
        <w:t>项目总建筑面</w:t>
      </w:r>
      <w:r>
        <w:rPr>
          <w:rFonts w:hint="eastAsia" w:ascii="仿宋_GB2312" w:eastAsia="仿宋_GB2312" w:cs="Times New Roman"/>
          <w:color w:val="auto"/>
          <w:sz w:val="32"/>
          <w:szCs w:val="32"/>
          <w:lang w:eastAsia="zh-CN"/>
        </w:rPr>
        <w:t>积</w:t>
      </w:r>
      <w:r>
        <w:rPr>
          <w:rFonts w:hint="default" w:ascii="仿宋_GB2312" w:eastAsia="仿宋_GB2312" w:cs="Times New Roman"/>
          <w:color w:val="auto"/>
          <w:sz w:val="32"/>
          <w:szCs w:val="32"/>
          <w:lang w:val="en-US" w:eastAsia="zh-CN"/>
        </w:rPr>
        <w:t>1</w:t>
      </w:r>
      <w:r>
        <w:rPr>
          <w:rFonts w:hint="eastAsia" w:ascii="仿宋_GB2312" w:eastAsia="仿宋_GB2312" w:cs="Times New Roman"/>
          <w:color w:val="auto"/>
          <w:sz w:val="32"/>
          <w:szCs w:val="32"/>
          <w:lang w:val="en-US" w:eastAsia="zh-CN"/>
        </w:rPr>
        <w:t>687.55</w:t>
      </w:r>
      <w:r>
        <w:rPr>
          <w:rFonts w:hint="eastAsia" w:ascii="仿宋_GB2312" w:eastAsia="仿宋_GB2312" w:cs="Times New Roman"/>
          <w:color w:val="auto"/>
          <w:sz w:val="32"/>
          <w:szCs w:val="32"/>
          <w:lang w:eastAsia="zh-CN"/>
        </w:rPr>
        <w:t>平方米，</w:t>
      </w:r>
      <w:r>
        <w:rPr>
          <w:rFonts w:hint="eastAsia" w:ascii="仿宋_GB2312" w:eastAsia="仿宋_GB2312" w:cs="Times New Roman"/>
          <w:color w:val="auto"/>
          <w:sz w:val="32"/>
          <w:szCs w:val="32"/>
          <w:lang w:val="en-US" w:eastAsia="zh-CN"/>
        </w:rPr>
        <w:t>租用1栋四层厂房的第四层</w:t>
      </w:r>
      <w:r>
        <w:rPr>
          <w:rFonts w:hint="eastAsia" w:ascii="仿宋_GB2312" w:eastAsia="仿宋_GB2312"/>
          <w:color w:val="auto"/>
          <w:sz w:val="32"/>
          <w:szCs w:val="32"/>
        </w:rPr>
        <w:t>；主要</w:t>
      </w:r>
      <w:r>
        <w:rPr>
          <w:rFonts w:hint="eastAsia" w:ascii="仿宋_GB2312" w:eastAsia="仿宋_GB2312" w:cs="Times New Roman"/>
          <w:color w:val="auto"/>
          <w:sz w:val="32"/>
          <w:szCs w:val="32"/>
          <w:lang w:val="en-US" w:eastAsia="zh-CN"/>
        </w:rPr>
        <w:t>设备有PVC挤出机9台、</w:t>
      </w:r>
      <w:r>
        <w:rPr>
          <w:rFonts w:hint="default" w:ascii="仿宋_GB2312" w:eastAsia="仿宋_GB2312" w:cs="Times New Roman"/>
          <w:color w:val="auto"/>
          <w:sz w:val="32"/>
          <w:szCs w:val="32"/>
          <w:lang w:val="en-US" w:eastAsia="zh-CN"/>
        </w:rPr>
        <w:t>PVC注塑机</w:t>
      </w:r>
      <w:r>
        <w:rPr>
          <w:rFonts w:hint="eastAsia" w:ascii="仿宋_GB2312" w:eastAsia="仿宋_GB2312" w:cs="Times New Roman"/>
          <w:color w:val="auto"/>
          <w:sz w:val="32"/>
          <w:szCs w:val="32"/>
          <w:lang w:val="en-US" w:eastAsia="zh-CN"/>
        </w:rPr>
        <w:t>7台、</w:t>
      </w:r>
      <w:r>
        <w:rPr>
          <w:rFonts w:hint="default" w:ascii="仿宋_GB2312" w:eastAsia="仿宋_GB2312" w:cs="Times New Roman"/>
          <w:color w:val="auto"/>
          <w:sz w:val="32"/>
          <w:szCs w:val="32"/>
          <w:lang w:val="en-US" w:eastAsia="zh-CN"/>
        </w:rPr>
        <w:t>紫光打标机（激光）</w:t>
      </w:r>
      <w:r>
        <w:rPr>
          <w:rFonts w:hint="eastAsia" w:ascii="仿宋_GB2312" w:eastAsia="仿宋_GB2312" w:cs="Times New Roman"/>
          <w:color w:val="auto"/>
          <w:sz w:val="32"/>
          <w:szCs w:val="32"/>
          <w:lang w:val="en-US" w:eastAsia="zh-CN"/>
        </w:rPr>
        <w:t>2台、</w:t>
      </w:r>
      <w:r>
        <w:rPr>
          <w:rFonts w:hint="default" w:ascii="仿宋_GB2312" w:eastAsia="仿宋_GB2312" w:cs="Times New Roman"/>
          <w:color w:val="auto"/>
          <w:sz w:val="32"/>
          <w:szCs w:val="32"/>
          <w:lang w:val="en-US" w:eastAsia="zh-CN"/>
        </w:rPr>
        <w:t>雕刻机</w:t>
      </w:r>
      <w:r>
        <w:rPr>
          <w:rFonts w:hint="eastAsia" w:ascii="仿宋_GB2312" w:eastAsia="仿宋_GB2312" w:cs="Times New Roman"/>
          <w:color w:val="auto"/>
          <w:sz w:val="32"/>
          <w:szCs w:val="32"/>
          <w:lang w:val="en-US" w:eastAsia="zh-CN"/>
        </w:rPr>
        <w:t>2台、</w:t>
      </w:r>
      <w:r>
        <w:rPr>
          <w:rFonts w:hint="default" w:ascii="仿宋_GB2312" w:eastAsia="仿宋_GB2312" w:cs="Times New Roman"/>
          <w:color w:val="auto"/>
          <w:sz w:val="32"/>
          <w:szCs w:val="32"/>
          <w:lang w:val="en-US" w:eastAsia="zh-CN"/>
        </w:rPr>
        <w:t>电烙铁</w:t>
      </w:r>
      <w:r>
        <w:rPr>
          <w:rFonts w:hint="eastAsia" w:ascii="仿宋_GB2312" w:eastAsia="仿宋_GB2312" w:cs="Times New Roman"/>
          <w:color w:val="auto"/>
          <w:sz w:val="32"/>
          <w:szCs w:val="32"/>
          <w:lang w:val="en-US" w:eastAsia="zh-CN"/>
        </w:rPr>
        <w:t>12把、</w:t>
      </w:r>
      <w:r>
        <w:rPr>
          <w:rFonts w:hint="default" w:ascii="仿宋_GB2312" w:eastAsia="仿宋_GB2312" w:cs="Times New Roman"/>
          <w:color w:val="auto"/>
          <w:sz w:val="32"/>
          <w:szCs w:val="32"/>
          <w:lang w:val="en-US" w:eastAsia="zh-CN"/>
        </w:rPr>
        <w:t>压环机</w:t>
      </w:r>
      <w:r>
        <w:rPr>
          <w:rFonts w:hint="eastAsia" w:ascii="仿宋_GB2312" w:eastAsia="仿宋_GB2312" w:cs="Times New Roman"/>
          <w:color w:val="auto"/>
          <w:sz w:val="32"/>
          <w:szCs w:val="32"/>
          <w:lang w:val="en-US" w:eastAsia="zh-CN"/>
        </w:rPr>
        <w:t>1台、</w:t>
      </w:r>
      <w:r>
        <w:rPr>
          <w:rFonts w:hint="default" w:ascii="仿宋_GB2312" w:eastAsia="仿宋_GB2312" w:cs="Times New Roman"/>
          <w:color w:val="auto"/>
          <w:sz w:val="32"/>
          <w:szCs w:val="32"/>
          <w:lang w:val="en-US" w:eastAsia="zh-CN"/>
        </w:rPr>
        <w:t>端子机</w:t>
      </w:r>
      <w:r>
        <w:rPr>
          <w:rFonts w:hint="eastAsia" w:ascii="仿宋_GB2312" w:eastAsia="仿宋_GB2312" w:cs="Times New Roman"/>
          <w:color w:val="auto"/>
          <w:sz w:val="32"/>
          <w:szCs w:val="32"/>
          <w:lang w:val="en-US" w:eastAsia="zh-CN"/>
        </w:rPr>
        <w:t>1台、</w:t>
      </w:r>
      <w:r>
        <w:rPr>
          <w:rFonts w:hint="default" w:ascii="仿宋_GB2312" w:eastAsia="仿宋_GB2312" w:cs="Times New Roman"/>
          <w:color w:val="auto"/>
          <w:sz w:val="32"/>
          <w:szCs w:val="32"/>
          <w:lang w:val="en-US" w:eastAsia="zh-CN"/>
        </w:rPr>
        <w:t>剥线机</w:t>
      </w:r>
      <w:r>
        <w:rPr>
          <w:rFonts w:hint="eastAsia" w:ascii="仿宋_GB2312" w:eastAsia="仿宋_GB2312" w:cs="Times New Roman"/>
          <w:color w:val="auto"/>
          <w:sz w:val="32"/>
          <w:szCs w:val="32"/>
          <w:lang w:val="en-US" w:eastAsia="zh-CN"/>
        </w:rPr>
        <w:t>1台、打包机1台、冷水机1台、冷却塔1台、实验检测设备一批等；员工9名，内</w:t>
      </w:r>
      <w:r>
        <w:rPr>
          <w:rFonts w:hint="eastAsia" w:ascii="仿宋_GB2312" w:eastAsia="仿宋_GB2312"/>
          <w:color w:val="auto"/>
          <w:sz w:val="32"/>
          <w:szCs w:val="32"/>
        </w:rPr>
        <w:t>部不安排食宿</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该项目不使用再生塑料。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81</w:t>
      </w:r>
      <w:r>
        <w:rPr>
          <w:rFonts w:hint="eastAsia" w:ascii="仿宋_GB2312" w:eastAsia="仿宋_GB2312"/>
          <w:color w:val="auto"/>
          <w:sz w:val="32"/>
          <w:szCs w:val="32"/>
        </w:rPr>
        <w:t>吨/年。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s="Times New Roman"/>
          <w:color w:val="auto"/>
          <w:sz w:val="32"/>
          <w:szCs w:val="32"/>
        </w:rPr>
        <w:t>臭气浓度排放执行《恶臭污染物排放标准》（GB14554-93）表1厂界新扩改建二级标准</w:t>
      </w:r>
      <w:r>
        <w:rPr>
          <w:rFonts w:hint="eastAsia" w:ascii="仿宋_GB2312" w:eastAsia="仿宋_GB2312" w:cs="Times New Roman"/>
          <w:color w:val="auto"/>
          <w:sz w:val="32"/>
          <w:szCs w:val="32"/>
          <w:lang w:val="en-US" w:eastAsia="zh-CN"/>
        </w:rPr>
        <w:t>限值</w:t>
      </w:r>
      <w:r>
        <w:rPr>
          <w:rFonts w:hint="eastAsia" w:ascii="仿宋_GB2312" w:eastAsia="仿宋_GB2312" w:cs="Times New Roman"/>
          <w:color w:val="auto"/>
          <w:sz w:val="32"/>
          <w:szCs w:val="32"/>
        </w:rPr>
        <w:t>和表2排放标准值</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颗粒物、锡及其化合物、氯化氢、氯乙烯</w:t>
      </w:r>
      <w:r>
        <w:rPr>
          <w:rFonts w:hint="eastAsia" w:ascii="仿宋_GB2312" w:eastAsia="仿宋_GB2312" w:cs="Times New Roman"/>
          <w:color w:val="auto"/>
          <w:sz w:val="32"/>
          <w:szCs w:val="32"/>
        </w:rPr>
        <w:t>排放执</w:t>
      </w:r>
      <w:r>
        <w:rPr>
          <w:rFonts w:hint="eastAsia" w:ascii="仿宋_GB2312" w:eastAsia="仿宋_GB2312"/>
          <w:color w:val="auto"/>
          <w:sz w:val="32"/>
          <w:szCs w:val="32"/>
        </w:rPr>
        <w:t>行广东省《大气污染物排放限值》（DB44/27-2001）第二时段</w:t>
      </w:r>
      <w:r>
        <w:rPr>
          <w:rFonts w:hint="eastAsia" w:ascii="仿宋_GB2312" w:eastAsia="仿宋_GB2312"/>
          <w:color w:val="auto"/>
          <w:sz w:val="32"/>
          <w:szCs w:val="32"/>
          <w:lang w:val="en-US" w:eastAsia="zh-CN"/>
        </w:rPr>
        <w:t>二</w:t>
      </w:r>
      <w:r>
        <w:rPr>
          <w:rFonts w:hint="eastAsia" w:ascii="仿宋_GB2312" w:eastAsia="仿宋_GB2312"/>
          <w:color w:val="auto"/>
          <w:sz w:val="32"/>
          <w:szCs w:val="32"/>
        </w:rPr>
        <w:t>级标准及无组织排放监控浓度限值</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非甲烷总烃、TVOC排放执行</w:t>
      </w:r>
      <w:r>
        <w:rPr>
          <w:rFonts w:hint="eastAsia" w:ascii="仿宋_GB2312" w:eastAsia="仿宋_GB2312" w:cs="Times New Roman"/>
          <w:color w:val="auto"/>
          <w:sz w:val="32"/>
          <w:szCs w:val="32"/>
        </w:rPr>
        <w:t>广东省《固定污染源挥发性有机物综合排放标准》（DB44/2367-2022）</w:t>
      </w:r>
      <w:r>
        <w:rPr>
          <w:rFonts w:hint="default" w:ascii="仿宋_GB2312" w:eastAsia="仿宋_GB2312" w:cs="Times New Roman"/>
          <w:color w:val="auto"/>
          <w:sz w:val="32"/>
          <w:szCs w:val="32"/>
          <w:lang w:val="en-US" w:eastAsia="zh-CN"/>
        </w:rPr>
        <w:t>表1</w:t>
      </w:r>
      <w:r>
        <w:rPr>
          <w:rFonts w:hint="eastAsia" w:ascii="仿宋_GB2312" w:eastAsia="仿宋_GB2312" w:cs="Times New Roman"/>
          <w:color w:val="auto"/>
          <w:sz w:val="32"/>
          <w:szCs w:val="32"/>
          <w:lang w:val="en-US" w:eastAsia="zh-CN"/>
        </w:rPr>
        <w:t>挥发性有机物排放限值和表3厂区内挥发性有机物无组织排放限值</w:t>
      </w:r>
      <w:r>
        <w:rPr>
          <w:rFonts w:ascii="仿宋_GB2312"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Times New Roman"/>
          <w:color w:val="auto"/>
          <w:sz w:val="32"/>
          <w:szCs w:val="32"/>
        </w:rPr>
      </w:pPr>
      <w:r>
        <w:rPr>
          <w:rFonts w:hint="eastAsia" w:ascii="仿宋_GB2312" w:eastAsia="仿宋_GB2312"/>
          <w:color w:val="auto"/>
          <w:sz w:val="32"/>
          <w:szCs w:val="32"/>
        </w:rPr>
        <w:t>（三）边界噪</w:t>
      </w:r>
      <w:r>
        <w:rPr>
          <w:rFonts w:hint="eastAsia" w:ascii="仿宋_GB2312" w:eastAsia="仿宋_GB2312" w:cs="Times New Roman"/>
          <w:color w:val="auto"/>
          <w:sz w:val="32"/>
          <w:szCs w:val="32"/>
        </w:rPr>
        <w:t>声排放执行《工业企业厂界环境噪声排放标准》（GB12348-2008）3类区限值，即：昼间≤65</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rPr>
        <w:t>，夜间≤55</w:t>
      </w:r>
      <w:r>
        <w:rPr>
          <w:rFonts w:hint="eastAsia" w:ascii="仿宋_GB2312" w:eastAsia="仿宋_GB2312" w:cs="Times New Roman"/>
          <w:color w:val="auto"/>
          <w:sz w:val="32"/>
          <w:szCs w:val="32"/>
          <w:lang w:val="en-US" w:eastAsia="zh-CN"/>
        </w:rPr>
        <w:t>dB（A）</w:t>
      </w:r>
      <w:r>
        <w:rPr>
          <w:rFonts w:hint="eastAsia" w:ascii="仿宋_GB2312" w:eastAsia="仿宋_GB2312"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（一）排水系统采用雨污分流。冷却水循环使用，不外排。生活污水经三级化粪池预处理后</w:t>
      </w:r>
      <w:r>
        <w:rPr>
          <w:rFonts w:hint="eastAsia" w:ascii="仿宋_GB2312" w:eastAsia="仿宋_GB2312"/>
          <w:color w:val="auto"/>
          <w:sz w:val="32"/>
          <w:szCs w:val="32"/>
          <w:lang w:eastAsia="zh-CN"/>
        </w:rPr>
        <w:t>，</w:t>
      </w:r>
      <w:r>
        <w:rPr>
          <w:rFonts w:hint="eastAsia" w:ascii="仿宋_GB2312" w:eastAsia="仿宋_GB2312"/>
          <w:color w:val="auto"/>
          <w:sz w:val="32"/>
          <w:szCs w:val="32"/>
        </w:rPr>
        <w:t>排入市政集污管网，送前锋净水厂集中处理。项目设置</w:t>
      </w:r>
      <w:r>
        <w:rPr>
          <w:rFonts w:hint="eastAsia" w:ascii="仿宋_GB2312" w:eastAsia="仿宋_GB2312"/>
          <w:color w:val="auto"/>
          <w:sz w:val="32"/>
          <w:szCs w:val="32"/>
          <w:lang w:val="en-US" w:eastAsia="zh-CN"/>
        </w:rPr>
        <w:t>生活污水排放口</w:t>
      </w:r>
      <w:r>
        <w:rPr>
          <w:rFonts w:hint="eastAsia" w:ascii="仿宋_GB2312" w:eastAsia="仿宋_GB2312"/>
          <w:color w:val="auto"/>
          <w:sz w:val="32"/>
          <w:szCs w:val="32"/>
        </w:rPr>
        <w:t>1个。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按照</w:t>
      </w:r>
      <w:r>
        <w:rPr>
          <w:rFonts w:hint="eastAsia" w:ascii="仿宋_GB2312" w:eastAsia="仿宋_GB2312"/>
          <w:color w:val="auto"/>
          <w:sz w:val="32"/>
          <w:szCs w:val="32"/>
          <w:lang w:eastAsia="zh-CN"/>
        </w:rPr>
        <w:t>广东省</w:t>
      </w:r>
      <w:r>
        <w:rPr>
          <w:rFonts w:hint="eastAsia" w:ascii="仿宋_GB2312" w:eastAsia="仿宋_GB2312"/>
          <w:color w:val="auto"/>
          <w:sz w:val="32"/>
          <w:szCs w:val="32"/>
        </w:rPr>
        <w:t>《固定污染源挥发性有机物综合排放标准》（DB44</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2367-2022）的无组织排放控制要求落实相关措施</w:t>
      </w:r>
      <w:r>
        <w:rPr>
          <w:rFonts w:hint="eastAsia" w:ascii="仿宋_GB2312" w:eastAsia="仿宋_GB2312"/>
          <w:color w:val="auto"/>
          <w:sz w:val="32"/>
          <w:szCs w:val="32"/>
          <w:lang w:eastAsia="zh-CN"/>
        </w:rPr>
        <w:t>。</w:t>
      </w:r>
      <w:r>
        <w:rPr>
          <w:rFonts w:hint="eastAsia" w:ascii="仿宋_GB2312" w:eastAsia="仿宋_GB2312"/>
          <w:color w:val="auto"/>
          <w:sz w:val="32"/>
          <w:szCs w:val="32"/>
        </w:rPr>
        <w:t>灯带生产过程产生的废气收集至二级活性炭吸附装置处理后通过专用管道引至所在建筑楼顶高空排放，排放口高度不低于15米。项目设置废气排放口1个。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（四）废活性炭、废化学品原料罐</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废PCB板、废UV灯管</w:t>
      </w:r>
      <w:r>
        <w:rPr>
          <w:rFonts w:hint="eastAsia" w:ascii="仿宋_GB2312" w:eastAsia="仿宋_GB2312"/>
          <w:color w:val="auto"/>
          <w:sz w:val="32"/>
          <w:szCs w:val="32"/>
        </w:rPr>
        <w:t>等</w:t>
      </w:r>
      <w:r>
        <w:rPr>
          <w:rFonts w:hint="eastAsia" w:ascii="仿宋_GB2312" w:eastAsia="仿宋_GB2312"/>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wordWrap/>
        <w:overflowPunct/>
        <w:topLinePunct w:val="0"/>
        <w:autoSpaceDE/>
        <w:autoSpaceDN/>
        <w:bidi w:val="0"/>
        <w:adjustRightInd/>
        <w:snapToGrid/>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pPr>
        <w:pStyle w:val="18"/>
        <w:keepNext w:val="0"/>
        <w:keepLines w:val="0"/>
        <w:pageBreakBefore w:val="0"/>
        <w:kinsoku/>
        <w:wordWrap/>
        <w:overflowPunct/>
        <w:topLinePunct w:val="0"/>
        <w:autoSpaceDE/>
        <w:autoSpaceDN/>
        <w:bidi w:val="0"/>
        <w:adjustRightInd/>
        <w:snapToGrid/>
        <w:spacing w:line="560" w:lineRule="exact"/>
        <w:ind w:firstLine="636"/>
        <w:textAlignment w:val="auto"/>
        <w:rPr>
          <w:rFonts w:hint="eastAsia" w:eastAsia="仿宋_GB2312"/>
          <w:color w:val="auto"/>
          <w:sz w:val="32"/>
          <w:szCs w:val="32"/>
        </w:rPr>
      </w:pPr>
      <w:r>
        <w:rPr>
          <w:rFonts w:hint="eastAsia" w:ascii="仿宋_GB2312" w:eastAsia="仿宋_GB2312"/>
          <w:color w:val="auto"/>
          <w:sz w:val="32"/>
          <w:szCs w:val="32"/>
          <w:lang w:val="en-US" w:eastAsia="zh-CN"/>
        </w:rPr>
        <w:t>七</w:t>
      </w:r>
      <w:r>
        <w:rPr>
          <w:rFonts w:hint="eastAsia" w:ascii="仿宋_GB2312" w:eastAsia="仿宋_GB2312"/>
          <w:color w:val="auto"/>
          <w:sz w:val="32"/>
          <w:szCs w:val="32"/>
        </w:rPr>
        <w:t>、</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19</w:t>
      </w:r>
      <w:r>
        <w:rPr>
          <w:rFonts w:hint="eastAsia" w:ascii="仿宋_GB2312" w:eastAsia="仿宋_GB2312"/>
          <w:color w:val="auto"/>
          <w:sz w:val="32"/>
          <w:szCs w:val="32"/>
        </w:rPr>
        <w:t>日</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s="Times New Roman"/>
          <w:color w:val="auto"/>
          <w:sz w:val="28"/>
          <w:szCs w:val="28"/>
          <w:lang w:val="en-US" w:eastAsia="zh-CN"/>
        </w:rPr>
        <w:t>四</w:t>
      </w:r>
      <w:r>
        <w:rPr>
          <w:rFonts w:hint="eastAsia" w:ascii="仿宋_GB2312" w:eastAsia="仿宋_GB2312" w:cs="Times New Roman"/>
          <w:color w:val="auto"/>
          <w:sz w:val="28"/>
          <w:szCs w:val="28"/>
        </w:rPr>
        <w:t>环保所，绿匠智慧(广东)生态环境科技有限公司。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pPr>
      <w:pStyle w:val="4"/>
      <w:ind w:right="360" w:firstLine="360"/>
      <w:jc w:val="center"/>
      <w:rPr>
        <w:rFonts w:ascii="Times New Roman" w:hAnsi="Times New Roman"/>
        <w:sz w:val="28"/>
        <w:szCs w:val="28"/>
      </w:rP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20C3600"/>
    <w:rsid w:val="0268515D"/>
    <w:rsid w:val="02716DEA"/>
    <w:rsid w:val="02EB0F88"/>
    <w:rsid w:val="030644C0"/>
    <w:rsid w:val="039E0DF7"/>
    <w:rsid w:val="04420EAC"/>
    <w:rsid w:val="06007CD2"/>
    <w:rsid w:val="068E76D9"/>
    <w:rsid w:val="07500F64"/>
    <w:rsid w:val="07B33DCC"/>
    <w:rsid w:val="091574A4"/>
    <w:rsid w:val="0B1F3303"/>
    <w:rsid w:val="0BD6366A"/>
    <w:rsid w:val="0C7516B2"/>
    <w:rsid w:val="0C9F7EDC"/>
    <w:rsid w:val="0DE36B99"/>
    <w:rsid w:val="0E3B3C64"/>
    <w:rsid w:val="0EB63323"/>
    <w:rsid w:val="0F0E2A75"/>
    <w:rsid w:val="109910DF"/>
    <w:rsid w:val="10BF38FB"/>
    <w:rsid w:val="114D6223"/>
    <w:rsid w:val="119F01F9"/>
    <w:rsid w:val="11B62D57"/>
    <w:rsid w:val="1228191C"/>
    <w:rsid w:val="12737E91"/>
    <w:rsid w:val="12D353FC"/>
    <w:rsid w:val="12DA5DA1"/>
    <w:rsid w:val="157D650A"/>
    <w:rsid w:val="15E378D9"/>
    <w:rsid w:val="161A577A"/>
    <w:rsid w:val="172B459E"/>
    <w:rsid w:val="17AD29E2"/>
    <w:rsid w:val="18044A52"/>
    <w:rsid w:val="184137F0"/>
    <w:rsid w:val="18AF0044"/>
    <w:rsid w:val="18E54ABA"/>
    <w:rsid w:val="1A573884"/>
    <w:rsid w:val="1BC528C4"/>
    <w:rsid w:val="1C362F43"/>
    <w:rsid w:val="1D4266B3"/>
    <w:rsid w:val="1D5536ED"/>
    <w:rsid w:val="1E2B2740"/>
    <w:rsid w:val="1E537B54"/>
    <w:rsid w:val="1F1C1174"/>
    <w:rsid w:val="1F4D7EC7"/>
    <w:rsid w:val="20CF4E76"/>
    <w:rsid w:val="221365B8"/>
    <w:rsid w:val="22D33ED1"/>
    <w:rsid w:val="23241352"/>
    <w:rsid w:val="23F0756A"/>
    <w:rsid w:val="25505764"/>
    <w:rsid w:val="26B164C1"/>
    <w:rsid w:val="2859447A"/>
    <w:rsid w:val="288171DB"/>
    <w:rsid w:val="28AE5DA0"/>
    <w:rsid w:val="292A3042"/>
    <w:rsid w:val="29A60472"/>
    <w:rsid w:val="2AB001C8"/>
    <w:rsid w:val="2ACE1068"/>
    <w:rsid w:val="2AD57069"/>
    <w:rsid w:val="2B7226BA"/>
    <w:rsid w:val="2DF91D5D"/>
    <w:rsid w:val="2EEA4FA4"/>
    <w:rsid w:val="304A1BD7"/>
    <w:rsid w:val="307C5365"/>
    <w:rsid w:val="30A22B85"/>
    <w:rsid w:val="30DB51D6"/>
    <w:rsid w:val="30E824A8"/>
    <w:rsid w:val="31696C72"/>
    <w:rsid w:val="3192431B"/>
    <w:rsid w:val="34A100EE"/>
    <w:rsid w:val="35D37D9D"/>
    <w:rsid w:val="36313158"/>
    <w:rsid w:val="368837BB"/>
    <w:rsid w:val="36BC1999"/>
    <w:rsid w:val="36DC47B5"/>
    <w:rsid w:val="38EB77CC"/>
    <w:rsid w:val="3A1D0EF5"/>
    <w:rsid w:val="3AA44A54"/>
    <w:rsid w:val="3AE822E0"/>
    <w:rsid w:val="3C8B0C00"/>
    <w:rsid w:val="3CC7607D"/>
    <w:rsid w:val="3CCA53AD"/>
    <w:rsid w:val="3CF81873"/>
    <w:rsid w:val="3D4E0D45"/>
    <w:rsid w:val="3D87592C"/>
    <w:rsid w:val="3DCD6D7C"/>
    <w:rsid w:val="3DDE2DCA"/>
    <w:rsid w:val="3EEA5570"/>
    <w:rsid w:val="3EF55262"/>
    <w:rsid w:val="41171C7F"/>
    <w:rsid w:val="450F1F75"/>
    <w:rsid w:val="453C3F01"/>
    <w:rsid w:val="46960AC6"/>
    <w:rsid w:val="469E27A2"/>
    <w:rsid w:val="473A5FE2"/>
    <w:rsid w:val="48BA7834"/>
    <w:rsid w:val="4AE22D88"/>
    <w:rsid w:val="4B621286"/>
    <w:rsid w:val="4BD604F2"/>
    <w:rsid w:val="4CDB6B18"/>
    <w:rsid w:val="4D1D2609"/>
    <w:rsid w:val="4E305A20"/>
    <w:rsid w:val="4EB11A7C"/>
    <w:rsid w:val="4F586ABA"/>
    <w:rsid w:val="4F9C166D"/>
    <w:rsid w:val="4FB16F0D"/>
    <w:rsid w:val="506077DD"/>
    <w:rsid w:val="50AF3A72"/>
    <w:rsid w:val="52BB3DEE"/>
    <w:rsid w:val="531A5C9F"/>
    <w:rsid w:val="53406164"/>
    <w:rsid w:val="55AA541C"/>
    <w:rsid w:val="567E16A6"/>
    <w:rsid w:val="578146C5"/>
    <w:rsid w:val="57D05EFC"/>
    <w:rsid w:val="58272CFA"/>
    <w:rsid w:val="585A1C5D"/>
    <w:rsid w:val="596879A6"/>
    <w:rsid w:val="59F57B8E"/>
    <w:rsid w:val="5AE22E96"/>
    <w:rsid w:val="5B2D7586"/>
    <w:rsid w:val="5B7E4A72"/>
    <w:rsid w:val="5C2627EC"/>
    <w:rsid w:val="5C997487"/>
    <w:rsid w:val="5E811B87"/>
    <w:rsid w:val="5FCC0598"/>
    <w:rsid w:val="5FDB5E32"/>
    <w:rsid w:val="60205975"/>
    <w:rsid w:val="616C7C4F"/>
    <w:rsid w:val="61E60419"/>
    <w:rsid w:val="62973EAF"/>
    <w:rsid w:val="62BE08BB"/>
    <w:rsid w:val="62DF3CEE"/>
    <w:rsid w:val="62ED44B6"/>
    <w:rsid w:val="63B76719"/>
    <w:rsid w:val="654F3592"/>
    <w:rsid w:val="66D37837"/>
    <w:rsid w:val="670A7A3E"/>
    <w:rsid w:val="67B64F2C"/>
    <w:rsid w:val="68347744"/>
    <w:rsid w:val="68480400"/>
    <w:rsid w:val="698666E7"/>
    <w:rsid w:val="698E0FAD"/>
    <w:rsid w:val="699C39A9"/>
    <w:rsid w:val="69EF3DF1"/>
    <w:rsid w:val="6A43751C"/>
    <w:rsid w:val="6ABA28D3"/>
    <w:rsid w:val="6B2F71CC"/>
    <w:rsid w:val="6C405204"/>
    <w:rsid w:val="6CBE6848"/>
    <w:rsid w:val="6CE13A23"/>
    <w:rsid w:val="6D8B22BF"/>
    <w:rsid w:val="6ED765D6"/>
    <w:rsid w:val="6F112A2C"/>
    <w:rsid w:val="7091535C"/>
    <w:rsid w:val="73006EB1"/>
    <w:rsid w:val="73417714"/>
    <w:rsid w:val="747D1147"/>
    <w:rsid w:val="753C7552"/>
    <w:rsid w:val="762C5749"/>
    <w:rsid w:val="765C5FCF"/>
    <w:rsid w:val="77A5337F"/>
    <w:rsid w:val="77D37743"/>
    <w:rsid w:val="78021588"/>
    <w:rsid w:val="78824C27"/>
    <w:rsid w:val="79442D41"/>
    <w:rsid w:val="796E01B9"/>
    <w:rsid w:val="7B331FDF"/>
    <w:rsid w:val="7B8B1CB4"/>
    <w:rsid w:val="7BA515D0"/>
    <w:rsid w:val="7BD83DF7"/>
    <w:rsid w:val="7C086396"/>
    <w:rsid w:val="7E4F6A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6</Pages>
  <Words>2766</Words>
  <Characters>2996</Characters>
  <Lines>19</Lines>
  <Paragraphs>5</Paragraphs>
  <TotalTime>1</TotalTime>
  <ScaleCrop>false</ScaleCrop>
  <LinksUpToDate>false</LinksUpToDate>
  <CharactersWithSpaces>3060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2025-02-19T09:08:12Z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2052-11.8.2.10393</vt:lpwstr>
  </property>
  <property fmtid="{D5CDD505-2E9C-101B-9397-08002B2CF9AE}" pid="4" name="ICV">
    <vt:lpwstr>7B1C4AD2043649D185BF4A2F74748C72</vt:lpwstr>
  </property>
</Properties>
</file>