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ind w:right="-156" w:hanging="180"/>
        <w:jc w:val="center"/>
        <w:rPr>
          <w:rFonts w:ascii="公文小标宋简" w:eastAsia="公文小标宋简"/>
          <w:b/>
          <w:bCs/>
          <w:smallCaps/>
          <w:snapToGrid w:val="0"/>
          <w:color w:val="auto"/>
          <w:spacing w:val="56"/>
          <w:kern w:val="0"/>
          <w:sz w:val="72"/>
          <w:szCs w:val="72"/>
        </w:rPr>
      </w:pPr>
    </w:p>
    <w:p>
      <w:pPr>
        <w:keepNext w:val="0"/>
        <w:keepLines w:val="0"/>
        <w:pageBreakBefore w:val="0"/>
        <w:kinsoku/>
        <w:wordWrap w:val="0"/>
        <w:overflowPunct/>
        <w:topLinePunct w:val="0"/>
        <w:autoSpaceDE/>
        <w:autoSpaceDN/>
        <w:bidi w:val="0"/>
        <w:adjustRightInd w:val="0"/>
        <w:snapToGrid w:val="0"/>
        <w:spacing w:line="560" w:lineRule="exact"/>
        <w:ind w:firstLine="420" w:firstLineChars="200"/>
        <w:textAlignment w:val="auto"/>
        <w:rPr>
          <w:rFonts w:ascii="仿宋_GB2312"/>
          <w:color w:val="auto"/>
        </w:rPr>
      </w:pPr>
      <w:r>
        <w:rPr>
          <w:rFonts w:hint="eastAsia" w:ascii="仿宋_GB2312"/>
          <w:color w:val="auto"/>
        </w:rPr>
        <w:t xml:space="preserve">                                       </w:t>
      </w:r>
      <w:r>
        <w:rPr>
          <w:rFonts w:hint="eastAsia" w:ascii="仿宋_GB2312" w:eastAsia="仿宋_GB2312"/>
          <w:color w:val="auto"/>
          <w:sz w:val="32"/>
          <w:szCs w:val="32"/>
        </w:rPr>
        <w:t>穗环管影（番）〔202</w:t>
      </w:r>
      <w:r>
        <w:rPr>
          <w:rFonts w:hint="eastAsia" w:ascii="仿宋_GB2312" w:eastAsia="仿宋_GB2312"/>
          <w:color w:val="auto"/>
          <w:sz w:val="32"/>
          <w:szCs w:val="32"/>
          <w:lang w:val="en-US" w:eastAsia="zh-CN"/>
        </w:rPr>
        <w:t>5</w:t>
      </w:r>
      <w:r>
        <w:rPr>
          <w:rFonts w:hint="eastAsia" w:ascii="仿宋_GB2312" w:eastAsia="仿宋_GB2312"/>
          <w:color w:val="auto"/>
          <w:sz w:val="32"/>
          <w:szCs w:val="32"/>
        </w:rPr>
        <w:t>〕</w:t>
      </w:r>
      <w:r>
        <w:rPr>
          <w:rFonts w:hint="eastAsia" w:ascii="仿宋_GB2312" w:eastAsia="仿宋_GB2312"/>
          <w:color w:val="auto"/>
          <w:sz w:val="32"/>
          <w:szCs w:val="32"/>
          <w:lang w:val="en-US" w:eastAsia="zh-CN"/>
        </w:rPr>
        <w:t>19</w:t>
      </w:r>
      <w:bookmarkStart w:id="0" w:name="_GoBack"/>
      <w:bookmarkEnd w:id="0"/>
      <w:r>
        <w:rPr>
          <w:rFonts w:hint="eastAsia" w:ascii="仿宋_GB2312" w:eastAsia="仿宋_GB2312"/>
          <w:color w:val="auto"/>
          <w:sz w:val="32"/>
          <w:szCs w:val="32"/>
        </w:rPr>
        <w:t>号</w:t>
      </w:r>
    </w:p>
    <w:p>
      <w:pPr>
        <w:keepNext w:val="0"/>
        <w:keepLines w:val="0"/>
        <w:pageBreakBefore w:val="0"/>
        <w:kinsoku/>
        <w:overflowPunct/>
        <w:topLinePunct w:val="0"/>
        <w:autoSpaceDE/>
        <w:autoSpaceDN/>
        <w:bidi w:val="0"/>
        <w:spacing w:line="560" w:lineRule="exact"/>
        <w:textAlignment w:val="auto"/>
        <w:rPr>
          <w:rFonts w:ascii="黑体" w:eastAsia="黑体"/>
          <w:color w:val="auto"/>
        </w:rPr>
      </w:pPr>
    </w:p>
    <w:p>
      <w:pPr>
        <w:keepNext w:val="0"/>
        <w:keepLines w:val="0"/>
        <w:pageBreakBefore w:val="0"/>
        <w:kinsoku/>
        <w:overflowPunct/>
        <w:topLinePunct w:val="0"/>
        <w:autoSpaceDE/>
        <w:autoSpaceDN/>
        <w:bidi w:val="0"/>
        <w:adjustRightInd w:val="0"/>
        <w:snapToGrid w:val="0"/>
        <w:spacing w:line="560" w:lineRule="exact"/>
        <w:textAlignment w:val="auto"/>
        <w:rPr>
          <w:rFonts w:ascii="仿宋_GB2312"/>
          <w:color w:val="auto"/>
        </w:rPr>
      </w:pPr>
    </w:p>
    <w:p>
      <w:pPr>
        <w:keepNext w:val="0"/>
        <w:keepLines w:val="0"/>
        <w:pageBreakBefore w:val="0"/>
        <w:kinsoku/>
        <w:overflowPunct/>
        <w:topLinePunct w:val="0"/>
        <w:autoSpaceDE/>
        <w:autoSpaceDN/>
        <w:bidi w:val="0"/>
        <w:spacing w:line="560" w:lineRule="exact"/>
        <w:jc w:val="center"/>
        <w:textAlignment w:val="auto"/>
        <w:rPr>
          <w:rFonts w:hint="eastAsia" w:ascii="方正小标宋简体" w:eastAsia="方正小标宋简体"/>
          <w:color w:val="auto"/>
          <w:sz w:val="44"/>
          <w:szCs w:val="44"/>
          <w:lang w:eastAsia="zh-CN"/>
        </w:rPr>
      </w:pPr>
      <w:r>
        <w:rPr>
          <w:rFonts w:hint="eastAsia" w:ascii="方正小标宋简体" w:eastAsia="方正小标宋简体"/>
          <w:color w:val="auto"/>
          <w:w w:val="95"/>
          <w:sz w:val="44"/>
          <w:szCs w:val="44"/>
        </w:rPr>
        <w:t>广州市生态环境局关于</w:t>
      </w:r>
      <w:r>
        <w:rPr>
          <w:rFonts w:hint="eastAsia" w:ascii="方正小标宋简体" w:eastAsia="方正小标宋简体"/>
          <w:color w:val="auto"/>
          <w:w w:val="95"/>
          <w:sz w:val="44"/>
          <w:szCs w:val="44"/>
          <w:lang w:eastAsia="zh-CN"/>
        </w:rPr>
        <w:t>广州市名加医疗器械制</w:t>
      </w:r>
      <w:r>
        <w:rPr>
          <w:rFonts w:hint="eastAsia" w:ascii="方正小标宋简体" w:eastAsia="方正小标宋简体"/>
          <w:color w:val="auto"/>
          <w:sz w:val="44"/>
          <w:szCs w:val="44"/>
          <w:lang w:eastAsia="zh-CN"/>
        </w:rPr>
        <w:t>造有限公司年产医疗器械35.6吨扩建项目</w:t>
      </w:r>
    </w:p>
    <w:p>
      <w:pPr>
        <w:keepNext w:val="0"/>
        <w:keepLines w:val="0"/>
        <w:pageBreakBefore w:val="0"/>
        <w:kinsoku/>
        <w:overflowPunct/>
        <w:topLinePunct w:val="0"/>
        <w:autoSpaceDE/>
        <w:autoSpaceDN/>
        <w:bidi w:val="0"/>
        <w:spacing w:line="560" w:lineRule="exact"/>
        <w:jc w:val="center"/>
        <w:textAlignment w:val="auto"/>
        <w:rPr>
          <w:rFonts w:ascii="方正小标宋简体" w:eastAsia="方正小标宋简体"/>
          <w:color w:val="auto"/>
          <w:sz w:val="44"/>
          <w:szCs w:val="44"/>
        </w:rPr>
      </w:pPr>
      <w:r>
        <w:rPr>
          <w:rFonts w:hint="eastAsia" w:ascii="方正小标宋简体" w:eastAsia="方正小标宋简体"/>
          <w:color w:val="auto"/>
          <w:sz w:val="44"/>
          <w:szCs w:val="44"/>
        </w:rPr>
        <w:t>环境影响报告表的批复</w:t>
      </w:r>
    </w:p>
    <w:p>
      <w:pPr>
        <w:keepNext w:val="0"/>
        <w:keepLines w:val="0"/>
        <w:pageBreakBefore w:val="0"/>
        <w:kinsoku/>
        <w:overflowPunct/>
        <w:topLinePunct w:val="0"/>
        <w:autoSpaceDE/>
        <w:autoSpaceDN/>
        <w:bidi w:val="0"/>
        <w:spacing w:line="560" w:lineRule="exact"/>
        <w:textAlignment w:val="auto"/>
        <w:rPr>
          <w:rFonts w:ascii="仿宋_GB2312" w:eastAsia="仿宋_GB2312"/>
          <w:color w:val="auto"/>
          <w:sz w:val="32"/>
          <w:szCs w:val="32"/>
        </w:rPr>
      </w:pPr>
    </w:p>
    <w:p>
      <w:pPr>
        <w:keepNext w:val="0"/>
        <w:keepLines w:val="0"/>
        <w:pageBreakBefore w:val="0"/>
        <w:kinsoku/>
        <w:wordWrap/>
        <w:overflowPunct/>
        <w:topLinePunct w:val="0"/>
        <w:autoSpaceDE/>
        <w:autoSpaceDN/>
        <w:bidi w:val="0"/>
        <w:adjustRightInd/>
        <w:snapToGrid/>
        <w:spacing w:line="560" w:lineRule="exact"/>
        <w:textAlignment w:val="auto"/>
        <w:rPr>
          <w:rFonts w:hint="eastAsia" w:ascii="仿宋_GB2312" w:eastAsia="仿宋_GB2312"/>
          <w:color w:val="auto"/>
          <w:sz w:val="32"/>
          <w:szCs w:val="32"/>
        </w:rPr>
      </w:pPr>
      <w:r>
        <w:rPr>
          <w:rFonts w:hint="eastAsia" w:ascii="仿宋_GB2312" w:eastAsia="仿宋_GB2312"/>
          <w:color w:val="auto"/>
          <w:sz w:val="32"/>
          <w:szCs w:val="32"/>
          <w:lang w:eastAsia="zh-CN"/>
        </w:rPr>
        <w:t>广州市名加医疗器械制造有限公司</w:t>
      </w:r>
      <w:r>
        <w:rPr>
          <w:rFonts w:hint="eastAsia" w:ascii="仿宋_GB2312" w:eastAsia="仿宋_GB2312"/>
          <w:color w:val="auto"/>
          <w:sz w:val="32"/>
          <w:szCs w:val="32"/>
        </w:rPr>
        <w:t>（</w:t>
      </w:r>
      <w:r>
        <w:rPr>
          <w:rFonts w:hint="default" w:ascii="仿宋_GB2312" w:eastAsia="仿宋_GB2312"/>
          <w:color w:val="auto"/>
          <w:sz w:val="32"/>
          <w:szCs w:val="32"/>
        </w:rPr>
        <w:t>91440101797368776H</w:t>
      </w:r>
      <w:r>
        <w:rPr>
          <w:rFonts w:hint="eastAsia" w:ascii="仿宋_GB2312" w:eastAsia="仿宋_GB2312"/>
          <w:color w:val="auto"/>
          <w:sz w:val="32"/>
          <w:szCs w:val="32"/>
        </w:rPr>
        <w:t>）：</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你单位报送的《</w:t>
      </w:r>
      <w:r>
        <w:rPr>
          <w:rFonts w:hint="eastAsia" w:ascii="仿宋_GB2312" w:eastAsia="仿宋_GB2312"/>
          <w:color w:val="auto"/>
          <w:sz w:val="32"/>
          <w:szCs w:val="32"/>
          <w:lang w:eastAsia="zh-CN"/>
        </w:rPr>
        <w:t>广州市名加医疗器械制造有限公司年产医疗器械35.6吨扩建项目</w:t>
      </w:r>
      <w:r>
        <w:rPr>
          <w:rFonts w:hint="eastAsia" w:ascii="仿宋_GB2312" w:eastAsia="仿宋_GB2312"/>
          <w:color w:val="auto"/>
          <w:sz w:val="32"/>
          <w:szCs w:val="32"/>
        </w:rPr>
        <w:t>环境影响报告表》（以下简称《报告表》）及附送资料收悉。经研究，现批复如下：</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default" w:ascii="仿宋_GB2312" w:eastAsia="仿宋_GB2312" w:cs="Times New Roman"/>
          <w:color w:val="auto"/>
          <w:sz w:val="32"/>
          <w:szCs w:val="32"/>
          <w:lang w:val="en-US" w:eastAsia="zh-CN"/>
        </w:rPr>
      </w:pPr>
      <w:r>
        <w:rPr>
          <w:rFonts w:hint="eastAsia" w:ascii="仿宋_GB2312" w:eastAsia="仿宋_GB2312"/>
          <w:color w:val="auto"/>
          <w:sz w:val="32"/>
          <w:szCs w:val="32"/>
        </w:rPr>
        <w:t>一、</w:t>
      </w:r>
      <w:r>
        <w:rPr>
          <w:rFonts w:hint="eastAsia" w:ascii="仿宋_GB2312" w:eastAsia="仿宋_GB2312"/>
          <w:color w:val="auto"/>
          <w:sz w:val="32"/>
          <w:szCs w:val="32"/>
          <w:lang w:eastAsia="zh-CN"/>
        </w:rPr>
        <w:t>广州市名</w:t>
      </w:r>
      <w:r>
        <w:rPr>
          <w:rFonts w:hint="eastAsia" w:ascii="仿宋_GB2312" w:eastAsia="仿宋_GB2312" w:cs="Times New Roman"/>
          <w:color w:val="auto"/>
          <w:sz w:val="32"/>
          <w:szCs w:val="32"/>
          <w:lang w:eastAsia="zh-CN"/>
        </w:rPr>
        <w:t>加医疗器械制造有限公司年产医疗器械35.6吨扩建项目（以下简称“该项目”）位于广州市番禺区钟村街钟顺路586号1栋4楼，申报内容为</w:t>
      </w:r>
      <w:r>
        <w:rPr>
          <w:rFonts w:hint="eastAsia" w:ascii="仿宋_GB2312" w:eastAsia="仿宋_GB2312" w:cs="Times New Roman"/>
          <w:color w:val="auto"/>
          <w:sz w:val="32"/>
          <w:szCs w:val="32"/>
          <w:lang w:val="en-US" w:eastAsia="zh-CN"/>
        </w:rPr>
        <w:t>扩大生产规模、增加产品类型，</w:t>
      </w:r>
      <w:r>
        <w:rPr>
          <w:rFonts w:hint="eastAsia" w:ascii="仿宋_GB2312" w:eastAsia="仿宋_GB2312" w:cs="Times New Roman"/>
          <w:color w:val="auto"/>
          <w:sz w:val="32"/>
          <w:szCs w:val="32"/>
          <w:lang w:eastAsia="zh-CN"/>
        </w:rPr>
        <w:t>年</w:t>
      </w:r>
      <w:r>
        <w:rPr>
          <w:rFonts w:hint="eastAsia" w:ascii="仿宋_GB2312" w:eastAsia="仿宋_GB2312" w:cs="Times New Roman"/>
          <w:color w:val="auto"/>
          <w:sz w:val="32"/>
          <w:szCs w:val="32"/>
          <w:lang w:val="en-US" w:eastAsia="zh-CN"/>
        </w:rPr>
        <w:t>增</w:t>
      </w:r>
      <w:r>
        <w:rPr>
          <w:rFonts w:hint="eastAsia" w:ascii="仿宋_GB2312" w:eastAsia="仿宋_GB2312" w:cs="Times New Roman"/>
          <w:color w:val="auto"/>
          <w:sz w:val="32"/>
          <w:szCs w:val="32"/>
          <w:lang w:eastAsia="zh-CN"/>
        </w:rPr>
        <w:t>产医疗器械35.6吨（</w:t>
      </w:r>
      <w:r>
        <w:rPr>
          <w:rFonts w:hint="eastAsia" w:ascii="仿宋_GB2312" w:eastAsia="仿宋_GB2312" w:cs="Times New Roman"/>
          <w:color w:val="auto"/>
          <w:sz w:val="32"/>
          <w:szCs w:val="32"/>
          <w:lang w:val="en-US" w:eastAsia="zh-CN"/>
        </w:rPr>
        <w:t>包括呼吸回路13.6吨、止血器9吨、</w:t>
      </w:r>
      <w:r>
        <w:rPr>
          <w:rFonts w:hint="default" w:ascii="仿宋_GB2312" w:eastAsia="仿宋_GB2312" w:cs="Times New Roman"/>
          <w:color w:val="auto"/>
          <w:sz w:val="32"/>
          <w:szCs w:val="32"/>
          <w:lang w:val="en-US" w:eastAsia="zh-CN"/>
        </w:rPr>
        <w:t>一次性穿刺活检针</w:t>
      </w:r>
      <w:r>
        <w:rPr>
          <w:rFonts w:hint="eastAsia" w:ascii="仿宋_GB2312" w:eastAsia="仿宋_GB2312" w:cs="Times New Roman"/>
          <w:color w:val="auto"/>
          <w:sz w:val="32"/>
          <w:szCs w:val="32"/>
          <w:lang w:val="en-US" w:eastAsia="zh-CN"/>
        </w:rPr>
        <w:t>8吨、半自动活检针枪5吨</w:t>
      </w:r>
      <w:r>
        <w:rPr>
          <w:rFonts w:hint="eastAsia" w:ascii="仿宋_GB2312" w:eastAsia="仿宋_GB2312" w:cs="Times New Roman"/>
          <w:color w:val="auto"/>
          <w:sz w:val="32"/>
          <w:szCs w:val="32"/>
          <w:lang w:eastAsia="zh-CN"/>
        </w:rPr>
        <w:t>）。该项目</w:t>
      </w:r>
      <w:r>
        <w:rPr>
          <w:rFonts w:hint="eastAsia" w:ascii="仿宋_GB2312" w:eastAsia="仿宋_GB2312" w:cs="Times New Roman"/>
          <w:color w:val="auto"/>
          <w:sz w:val="32"/>
          <w:szCs w:val="32"/>
          <w:lang w:val="en-US" w:eastAsia="zh-CN"/>
        </w:rPr>
        <w:t>新增</w:t>
      </w:r>
      <w:r>
        <w:rPr>
          <w:rFonts w:hint="eastAsia" w:ascii="仿宋_GB2312" w:eastAsia="仿宋_GB2312" w:cs="Times New Roman"/>
          <w:color w:val="auto"/>
          <w:sz w:val="32"/>
          <w:szCs w:val="32"/>
          <w:lang w:eastAsia="zh-CN"/>
        </w:rPr>
        <w:t>建筑面积</w:t>
      </w:r>
      <w:r>
        <w:rPr>
          <w:rFonts w:hint="eastAsia" w:ascii="仿宋_GB2312" w:eastAsia="仿宋_GB2312" w:cs="Times New Roman"/>
          <w:color w:val="auto"/>
          <w:sz w:val="32"/>
          <w:szCs w:val="32"/>
          <w:lang w:val="en-US" w:eastAsia="zh-CN"/>
        </w:rPr>
        <w:t>1709</w:t>
      </w:r>
      <w:r>
        <w:rPr>
          <w:rFonts w:hint="eastAsia" w:ascii="仿宋_GB2312" w:eastAsia="仿宋_GB2312" w:cs="Times New Roman"/>
          <w:color w:val="auto"/>
          <w:sz w:val="32"/>
          <w:szCs w:val="32"/>
          <w:lang w:eastAsia="zh-CN"/>
        </w:rPr>
        <w:t>平方米，</w:t>
      </w:r>
      <w:r>
        <w:rPr>
          <w:rFonts w:hint="eastAsia" w:ascii="仿宋_GB2312" w:eastAsia="仿宋_GB2312" w:cs="Times New Roman"/>
          <w:color w:val="auto"/>
          <w:sz w:val="32"/>
          <w:szCs w:val="32"/>
          <w:lang w:val="en-US" w:eastAsia="zh-CN"/>
        </w:rPr>
        <w:t>租用1栋5层建筑的第四层</w:t>
      </w:r>
      <w:r>
        <w:rPr>
          <w:rFonts w:hint="eastAsia" w:ascii="仿宋_GB2312" w:eastAsia="仿宋_GB2312" w:cs="Times New Roman"/>
          <w:color w:val="auto"/>
          <w:sz w:val="32"/>
          <w:szCs w:val="32"/>
          <w:lang w:eastAsia="zh-CN"/>
        </w:rPr>
        <w:t>；主要</w:t>
      </w:r>
      <w:r>
        <w:rPr>
          <w:rFonts w:hint="eastAsia" w:ascii="仿宋_GB2312" w:eastAsia="仿宋_GB2312" w:cs="Times New Roman"/>
          <w:color w:val="auto"/>
          <w:sz w:val="32"/>
          <w:szCs w:val="32"/>
          <w:lang w:val="en-US" w:eastAsia="zh-CN"/>
        </w:rPr>
        <w:t>新增</w:t>
      </w:r>
      <w:r>
        <w:rPr>
          <w:rFonts w:hint="eastAsia" w:ascii="仿宋_GB2312" w:eastAsia="仿宋_GB2312" w:cs="Times New Roman"/>
          <w:color w:val="auto"/>
          <w:sz w:val="32"/>
          <w:szCs w:val="32"/>
          <w:lang w:eastAsia="zh-CN"/>
        </w:rPr>
        <w:t>设备有</w:t>
      </w:r>
      <w:r>
        <w:rPr>
          <w:rFonts w:hint="eastAsia" w:ascii="仿宋_GB2312" w:eastAsia="仿宋_GB2312" w:cs="Times New Roman"/>
          <w:color w:val="auto"/>
          <w:sz w:val="32"/>
          <w:szCs w:val="32"/>
          <w:lang w:val="en-US" w:eastAsia="zh-CN"/>
        </w:rPr>
        <w:t>注塑机8台、挤出机1台、超音波塑胶熔接机1台、</w:t>
      </w:r>
      <w:r>
        <w:rPr>
          <w:rFonts w:hint="default" w:ascii="仿宋_GB2312" w:eastAsia="仿宋_GB2312" w:cs="Times New Roman"/>
          <w:color w:val="auto"/>
          <w:sz w:val="32"/>
          <w:szCs w:val="32"/>
          <w:lang w:val="en-US" w:eastAsia="zh-CN"/>
        </w:rPr>
        <w:t>带空气过滤的模块机组</w:t>
      </w:r>
      <w:r>
        <w:rPr>
          <w:rFonts w:hint="eastAsia" w:ascii="仿宋_GB2312" w:eastAsia="仿宋_GB2312" w:cs="Times New Roman"/>
          <w:color w:val="auto"/>
          <w:sz w:val="32"/>
          <w:szCs w:val="32"/>
          <w:lang w:val="en-US" w:eastAsia="zh-CN"/>
        </w:rPr>
        <w:t>1台、超声波清洗机（配干燥机）2台、封口机2台、</w:t>
      </w:r>
      <w:r>
        <w:rPr>
          <w:rFonts w:hint="default" w:ascii="仿宋_GB2312" w:eastAsia="仿宋_GB2312" w:cs="Times New Roman"/>
          <w:color w:val="auto"/>
          <w:sz w:val="32"/>
          <w:szCs w:val="32"/>
          <w:lang w:val="en-US" w:eastAsia="zh-CN"/>
        </w:rPr>
        <w:t>水冷系统（含冷水塔）</w:t>
      </w:r>
      <w:r>
        <w:rPr>
          <w:rFonts w:hint="eastAsia" w:ascii="仿宋_GB2312" w:eastAsia="仿宋_GB2312" w:cs="Times New Roman"/>
          <w:color w:val="auto"/>
          <w:sz w:val="32"/>
          <w:szCs w:val="32"/>
          <w:lang w:val="en-US" w:eastAsia="zh-CN"/>
        </w:rPr>
        <w:t>1台、</w:t>
      </w:r>
      <w:r>
        <w:rPr>
          <w:rFonts w:hint="default" w:ascii="仿宋_GB2312" w:eastAsia="仿宋_GB2312" w:cs="Times New Roman"/>
          <w:color w:val="auto"/>
          <w:sz w:val="32"/>
          <w:szCs w:val="32"/>
          <w:lang w:eastAsia="zh-CN"/>
        </w:rPr>
        <w:t>空压机</w:t>
      </w:r>
      <w:r>
        <w:rPr>
          <w:rFonts w:hint="eastAsia" w:ascii="仿宋_GB2312" w:eastAsia="仿宋_GB2312" w:cs="Times New Roman"/>
          <w:color w:val="auto"/>
          <w:sz w:val="32"/>
          <w:szCs w:val="32"/>
          <w:lang w:val="en-US" w:eastAsia="zh-CN"/>
        </w:rPr>
        <w:t>1台等</w:t>
      </w:r>
      <w:r>
        <w:rPr>
          <w:rFonts w:hint="eastAsia" w:ascii="仿宋_GB2312" w:eastAsia="仿宋_GB2312" w:cs="Times New Roman"/>
          <w:color w:val="auto"/>
          <w:sz w:val="32"/>
          <w:szCs w:val="32"/>
          <w:lang w:eastAsia="zh-CN"/>
        </w:rPr>
        <w:t>；</w:t>
      </w:r>
      <w:r>
        <w:rPr>
          <w:rFonts w:hint="eastAsia" w:ascii="仿宋_GB2312" w:eastAsia="仿宋_GB2312"/>
          <w:color w:val="auto"/>
          <w:sz w:val="32"/>
          <w:szCs w:val="32"/>
          <w:lang w:val="en-US" w:eastAsia="zh-CN"/>
        </w:rPr>
        <w:t>新增</w:t>
      </w:r>
      <w:r>
        <w:rPr>
          <w:rFonts w:hint="eastAsia" w:ascii="仿宋_GB2312" w:eastAsia="仿宋_GB2312"/>
          <w:color w:val="auto"/>
          <w:sz w:val="32"/>
          <w:szCs w:val="32"/>
        </w:rPr>
        <w:t>员工</w:t>
      </w:r>
      <w:r>
        <w:rPr>
          <w:rFonts w:hint="eastAsia" w:ascii="仿宋_GB2312" w:eastAsia="仿宋_GB2312"/>
          <w:color w:val="auto"/>
          <w:sz w:val="32"/>
          <w:szCs w:val="32"/>
          <w:lang w:val="en-US" w:eastAsia="zh-CN"/>
        </w:rPr>
        <w:t>46</w:t>
      </w:r>
      <w:r>
        <w:rPr>
          <w:rFonts w:hint="eastAsia" w:ascii="仿宋_GB2312" w:eastAsia="仿宋_GB2312"/>
          <w:color w:val="auto"/>
          <w:sz w:val="32"/>
          <w:szCs w:val="32"/>
        </w:rPr>
        <w:t>名，内部不安排食宿</w:t>
      </w:r>
      <w:r>
        <w:rPr>
          <w:rFonts w:hint="eastAsia" w:ascii="仿宋_GB2312" w:eastAsia="仿宋_GB2312"/>
          <w:color w:val="auto"/>
          <w:sz w:val="32"/>
          <w:szCs w:val="32"/>
          <w:lang w:eastAsia="zh-CN"/>
        </w:rPr>
        <w:t>。</w:t>
      </w:r>
      <w:r>
        <w:rPr>
          <w:rFonts w:hint="eastAsia" w:ascii="仿宋_GB2312" w:eastAsia="仿宋_GB2312"/>
          <w:color w:val="auto"/>
          <w:sz w:val="32"/>
          <w:szCs w:val="32"/>
          <w:lang w:val="en-US" w:eastAsia="zh-CN"/>
        </w:rPr>
        <w:t>该项目</w:t>
      </w:r>
      <w:r>
        <w:rPr>
          <w:rFonts w:hint="eastAsia" w:ascii="仿宋_GB2312" w:eastAsia="仿宋_GB2312" w:cs="Times New Roman"/>
          <w:color w:val="auto"/>
          <w:sz w:val="32"/>
          <w:szCs w:val="32"/>
          <w:lang w:val="en-US" w:eastAsia="zh-CN"/>
        </w:rPr>
        <w:t>不使用再生塑料。</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按照《报告表》的评价结论，在落实各项环境保护措施后，该项目产生的污染物及不良环境影响能够得到有效控制，从环境保护角度，在拟选址处建设可行。经审查，我局原则同意《报告表》评价结论。该项目应当按照《报告表》所述性质、规模、地点、生产工艺和环境保护措施进行建设。</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二、该项目各类污染物排放控制要求如下：</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（一）</w:t>
      </w:r>
      <w:r>
        <w:rPr>
          <w:rFonts w:hint="eastAsia" w:ascii="仿宋_GB2312" w:eastAsia="仿宋_GB2312"/>
          <w:color w:val="auto"/>
          <w:sz w:val="32"/>
          <w:szCs w:val="32"/>
          <w:lang w:eastAsia="zh-CN"/>
        </w:rPr>
        <w:t>水污染物</w:t>
      </w:r>
      <w:r>
        <w:rPr>
          <w:rFonts w:hint="eastAsia" w:ascii="仿宋_GB2312" w:eastAsia="仿宋_GB2312"/>
          <w:color w:val="auto"/>
          <w:sz w:val="32"/>
          <w:szCs w:val="32"/>
        </w:rPr>
        <w:t>排放执行广东省《水污染物排放限值》（DB44/26-2001）第二时段三级标准。生活污水</w:t>
      </w:r>
      <w:r>
        <w:rPr>
          <w:rFonts w:hint="eastAsia" w:ascii="仿宋_GB2312" w:eastAsia="仿宋_GB2312"/>
          <w:color w:val="auto"/>
          <w:sz w:val="32"/>
          <w:szCs w:val="32"/>
          <w:lang w:val="en-US" w:eastAsia="zh-CN"/>
        </w:rPr>
        <w:t>新增</w:t>
      </w:r>
      <w:r>
        <w:rPr>
          <w:rFonts w:hint="eastAsia" w:ascii="仿宋_GB2312" w:eastAsia="仿宋_GB2312"/>
          <w:color w:val="auto"/>
          <w:sz w:val="32"/>
          <w:szCs w:val="32"/>
        </w:rPr>
        <w:t>排放量不超过</w:t>
      </w:r>
      <w:r>
        <w:rPr>
          <w:rFonts w:hint="eastAsia" w:ascii="仿宋_GB2312" w:eastAsia="仿宋_GB2312"/>
          <w:color w:val="auto"/>
          <w:sz w:val="32"/>
          <w:szCs w:val="32"/>
          <w:lang w:val="en-US" w:eastAsia="zh-CN"/>
        </w:rPr>
        <w:t>414</w:t>
      </w:r>
      <w:r>
        <w:rPr>
          <w:rFonts w:hint="eastAsia" w:ascii="仿宋_GB2312" w:eastAsia="仿宋_GB2312"/>
          <w:color w:val="auto"/>
          <w:sz w:val="32"/>
          <w:szCs w:val="32"/>
        </w:rPr>
        <w:t>吨/年；生产废水</w:t>
      </w:r>
      <w:r>
        <w:rPr>
          <w:rFonts w:hint="eastAsia" w:ascii="仿宋_GB2312" w:eastAsia="仿宋_GB2312"/>
          <w:color w:val="auto"/>
          <w:sz w:val="32"/>
          <w:szCs w:val="32"/>
          <w:lang w:val="en-US" w:eastAsia="zh-CN"/>
        </w:rPr>
        <w:t>新增</w:t>
      </w:r>
      <w:r>
        <w:rPr>
          <w:rFonts w:hint="eastAsia" w:ascii="仿宋_GB2312" w:eastAsia="仿宋_GB2312"/>
          <w:color w:val="auto"/>
          <w:sz w:val="32"/>
          <w:szCs w:val="32"/>
        </w:rPr>
        <w:t>排放量不超过</w:t>
      </w:r>
      <w:r>
        <w:rPr>
          <w:rFonts w:hint="eastAsia" w:ascii="仿宋_GB2312" w:eastAsia="仿宋_GB2312"/>
          <w:color w:val="auto"/>
          <w:sz w:val="32"/>
          <w:szCs w:val="32"/>
          <w:lang w:val="en-US" w:eastAsia="zh-CN"/>
        </w:rPr>
        <w:t>475</w:t>
      </w:r>
      <w:r>
        <w:rPr>
          <w:rFonts w:hint="eastAsia" w:ascii="仿宋_GB2312" w:eastAsia="仿宋_GB2312"/>
          <w:color w:val="auto"/>
          <w:sz w:val="32"/>
          <w:szCs w:val="32"/>
        </w:rPr>
        <w:t>吨/年。</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（二）臭气浓度排放执行《恶臭污染物排放标准》（GB14554-93）</w:t>
      </w:r>
      <w:r>
        <w:rPr>
          <w:rFonts w:hint="eastAsia" w:ascii="仿宋_GB2312" w:eastAsia="仿宋_GB2312" w:cs="Times New Roman"/>
          <w:color w:val="auto"/>
          <w:sz w:val="32"/>
          <w:szCs w:val="32"/>
          <w:lang w:val="en-US" w:eastAsia="zh-CN"/>
        </w:rPr>
        <w:t>表1厂界新扩改建二级标准限值和表2排放标准值；NMHC、TVOC排放执行《合成树脂工业污染物排放标准》（GB31572-2015）及2024年修改单表5大气污染物特别排放限值及广东省《固定污染源挥发性有机物综合排放标准》（DB44/2367-2022）表1</w:t>
      </w:r>
      <w:r>
        <w:rPr>
          <w:rFonts w:hint="default" w:ascii="仿宋_GB2312" w:eastAsia="仿宋_GB2312" w:cs="Times New Roman"/>
          <w:color w:val="auto"/>
          <w:sz w:val="32"/>
          <w:szCs w:val="32"/>
          <w:lang w:val="en-US" w:eastAsia="zh-CN"/>
        </w:rPr>
        <w:t>挥发性有机物排放限值</w:t>
      </w:r>
      <w:r>
        <w:rPr>
          <w:rFonts w:hint="eastAsia" w:ascii="仿宋_GB2312" w:eastAsia="仿宋_GB2312" w:cs="Times New Roman"/>
          <w:color w:val="auto"/>
          <w:sz w:val="32"/>
          <w:szCs w:val="32"/>
          <w:lang w:val="en-US" w:eastAsia="zh-CN"/>
        </w:rPr>
        <w:t>、表3厂区内VOCs无组织排放限值的较严值。</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（三）边界噪声排放执行《工业企业厂界环境噪声排放标准》（GB12348-2008）3类区限值，即：昼间≤65</w:t>
      </w:r>
      <w:r>
        <w:rPr>
          <w:rFonts w:hint="eastAsia" w:ascii="仿宋_GB2312" w:eastAsia="仿宋_GB2312"/>
          <w:color w:val="auto"/>
          <w:sz w:val="32"/>
          <w:szCs w:val="32"/>
          <w:lang w:val="en-US" w:eastAsia="zh-CN"/>
        </w:rPr>
        <w:t>dB（A）</w:t>
      </w:r>
      <w:r>
        <w:rPr>
          <w:rFonts w:hint="eastAsia" w:ascii="仿宋_GB2312" w:eastAsia="仿宋_GB2312"/>
          <w:color w:val="auto"/>
          <w:sz w:val="32"/>
          <w:szCs w:val="32"/>
        </w:rPr>
        <w:t>，夜间≤55</w:t>
      </w:r>
      <w:r>
        <w:rPr>
          <w:rFonts w:hint="eastAsia" w:ascii="仿宋_GB2312" w:eastAsia="仿宋_GB2312"/>
          <w:color w:val="auto"/>
          <w:sz w:val="32"/>
          <w:szCs w:val="32"/>
          <w:lang w:val="en-US" w:eastAsia="zh-CN"/>
        </w:rPr>
        <w:t>dB（A）</w:t>
      </w:r>
      <w:r>
        <w:rPr>
          <w:rFonts w:hint="eastAsia" w:ascii="仿宋_GB2312" w:eastAsia="仿宋_GB2312"/>
          <w:color w:val="auto"/>
          <w:sz w:val="32"/>
          <w:szCs w:val="32"/>
        </w:rPr>
        <w:t>。</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三、该项目应当认真落实《报告表》提出的各项环境保护措施，重点做好以下工作：</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eastAsia="仿宋_GB2312"/>
          <w:color w:val="auto"/>
          <w:sz w:val="32"/>
          <w:szCs w:val="32"/>
          <w:lang w:val="en-US" w:eastAsia="zh-CN"/>
        </w:rPr>
      </w:pPr>
      <w:r>
        <w:rPr>
          <w:rFonts w:hint="eastAsia" w:ascii="仿宋_GB2312" w:eastAsia="仿宋_GB2312"/>
          <w:color w:val="auto"/>
          <w:sz w:val="32"/>
          <w:szCs w:val="32"/>
        </w:rPr>
        <w:t>（一）排水系统采用雨污分流。</w:t>
      </w:r>
      <w:r>
        <w:rPr>
          <w:rFonts w:hint="eastAsia" w:ascii="仿宋_GB2312" w:eastAsia="仿宋_GB2312"/>
          <w:color w:val="auto"/>
          <w:sz w:val="32"/>
          <w:szCs w:val="32"/>
          <w:lang w:val="en-US" w:eastAsia="zh-CN"/>
        </w:rPr>
        <w:t>同栋原项目的浓水排放去向更改为排入市政污水管网。生产废水依托同栋的原项目一体化污水治理设施后，</w:t>
      </w:r>
      <w:r>
        <w:rPr>
          <w:rFonts w:hint="eastAsia" w:ascii="仿宋_GB2312" w:eastAsia="仿宋_GB2312"/>
          <w:color w:val="auto"/>
          <w:sz w:val="32"/>
          <w:szCs w:val="32"/>
        </w:rPr>
        <w:t>生活污水</w:t>
      </w:r>
      <w:r>
        <w:rPr>
          <w:rFonts w:hint="eastAsia" w:ascii="仿宋_GB2312" w:eastAsia="仿宋_GB2312"/>
          <w:color w:val="auto"/>
          <w:sz w:val="32"/>
          <w:szCs w:val="32"/>
          <w:lang w:eastAsia="zh-CN"/>
        </w:rPr>
        <w:t>经</w:t>
      </w:r>
      <w:r>
        <w:rPr>
          <w:rFonts w:hint="eastAsia" w:ascii="仿宋_GB2312" w:eastAsia="仿宋_GB2312"/>
          <w:color w:val="auto"/>
          <w:sz w:val="32"/>
          <w:szCs w:val="32"/>
          <w:lang w:val="en-US" w:eastAsia="zh-CN"/>
        </w:rPr>
        <w:t>园区1栋的</w:t>
      </w:r>
      <w:r>
        <w:rPr>
          <w:rFonts w:hint="eastAsia" w:ascii="仿宋_GB2312" w:eastAsia="仿宋_GB2312"/>
          <w:color w:val="auto"/>
          <w:sz w:val="32"/>
          <w:szCs w:val="32"/>
          <w:lang w:eastAsia="zh-CN"/>
        </w:rPr>
        <w:t>三级化粪池预处理后</w:t>
      </w:r>
      <w:r>
        <w:rPr>
          <w:rFonts w:hint="eastAsia" w:ascii="仿宋_GB2312" w:eastAsia="仿宋_GB2312"/>
          <w:color w:val="auto"/>
          <w:sz w:val="32"/>
          <w:szCs w:val="32"/>
          <w:lang w:val="en-US" w:eastAsia="zh-CN"/>
        </w:rPr>
        <w:t>与浓水，分别</w:t>
      </w:r>
      <w:r>
        <w:rPr>
          <w:rFonts w:hint="eastAsia" w:ascii="仿宋_GB2312" w:eastAsia="仿宋_GB2312"/>
          <w:color w:val="auto"/>
          <w:sz w:val="32"/>
          <w:szCs w:val="32"/>
        </w:rPr>
        <w:t>排入市政集污管网，送</w:t>
      </w:r>
      <w:r>
        <w:rPr>
          <w:rFonts w:hint="eastAsia" w:ascii="仿宋_GB2312" w:eastAsia="仿宋_GB2312"/>
          <w:color w:val="auto"/>
          <w:sz w:val="32"/>
          <w:szCs w:val="32"/>
          <w:lang w:val="en-US" w:eastAsia="zh-CN"/>
        </w:rPr>
        <w:t>钟村</w:t>
      </w:r>
      <w:r>
        <w:rPr>
          <w:rFonts w:hint="eastAsia" w:ascii="仿宋_GB2312" w:eastAsia="仿宋_GB2312"/>
          <w:color w:val="auto"/>
          <w:sz w:val="32"/>
          <w:szCs w:val="32"/>
        </w:rPr>
        <w:t>净水厂</w:t>
      </w:r>
      <w:r>
        <w:rPr>
          <w:rFonts w:hint="eastAsia" w:ascii="仿宋_GB2312" w:eastAsia="仿宋_GB2312"/>
          <w:color w:val="auto"/>
          <w:sz w:val="32"/>
          <w:szCs w:val="32"/>
          <w:lang w:val="en-US" w:eastAsia="zh-CN"/>
        </w:rPr>
        <w:t>集中</w:t>
      </w:r>
      <w:r>
        <w:rPr>
          <w:rFonts w:hint="eastAsia" w:ascii="仿宋_GB2312" w:eastAsia="仿宋_GB2312"/>
          <w:color w:val="auto"/>
          <w:sz w:val="32"/>
          <w:szCs w:val="32"/>
        </w:rPr>
        <w:t>处理。项目</w:t>
      </w:r>
      <w:r>
        <w:rPr>
          <w:rFonts w:hint="eastAsia" w:ascii="仿宋_GB2312" w:eastAsia="仿宋_GB2312"/>
          <w:color w:val="auto"/>
          <w:sz w:val="32"/>
          <w:szCs w:val="32"/>
          <w:lang w:val="en-US" w:eastAsia="zh-CN"/>
        </w:rPr>
        <w:t>不新增废水排放口，依托同栋的原有生产废水排放口、生活污水（含浓水）排放口</w:t>
      </w:r>
      <w:r>
        <w:rPr>
          <w:rFonts w:hint="eastAsia" w:ascii="仿宋_GB2312" w:eastAsia="仿宋_GB2312"/>
          <w:color w:val="auto"/>
          <w:sz w:val="32"/>
          <w:szCs w:val="32"/>
          <w:lang w:eastAsia="zh-CN"/>
        </w:rPr>
        <w:t>。</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（二）</w:t>
      </w:r>
      <w:r>
        <w:rPr>
          <w:rFonts w:hint="eastAsia" w:ascii="仿宋_GB2312" w:eastAsia="仿宋_GB2312"/>
          <w:color w:val="auto"/>
          <w:sz w:val="32"/>
          <w:szCs w:val="32"/>
          <w:lang w:val="en-US" w:eastAsia="zh-CN"/>
        </w:rPr>
        <w:t>按照</w:t>
      </w:r>
      <w:r>
        <w:rPr>
          <w:rFonts w:hint="eastAsia" w:ascii="仿宋_GB2312" w:eastAsia="仿宋_GB2312" w:cs="Times New Roman"/>
          <w:color w:val="auto"/>
          <w:sz w:val="32"/>
          <w:szCs w:val="32"/>
          <w:lang w:eastAsia="zh-CN"/>
        </w:rPr>
        <w:t>广东省</w:t>
      </w:r>
      <w:r>
        <w:rPr>
          <w:rFonts w:hint="eastAsia" w:ascii="仿宋_GB2312" w:eastAsia="仿宋_GB2312" w:cs="Times New Roman"/>
          <w:color w:val="auto"/>
          <w:sz w:val="32"/>
          <w:szCs w:val="32"/>
        </w:rPr>
        <w:t>《固定污染源挥发性有机物综合排放标准》（DB44</w:t>
      </w:r>
      <w:r>
        <w:rPr>
          <w:rFonts w:hint="eastAsia" w:ascii="仿宋_GB2312" w:eastAsia="仿宋_GB2312" w:cs="Times New Roman"/>
          <w:color w:val="auto"/>
          <w:sz w:val="32"/>
          <w:szCs w:val="32"/>
          <w:lang w:val="en-US" w:eastAsia="zh-CN"/>
        </w:rPr>
        <w:t>/</w:t>
      </w:r>
      <w:r>
        <w:rPr>
          <w:rFonts w:hint="eastAsia" w:ascii="仿宋_GB2312" w:eastAsia="仿宋_GB2312" w:cs="Times New Roman"/>
          <w:color w:val="auto"/>
          <w:sz w:val="32"/>
          <w:szCs w:val="32"/>
        </w:rPr>
        <w:t>2367-2022）的无组织排放控制要求落实相关措施</w:t>
      </w:r>
      <w:r>
        <w:rPr>
          <w:rFonts w:hint="eastAsia" w:ascii="仿宋_GB2312" w:eastAsia="仿宋_GB2312" w:cs="Times New Roman"/>
          <w:color w:val="auto"/>
          <w:sz w:val="32"/>
          <w:szCs w:val="32"/>
          <w:lang w:eastAsia="zh-CN"/>
        </w:rPr>
        <w:t>。</w:t>
      </w:r>
      <w:r>
        <w:rPr>
          <w:rFonts w:hint="default" w:ascii="仿宋_GB2312" w:eastAsia="仿宋_GB2312" w:cs="Times New Roman"/>
          <w:color w:val="auto"/>
          <w:sz w:val="32"/>
          <w:szCs w:val="32"/>
          <w:lang w:val="en-US" w:eastAsia="zh-CN"/>
        </w:rPr>
        <w:t>注塑、挤出、粘接</w:t>
      </w:r>
      <w:r>
        <w:rPr>
          <w:rFonts w:hint="eastAsia" w:ascii="仿宋_GB2312" w:eastAsia="仿宋_GB2312" w:cs="Times New Roman"/>
          <w:color w:val="auto"/>
          <w:sz w:val="32"/>
          <w:szCs w:val="32"/>
        </w:rPr>
        <w:t>工序设置在</w:t>
      </w:r>
      <w:r>
        <w:rPr>
          <w:rFonts w:hint="eastAsia" w:ascii="仿宋_GB2312" w:eastAsia="仿宋_GB2312" w:cs="Times New Roman"/>
          <w:color w:val="auto"/>
          <w:sz w:val="32"/>
          <w:szCs w:val="32"/>
          <w:lang w:val="en-US" w:eastAsia="zh-CN"/>
        </w:rPr>
        <w:t>无尘洁净车间</w:t>
      </w:r>
      <w:r>
        <w:rPr>
          <w:rFonts w:hint="eastAsia" w:ascii="仿宋_GB2312" w:eastAsia="仿宋_GB2312" w:cs="Times New Roman"/>
          <w:color w:val="auto"/>
          <w:sz w:val="32"/>
          <w:szCs w:val="32"/>
        </w:rPr>
        <w:t>。</w:t>
      </w:r>
      <w:r>
        <w:rPr>
          <w:rFonts w:hint="eastAsia" w:ascii="仿宋_GB2312" w:eastAsia="仿宋_GB2312" w:cs="Times New Roman"/>
          <w:color w:val="auto"/>
          <w:sz w:val="32"/>
          <w:szCs w:val="32"/>
          <w:lang w:val="en-US" w:eastAsia="zh-CN"/>
        </w:rPr>
        <w:t>洁净车间产生的废气收集至二级活性炭吸附装置处理后通过专用管道引至所在建筑楼顶高空排放，排放口高度不低于15米</w:t>
      </w:r>
      <w:r>
        <w:rPr>
          <w:rFonts w:hint="eastAsia" w:ascii="仿宋_GB2312" w:eastAsia="仿宋_GB2312"/>
          <w:color w:val="auto"/>
          <w:sz w:val="32"/>
          <w:szCs w:val="32"/>
        </w:rPr>
        <w:t>，项目</w:t>
      </w:r>
      <w:r>
        <w:rPr>
          <w:rFonts w:hint="eastAsia" w:ascii="仿宋_GB2312" w:eastAsia="仿宋_GB2312"/>
          <w:color w:val="auto"/>
          <w:sz w:val="32"/>
          <w:szCs w:val="32"/>
          <w:lang w:val="en-US" w:eastAsia="zh-CN"/>
        </w:rPr>
        <w:t>新增</w:t>
      </w:r>
      <w:r>
        <w:rPr>
          <w:rFonts w:hint="eastAsia" w:ascii="仿宋_GB2312" w:eastAsia="仿宋_GB2312"/>
          <w:color w:val="auto"/>
          <w:sz w:val="32"/>
          <w:szCs w:val="32"/>
        </w:rPr>
        <w:t>废气排放口</w:t>
      </w:r>
      <w:r>
        <w:rPr>
          <w:rFonts w:hint="eastAsia" w:ascii="仿宋_GB2312" w:eastAsia="仿宋_GB2312"/>
          <w:color w:val="auto"/>
          <w:sz w:val="32"/>
          <w:szCs w:val="32"/>
          <w:lang w:val="en-US" w:eastAsia="zh-CN"/>
        </w:rPr>
        <w:t>1</w:t>
      </w:r>
      <w:r>
        <w:rPr>
          <w:rFonts w:hint="eastAsia" w:ascii="仿宋_GB2312" w:eastAsia="仿宋_GB2312"/>
          <w:color w:val="auto"/>
          <w:sz w:val="32"/>
          <w:szCs w:val="32"/>
        </w:rPr>
        <w:t>个。</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仿宋_GB2312" w:eastAsia="仿宋_GB2312"/>
          <w:color w:val="auto"/>
          <w:sz w:val="32"/>
          <w:szCs w:val="32"/>
        </w:rPr>
      </w:pPr>
      <w:r>
        <w:rPr>
          <w:rFonts w:hint="eastAsia" w:ascii="仿宋_GB2312" w:hAnsi="仿宋_GB2312" w:eastAsia="仿宋_GB2312" w:cs="仿宋_GB2312"/>
          <w:color w:val="auto"/>
          <w:sz w:val="32"/>
          <w:szCs w:val="32"/>
        </w:rPr>
        <w:t>加强</w:t>
      </w:r>
      <w:r>
        <w:rPr>
          <w:rFonts w:hint="eastAsia" w:ascii="仿宋_GB2312" w:eastAsia="仿宋_GB2312"/>
          <w:color w:val="auto"/>
          <w:sz w:val="32"/>
          <w:szCs w:val="32"/>
        </w:rPr>
        <w:t>车间边界</w:t>
      </w:r>
      <w:r>
        <w:rPr>
          <w:rFonts w:hint="eastAsia" w:ascii="仿宋_GB2312" w:hAnsi="仿宋_GB2312" w:eastAsia="仿宋_GB2312" w:cs="仿宋_GB2312"/>
          <w:color w:val="auto"/>
          <w:sz w:val="32"/>
          <w:szCs w:val="32"/>
        </w:rPr>
        <w:t>无组织</w:t>
      </w:r>
      <w:r>
        <w:rPr>
          <w:rFonts w:hint="eastAsia" w:ascii="仿宋_GB2312" w:hAnsi="仿宋_GB2312" w:eastAsia="仿宋_GB2312" w:cs="仿宋_GB2312"/>
          <w:color w:val="auto"/>
          <w:sz w:val="32"/>
          <w:szCs w:val="32"/>
          <w:lang w:eastAsia="zh-CN"/>
        </w:rPr>
        <w:t>排放</w:t>
      </w:r>
      <w:r>
        <w:rPr>
          <w:rFonts w:hint="eastAsia" w:ascii="仿宋_GB2312" w:hAnsi="仿宋_GB2312" w:eastAsia="仿宋_GB2312" w:cs="仿宋_GB2312"/>
          <w:color w:val="auto"/>
          <w:sz w:val="32"/>
          <w:szCs w:val="32"/>
        </w:rPr>
        <w:t>废气的监控，确保</w:t>
      </w:r>
      <w:r>
        <w:rPr>
          <w:rFonts w:hint="eastAsia" w:ascii="仿宋_GB2312" w:eastAsia="仿宋_GB2312"/>
          <w:color w:val="auto"/>
          <w:sz w:val="32"/>
          <w:szCs w:val="32"/>
        </w:rPr>
        <w:t>车间边界</w:t>
      </w:r>
      <w:r>
        <w:rPr>
          <w:rFonts w:hint="eastAsia" w:ascii="仿宋_GB2312" w:hAnsi="仿宋_GB2312" w:eastAsia="仿宋_GB2312" w:cs="仿宋_GB2312"/>
          <w:color w:val="auto"/>
          <w:sz w:val="32"/>
          <w:szCs w:val="32"/>
        </w:rPr>
        <w:t>无组织</w:t>
      </w:r>
      <w:r>
        <w:rPr>
          <w:rFonts w:hint="eastAsia" w:ascii="仿宋_GB2312" w:hAnsi="仿宋_GB2312" w:eastAsia="仿宋_GB2312" w:cs="仿宋_GB2312"/>
          <w:color w:val="auto"/>
          <w:sz w:val="32"/>
          <w:szCs w:val="32"/>
          <w:lang w:eastAsia="zh-CN"/>
        </w:rPr>
        <w:t>排放</w:t>
      </w:r>
      <w:r>
        <w:rPr>
          <w:rFonts w:hint="eastAsia" w:ascii="仿宋_GB2312" w:hAnsi="仿宋_GB2312" w:eastAsia="仿宋_GB2312" w:cs="仿宋_GB2312"/>
          <w:color w:val="auto"/>
          <w:sz w:val="32"/>
          <w:szCs w:val="32"/>
        </w:rPr>
        <w:t>监控点的废气达到相应标准限值的要求，监测超标时应</w:t>
      </w:r>
      <w:r>
        <w:rPr>
          <w:rFonts w:hint="eastAsia" w:ascii="仿宋_GB2312" w:hAnsi="仿宋_GB2312" w:eastAsia="仿宋_GB2312" w:cs="仿宋_GB2312"/>
          <w:color w:val="auto"/>
          <w:sz w:val="32"/>
          <w:szCs w:val="32"/>
          <w:lang w:eastAsia="zh-CN"/>
        </w:rPr>
        <w:t>加强</w:t>
      </w:r>
      <w:r>
        <w:rPr>
          <w:rFonts w:hint="eastAsia" w:ascii="仿宋_GB2312" w:hAnsi="仿宋_GB2312" w:eastAsia="仿宋_GB2312" w:cs="仿宋_GB2312"/>
          <w:color w:val="auto"/>
          <w:sz w:val="32"/>
          <w:szCs w:val="32"/>
        </w:rPr>
        <w:t>对无组织排放废气进行收集、净化处理。</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（三）选用低噪声设备，合理布设生产车间，对噪声源采取隔声、减振等措施，定期检修设备。</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（四）</w:t>
      </w:r>
      <w:r>
        <w:rPr>
          <w:rFonts w:hint="default" w:ascii="仿宋_GB2312" w:eastAsia="仿宋_GB2312" w:cs="Times New Roman"/>
          <w:color w:val="auto"/>
          <w:sz w:val="32"/>
          <w:szCs w:val="32"/>
        </w:rPr>
        <w:t>废机油桶</w:t>
      </w:r>
      <w:r>
        <w:rPr>
          <w:rFonts w:hint="eastAsia" w:ascii="仿宋_GB2312" w:eastAsia="仿宋_GB2312" w:cs="Times New Roman"/>
          <w:color w:val="auto"/>
          <w:sz w:val="32"/>
          <w:szCs w:val="32"/>
          <w:lang w:eastAsia="zh-CN"/>
        </w:rPr>
        <w:t>、</w:t>
      </w:r>
      <w:r>
        <w:rPr>
          <w:rFonts w:hint="default" w:ascii="仿宋_GB2312" w:eastAsia="仿宋_GB2312" w:cs="Times New Roman"/>
          <w:color w:val="auto"/>
          <w:sz w:val="32"/>
          <w:szCs w:val="32"/>
        </w:rPr>
        <w:t>废机油</w:t>
      </w:r>
      <w:r>
        <w:rPr>
          <w:rFonts w:hint="eastAsia" w:ascii="仿宋_GB2312" w:eastAsia="仿宋_GB2312" w:cs="Times New Roman"/>
          <w:color w:val="auto"/>
          <w:sz w:val="32"/>
          <w:szCs w:val="32"/>
          <w:lang w:eastAsia="zh-CN"/>
        </w:rPr>
        <w:t>、</w:t>
      </w:r>
      <w:r>
        <w:rPr>
          <w:rFonts w:hint="default" w:ascii="仿宋_GB2312" w:eastAsia="仿宋_GB2312" w:cs="Times New Roman"/>
          <w:color w:val="auto"/>
          <w:sz w:val="32"/>
          <w:szCs w:val="32"/>
        </w:rPr>
        <w:t>含油废抹布</w:t>
      </w:r>
      <w:r>
        <w:rPr>
          <w:rFonts w:hint="eastAsia" w:ascii="仿宋_GB2312" w:eastAsia="仿宋_GB2312" w:cs="Times New Roman"/>
          <w:color w:val="auto"/>
          <w:sz w:val="32"/>
          <w:szCs w:val="32"/>
          <w:lang w:eastAsia="zh-CN"/>
        </w:rPr>
        <w:t>、</w:t>
      </w:r>
      <w:r>
        <w:rPr>
          <w:rFonts w:hint="default" w:ascii="仿宋_GB2312" w:eastAsia="仿宋_GB2312" w:cs="Times New Roman"/>
          <w:color w:val="auto"/>
          <w:sz w:val="32"/>
          <w:szCs w:val="32"/>
        </w:rPr>
        <w:t>废活性炭</w:t>
      </w:r>
      <w:r>
        <w:rPr>
          <w:rFonts w:hint="eastAsia" w:ascii="仿宋_GB2312" w:eastAsia="仿宋_GB2312" w:cs="Times New Roman"/>
          <w:color w:val="auto"/>
          <w:sz w:val="32"/>
          <w:szCs w:val="32"/>
          <w:lang w:eastAsia="zh-CN"/>
        </w:rPr>
        <w:t>、</w:t>
      </w:r>
      <w:r>
        <w:rPr>
          <w:rFonts w:hint="eastAsia" w:ascii="仿宋_GB2312" w:eastAsia="仿宋_GB2312" w:cs="Times New Roman"/>
          <w:color w:val="auto"/>
          <w:sz w:val="32"/>
          <w:szCs w:val="32"/>
        </w:rPr>
        <w:t>废</w:t>
      </w:r>
      <w:r>
        <w:rPr>
          <w:rFonts w:hint="eastAsia" w:ascii="仿宋_GB2312" w:eastAsia="仿宋_GB2312" w:cs="Times New Roman"/>
          <w:color w:val="auto"/>
          <w:sz w:val="32"/>
          <w:szCs w:val="32"/>
          <w:lang w:val="en-US" w:eastAsia="zh-CN"/>
        </w:rPr>
        <w:t>胶水瓶</w:t>
      </w:r>
      <w:r>
        <w:rPr>
          <w:rFonts w:hint="eastAsia" w:ascii="仿宋_GB2312" w:eastAsia="仿宋_GB2312"/>
          <w:color w:val="auto"/>
          <w:sz w:val="32"/>
          <w:szCs w:val="32"/>
        </w:rPr>
        <w:t>等</w:t>
      </w:r>
      <w:r>
        <w:rPr>
          <w:rFonts w:hint="eastAsia" w:ascii="仿宋_GB2312" w:eastAsia="仿宋_GB2312"/>
          <w:color w:val="auto"/>
          <w:sz w:val="32"/>
          <w:szCs w:val="32"/>
          <w:lang w:val="en-US" w:eastAsia="zh-CN"/>
        </w:rPr>
        <w:t>属于</w:t>
      </w:r>
      <w:r>
        <w:rPr>
          <w:rFonts w:hint="eastAsia" w:ascii="仿宋_GB2312" w:eastAsia="仿宋_GB2312"/>
          <w:color w:val="auto"/>
          <w:sz w:val="32"/>
          <w:szCs w:val="32"/>
        </w:rPr>
        <w:t>危险废物</w:t>
      </w:r>
      <w:r>
        <w:rPr>
          <w:rFonts w:hint="eastAsia" w:ascii="仿宋_GB2312" w:eastAsia="仿宋_GB2312"/>
          <w:color w:val="auto"/>
          <w:sz w:val="32"/>
          <w:szCs w:val="32"/>
          <w:lang w:val="en-US" w:eastAsia="zh-CN"/>
        </w:rPr>
        <w:t>的</w:t>
      </w:r>
      <w:r>
        <w:rPr>
          <w:rFonts w:hint="eastAsia" w:ascii="仿宋_GB2312" w:eastAsia="仿宋_GB2312"/>
          <w:color w:val="auto"/>
          <w:sz w:val="32"/>
          <w:szCs w:val="32"/>
        </w:rPr>
        <w:t>须设置符合《危险废物贮存污染控制标准》（GB18597-20</w:t>
      </w:r>
      <w:r>
        <w:rPr>
          <w:rFonts w:hint="eastAsia" w:ascii="仿宋_GB2312" w:eastAsia="仿宋_GB2312"/>
          <w:color w:val="auto"/>
          <w:sz w:val="32"/>
          <w:szCs w:val="32"/>
          <w:lang w:val="en-US" w:eastAsia="zh-CN"/>
        </w:rPr>
        <w:t>23</w:t>
      </w:r>
      <w:r>
        <w:rPr>
          <w:rFonts w:hint="eastAsia" w:ascii="仿宋_GB2312" w:eastAsia="仿宋_GB2312"/>
          <w:color w:val="auto"/>
          <w:sz w:val="32"/>
          <w:szCs w:val="32"/>
        </w:rPr>
        <w:t>）要求的专用贮存场所存放并委托具备危险废物处理资质的机构处理。</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四、该项目的性质、规模、地点、采用的生产工艺或者防治污染、防止生态破坏的措施发生重大变动的，你单位应当重新报批环境影响评价文件。</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五、自《报告表》批准之日起超过五年，方决定该项目开工建设的，《报告表》应当在开工建设前报我局重新审核。未经我局重新审核同意的，不得擅自开工建设。</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六、该项目建设应严格执行配套建设的环境保护设施与主体工程同时设计、同时施工、同时投产使用的环境保护“三同时”制度，具体要求如下：</w:t>
      </w:r>
    </w:p>
    <w:p>
      <w:pPr>
        <w:keepNext w:val="0"/>
        <w:keepLines w:val="0"/>
        <w:pageBreakBefore w:val="0"/>
        <w:widowControl/>
        <w:tabs>
          <w:tab w:val="left" w:pos="1418"/>
        </w:tabs>
        <w:kinsoku/>
        <w:wordWrap/>
        <w:overflowPunct/>
        <w:topLinePunct w:val="0"/>
        <w:autoSpaceDE/>
        <w:autoSpaceDN/>
        <w:bidi w:val="0"/>
        <w:adjustRightInd/>
        <w:snapToGrid/>
        <w:spacing w:line="560" w:lineRule="exact"/>
        <w:ind w:firstLine="640"/>
        <w:textAlignment w:val="auto"/>
        <w:rPr>
          <w:rFonts w:hint="eastAsia" w:ascii="仿宋_GB2312" w:eastAsia="仿宋_GB2312"/>
          <w:color w:val="auto"/>
          <w:sz w:val="32"/>
          <w:szCs w:val="32"/>
        </w:rPr>
      </w:pPr>
      <w:r>
        <w:rPr>
          <w:rFonts w:hint="eastAsia" w:ascii="仿宋_GB2312" w:eastAsia="仿宋_GB2312"/>
          <w:color w:val="auto"/>
          <w:sz w:val="32"/>
          <w:szCs w:val="32"/>
        </w:rPr>
        <w:t>（一）项目竣工后，你单位应按规定申请取得排污许可证或填报排污登记表，并按照规定的标准、程序和时限，对配套建设的环境保护设施进行验收，编制验收报告，依法向社会公开。</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（二）项目配套建设的环境保护设施经验收合格后，方可投入生产或者使用。</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七、该项目建设和运行过程中如涉及规划、土地利用、建设、水务、消防、安全等问题，应遵照相关法律法规要求到相应的行政主管部门办理有关手续。</w:t>
      </w:r>
    </w:p>
    <w:p>
      <w:pPr>
        <w:pStyle w:val="18"/>
        <w:keepNext w:val="0"/>
        <w:keepLines w:val="0"/>
        <w:pageBreakBefore w:val="0"/>
        <w:kinsoku/>
        <w:wordWrap/>
        <w:overflowPunct/>
        <w:topLinePunct w:val="0"/>
        <w:autoSpaceDE/>
        <w:autoSpaceDN/>
        <w:bidi w:val="0"/>
        <w:adjustRightInd/>
        <w:snapToGrid/>
        <w:spacing w:line="560" w:lineRule="exact"/>
        <w:ind w:firstLine="636"/>
        <w:textAlignment w:val="auto"/>
        <w:rPr>
          <w:rFonts w:hint="eastAsia" w:eastAsia="仿宋_GB2312"/>
          <w:color w:val="auto"/>
          <w:sz w:val="32"/>
          <w:szCs w:val="32"/>
        </w:rPr>
      </w:pPr>
      <w:r>
        <w:rPr>
          <w:rFonts w:hint="eastAsia" w:ascii="仿宋_GB2312" w:eastAsia="仿宋_GB2312"/>
          <w:color w:val="auto"/>
          <w:sz w:val="32"/>
          <w:szCs w:val="32"/>
        </w:rPr>
        <w:t>八、</w:t>
      </w:r>
      <w:r>
        <w:rPr>
          <w:rFonts w:hint="eastAsia" w:ascii="仿宋_GB2312" w:hAnsi="仿宋" w:eastAsia="仿宋_GB2312"/>
          <w:color w:val="auto"/>
          <w:sz w:val="32"/>
        </w:rPr>
        <w:t>当事人如不服本决定，可在收到文书之日起60日内向广州市人民政府行政复议机构广州市政府行政复议办公室窗口（地址：广州市越秀区小北路183号金和大厦2楼，电话：020-83555988）提出行政复议申请；或者在收到文书之日起6个月内直接向广州铁路运输法院提起行政诉讼。申请行政复议或提起行政诉讼的，不停止本决定的执行。</w:t>
      </w:r>
    </w:p>
    <w:p>
      <w:pPr>
        <w:pStyle w:val="18"/>
        <w:keepNext w:val="0"/>
        <w:keepLines w:val="0"/>
        <w:pageBreakBefore w:val="0"/>
        <w:kinsoku/>
        <w:overflowPunct/>
        <w:topLinePunct w:val="0"/>
        <w:autoSpaceDE/>
        <w:autoSpaceDN/>
        <w:bidi w:val="0"/>
        <w:spacing w:line="560" w:lineRule="exact"/>
        <w:textAlignment w:val="auto"/>
        <w:rPr>
          <w:rFonts w:hint="eastAsia" w:ascii="仿宋_GB2312" w:hAnsi="仿宋" w:eastAsia="仿宋_GB2312"/>
          <w:color w:val="auto"/>
          <w:sz w:val="32"/>
        </w:rPr>
      </w:pPr>
    </w:p>
    <w:p>
      <w:pPr>
        <w:keepNext w:val="0"/>
        <w:keepLines w:val="0"/>
        <w:pageBreakBefore w:val="0"/>
        <w:kinsoku/>
        <w:overflowPunct/>
        <w:topLinePunct w:val="0"/>
        <w:autoSpaceDE/>
        <w:autoSpaceDN/>
        <w:bidi w:val="0"/>
        <w:spacing w:line="560" w:lineRule="exact"/>
        <w:ind w:firstLine="640" w:firstLineChars="200"/>
        <w:textAlignment w:val="auto"/>
        <w:rPr>
          <w:rFonts w:ascii="仿宋_GB2312" w:eastAsia="仿宋_GB2312"/>
          <w:color w:val="auto"/>
          <w:sz w:val="32"/>
          <w:szCs w:val="32"/>
        </w:rPr>
      </w:pPr>
    </w:p>
    <w:p>
      <w:pPr>
        <w:keepNext w:val="0"/>
        <w:keepLines w:val="0"/>
        <w:pageBreakBefore w:val="0"/>
        <w:kinsoku/>
        <w:overflowPunct/>
        <w:topLinePunct w:val="0"/>
        <w:autoSpaceDE/>
        <w:autoSpaceDN/>
        <w:bidi w:val="0"/>
        <w:spacing w:line="560" w:lineRule="exact"/>
        <w:ind w:firstLine="640" w:firstLineChars="200"/>
        <w:textAlignment w:val="auto"/>
        <w:rPr>
          <w:rFonts w:ascii="仿宋_GB2312" w:eastAsia="仿宋_GB2312"/>
          <w:color w:val="auto"/>
          <w:sz w:val="32"/>
          <w:szCs w:val="32"/>
        </w:rPr>
      </w:pPr>
    </w:p>
    <w:p>
      <w:pPr>
        <w:keepNext w:val="0"/>
        <w:keepLines w:val="0"/>
        <w:pageBreakBefore w:val="0"/>
        <w:kinsoku/>
        <w:overflowPunct/>
        <w:topLinePunct w:val="0"/>
        <w:autoSpaceDE/>
        <w:autoSpaceDN/>
        <w:bidi w:val="0"/>
        <w:spacing w:line="560" w:lineRule="exact"/>
        <w:textAlignment w:val="auto"/>
        <w:rPr>
          <w:rFonts w:ascii="仿宋_GB2312" w:eastAsia="仿宋_GB2312"/>
          <w:color w:val="auto"/>
          <w:sz w:val="32"/>
          <w:szCs w:val="32"/>
        </w:rPr>
      </w:pPr>
    </w:p>
    <w:p>
      <w:pPr>
        <w:keepNext w:val="0"/>
        <w:keepLines w:val="0"/>
        <w:pageBreakBefore w:val="0"/>
        <w:kinsoku/>
        <w:overflowPunct/>
        <w:topLinePunct w:val="0"/>
        <w:autoSpaceDE/>
        <w:autoSpaceDN/>
        <w:bidi w:val="0"/>
        <w:spacing w:line="560" w:lineRule="exact"/>
        <w:jc w:val="center"/>
        <w:textAlignment w:val="auto"/>
        <w:rPr>
          <w:rFonts w:ascii="仿宋_GB2312" w:eastAsia="仿宋_GB2312"/>
          <w:color w:val="auto"/>
          <w:sz w:val="32"/>
          <w:szCs w:val="32"/>
        </w:rPr>
      </w:pPr>
      <w:r>
        <w:rPr>
          <w:rFonts w:hint="eastAsia" w:ascii="仿宋_GB2312" w:eastAsia="仿宋_GB2312"/>
          <w:color w:val="auto"/>
          <w:sz w:val="32"/>
          <w:szCs w:val="32"/>
        </w:rPr>
        <w:t xml:space="preserve">                        广州市生态环境局</w:t>
      </w:r>
    </w:p>
    <w:p>
      <w:pPr>
        <w:keepNext w:val="0"/>
        <w:keepLines w:val="0"/>
        <w:pageBreakBefore w:val="0"/>
        <w:kinsoku/>
        <w:overflowPunct/>
        <w:topLinePunct w:val="0"/>
        <w:autoSpaceDE/>
        <w:autoSpaceDN/>
        <w:bidi w:val="0"/>
        <w:spacing w:line="560" w:lineRule="exact"/>
        <w:ind w:right="4" w:rightChars="0" w:firstLine="5120" w:firstLineChars="1600"/>
        <w:textAlignment w:val="auto"/>
        <w:rPr>
          <w:rFonts w:hint="eastAsia" w:ascii="仿宋_GB2312" w:eastAsia="仿宋_GB2312"/>
          <w:color w:val="auto"/>
          <w:sz w:val="32"/>
          <w:szCs w:val="32"/>
        </w:rPr>
      </w:pPr>
      <w:r>
        <w:rPr>
          <w:rFonts w:hint="eastAsia" w:ascii="仿宋_GB2312" w:eastAsia="仿宋_GB2312"/>
          <w:color w:val="auto"/>
          <w:sz w:val="32"/>
          <w:szCs w:val="32"/>
        </w:rPr>
        <w:t>20</w:t>
      </w:r>
      <w:r>
        <w:rPr>
          <w:rFonts w:hint="eastAsia" w:ascii="仿宋_GB2312" w:eastAsia="仿宋_GB2312"/>
          <w:color w:val="auto"/>
          <w:sz w:val="32"/>
          <w:szCs w:val="32"/>
          <w:lang w:val="en-US" w:eastAsia="zh-CN"/>
        </w:rPr>
        <w:t>25</w:t>
      </w:r>
      <w:r>
        <w:rPr>
          <w:rFonts w:hint="eastAsia" w:ascii="仿宋_GB2312" w:eastAsia="仿宋_GB2312"/>
          <w:color w:val="auto"/>
          <w:sz w:val="32"/>
          <w:szCs w:val="32"/>
        </w:rPr>
        <w:t>年</w:t>
      </w:r>
      <w:r>
        <w:rPr>
          <w:rFonts w:hint="eastAsia" w:ascii="仿宋_GB2312" w:eastAsia="仿宋_GB2312"/>
          <w:color w:val="auto"/>
          <w:sz w:val="32"/>
          <w:szCs w:val="32"/>
          <w:lang w:val="en-US" w:eastAsia="zh-CN"/>
        </w:rPr>
        <w:t>2</w:t>
      </w:r>
      <w:r>
        <w:rPr>
          <w:rFonts w:hint="eastAsia" w:ascii="仿宋_GB2312" w:eastAsia="仿宋_GB2312"/>
          <w:color w:val="auto"/>
          <w:sz w:val="32"/>
          <w:szCs w:val="32"/>
        </w:rPr>
        <w:t>月</w:t>
      </w:r>
      <w:r>
        <w:rPr>
          <w:rFonts w:hint="eastAsia" w:ascii="仿宋_GB2312" w:eastAsia="仿宋_GB2312"/>
          <w:color w:val="auto"/>
          <w:sz w:val="32"/>
          <w:szCs w:val="32"/>
          <w:lang w:val="en-US" w:eastAsia="zh-CN"/>
        </w:rPr>
        <w:t>18</w:t>
      </w:r>
      <w:r>
        <w:rPr>
          <w:rFonts w:hint="eastAsia" w:ascii="仿宋_GB2312" w:eastAsia="仿宋_GB2312"/>
          <w:color w:val="auto"/>
          <w:sz w:val="32"/>
          <w:szCs w:val="32"/>
        </w:rPr>
        <w:t>日</w:t>
      </w:r>
    </w:p>
    <w:p>
      <w:pPr>
        <w:keepNext w:val="0"/>
        <w:keepLines w:val="0"/>
        <w:pageBreakBefore w:val="0"/>
        <w:kinsoku/>
        <w:overflowPunct/>
        <w:topLinePunct w:val="0"/>
        <w:autoSpaceDE/>
        <w:autoSpaceDN/>
        <w:bidi w:val="0"/>
        <w:spacing w:line="560" w:lineRule="exact"/>
        <w:ind w:right="4" w:rightChars="0" w:firstLine="5120" w:firstLineChars="1600"/>
        <w:textAlignment w:val="auto"/>
        <w:rPr>
          <w:rFonts w:hint="eastAsia" w:ascii="仿宋_GB2312" w:eastAsia="仿宋_GB2312"/>
          <w:color w:val="auto"/>
          <w:sz w:val="32"/>
          <w:szCs w:val="32"/>
        </w:rPr>
      </w:pPr>
    </w:p>
    <w:p>
      <w:pPr>
        <w:keepNext w:val="0"/>
        <w:keepLines w:val="0"/>
        <w:pageBreakBefore w:val="0"/>
        <w:kinsoku/>
        <w:overflowPunct/>
        <w:topLinePunct w:val="0"/>
        <w:autoSpaceDE/>
        <w:autoSpaceDN/>
        <w:bidi w:val="0"/>
        <w:spacing w:line="560" w:lineRule="exact"/>
        <w:textAlignment w:val="auto"/>
        <w:rPr>
          <w:rFonts w:ascii="仿宋_GB2312" w:eastAsia="仿宋_GB2312"/>
          <w:color w:val="auto"/>
          <w:sz w:val="32"/>
          <w:szCs w:val="32"/>
        </w:rPr>
      </w:pPr>
      <w:r>
        <w:rPr>
          <w:rFonts w:hint="eastAsia" w:ascii="黑体" w:eastAsia="黑体"/>
          <w:color w:val="auto"/>
          <w:sz w:val="32"/>
          <w:szCs w:val="32"/>
        </w:rPr>
        <w:t>公开方式：</w:t>
      </w:r>
      <w:r>
        <w:rPr>
          <w:rFonts w:hint="eastAsia" w:ascii="仿宋_GB2312" w:eastAsia="仿宋_GB2312"/>
          <w:color w:val="auto"/>
          <w:sz w:val="32"/>
          <w:szCs w:val="32"/>
        </w:rPr>
        <w:t>主动公开</w:t>
      </w:r>
    </w:p>
    <w:p>
      <w:pPr>
        <w:keepNext w:val="0"/>
        <w:keepLines w:val="0"/>
        <w:pageBreakBefore w:val="0"/>
        <w:kinsoku/>
        <w:overflowPunct/>
        <w:topLinePunct w:val="0"/>
        <w:autoSpaceDE/>
        <w:autoSpaceDN/>
        <w:bidi w:val="0"/>
        <w:spacing w:line="560" w:lineRule="exact"/>
        <w:textAlignment w:val="auto"/>
        <w:rPr>
          <w:rFonts w:ascii="仿宋_GB2312" w:eastAsia="仿宋_GB2312"/>
          <w:color w:val="auto"/>
          <w:sz w:val="32"/>
          <w:szCs w:val="32"/>
        </w:rPr>
      </w:pPr>
    </w:p>
    <w:p>
      <w:pPr>
        <w:keepNext w:val="0"/>
        <w:keepLines w:val="0"/>
        <w:pageBreakBefore w:val="0"/>
        <w:kinsoku/>
        <w:overflowPunct/>
        <w:topLinePunct w:val="0"/>
        <w:autoSpaceDE/>
        <w:autoSpaceDN/>
        <w:bidi w:val="0"/>
        <w:spacing w:line="560" w:lineRule="exact"/>
        <w:ind w:left="1133" w:leftChars="201" w:hanging="711" w:hangingChars="254"/>
        <w:textAlignment w:val="auto"/>
        <w:rPr>
          <w:rFonts w:hint="eastAsia" w:ascii="仿宋_GB2312" w:eastAsia="仿宋_GB2312"/>
          <w:color w:val="auto"/>
          <w:sz w:val="28"/>
          <w:szCs w:val="28"/>
        </w:rPr>
      </w:pPr>
      <w:r>
        <w:rPr>
          <w:rFonts w:hint="eastAsia" w:ascii="仿宋_GB2312" w:eastAsia="仿宋_GB2312"/>
          <w:color w:val="auto"/>
          <w:sz w:val="28"/>
          <w:szCs w:val="28"/>
        </w:rPr>
        <w:t>抄送：广州市生态环境局番禺分局执法</w:t>
      </w:r>
      <w:r>
        <w:rPr>
          <w:rFonts w:hint="eastAsia" w:ascii="仿宋_GB2312" w:eastAsia="仿宋_GB2312"/>
          <w:color w:val="auto"/>
          <w:sz w:val="28"/>
          <w:szCs w:val="28"/>
          <w:lang w:val="en-US" w:eastAsia="zh-CN"/>
        </w:rPr>
        <w:t>一</w:t>
      </w:r>
      <w:r>
        <w:rPr>
          <w:rFonts w:hint="eastAsia" w:ascii="仿宋_GB2312" w:eastAsia="仿宋_GB2312"/>
          <w:color w:val="auto"/>
          <w:sz w:val="28"/>
          <w:szCs w:val="28"/>
        </w:rPr>
        <w:t>科、</w:t>
      </w:r>
      <w:r>
        <w:rPr>
          <w:rFonts w:hint="eastAsia" w:ascii="仿宋_GB2312" w:eastAsia="仿宋_GB2312"/>
          <w:color w:val="auto"/>
          <w:sz w:val="28"/>
          <w:szCs w:val="28"/>
          <w:lang w:eastAsia="zh-CN"/>
        </w:rPr>
        <w:t>番禺</w:t>
      </w:r>
      <w:r>
        <w:rPr>
          <w:rFonts w:hint="eastAsia" w:ascii="仿宋_GB2312" w:eastAsia="仿宋_GB2312"/>
          <w:color w:val="auto"/>
          <w:sz w:val="28"/>
          <w:szCs w:val="28"/>
        </w:rPr>
        <w:t>第</w:t>
      </w:r>
      <w:r>
        <w:rPr>
          <w:rFonts w:hint="eastAsia" w:ascii="仿宋_GB2312" w:eastAsia="仿宋_GB2312"/>
          <w:color w:val="auto"/>
          <w:sz w:val="28"/>
          <w:szCs w:val="28"/>
          <w:lang w:val="en-US" w:eastAsia="zh-CN"/>
        </w:rPr>
        <w:t>二</w:t>
      </w:r>
      <w:r>
        <w:rPr>
          <w:rFonts w:hint="eastAsia" w:ascii="仿宋_GB2312" w:eastAsia="仿宋_GB2312"/>
          <w:color w:val="auto"/>
          <w:sz w:val="28"/>
          <w:szCs w:val="28"/>
        </w:rPr>
        <w:t>环保所，广州怀信环境技术有限公司。</w:t>
      </w:r>
    </w:p>
    <w:sectPr>
      <w:footerReference r:id="rId3" w:type="default"/>
      <w:footerReference r:id="rId4" w:type="even"/>
      <w:pgSz w:w="11906" w:h="16838"/>
      <w:pgMar w:top="1588" w:right="1474" w:bottom="1134" w:left="1588" w:header="851" w:footer="624" w:gutter="0"/>
      <w:cols w:space="425" w:num="1"/>
      <w:titlePg/>
      <w:docGrid w:type="lines" w:linePitch="613" w:charSpace="2167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EFF" w:usb1="C000785B" w:usb2="00000009" w:usb3="00000000" w:csb0="400001FF" w:csb1="FFFF0000"/>
  </w:font>
  <w:font w:name="宋体">
    <w:panose1 w:val="02010600030101010101"/>
    <w:charset w:val="81"/>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公文小标宋简">
    <w:altName w:val="微软雅黑"/>
    <w:panose1 w:val="02010609010101010101"/>
    <w:charset w:val="86"/>
    <w:family w:val="modern"/>
    <w:pitch w:val="default"/>
    <w:sig w:usb0="00000000" w:usb1="00000000" w:usb2="00000010" w:usb3="00000000" w:csb0="00040000"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framePr w:wrap="around" w:vAnchor="text" w:hAnchor="margin" w:xAlign="outside" w:y="1"/>
      <w:rPr>
        <w:rStyle w:val="9"/>
        <w:rFonts w:ascii="宋体" w:hAnsi="宋体"/>
        <w:sz w:val="28"/>
        <w:szCs w:val="28"/>
      </w:rPr>
    </w:pPr>
    <w:r>
      <w:rPr>
        <w:rStyle w:val="9"/>
        <w:rFonts w:hint="eastAsia" w:ascii="宋体" w:hAnsi="宋体"/>
        <w:sz w:val="28"/>
        <w:szCs w:val="28"/>
      </w:rPr>
      <w:t xml:space="preserve">— </w:t>
    </w:r>
    <w:r>
      <w:rPr>
        <w:rStyle w:val="9"/>
        <w:rFonts w:ascii="宋体" w:hAnsi="宋体"/>
        <w:sz w:val="28"/>
        <w:szCs w:val="28"/>
      </w:rPr>
      <w:fldChar w:fldCharType="begin"/>
    </w:r>
    <w:r>
      <w:rPr>
        <w:rStyle w:val="9"/>
        <w:rFonts w:ascii="宋体" w:hAnsi="宋体"/>
        <w:sz w:val="28"/>
        <w:szCs w:val="28"/>
      </w:rPr>
      <w:instrText xml:space="preserve">PAGE  </w:instrText>
    </w:r>
    <w:r>
      <w:rPr>
        <w:rStyle w:val="9"/>
        <w:rFonts w:ascii="宋体" w:hAnsi="宋体"/>
        <w:sz w:val="28"/>
        <w:szCs w:val="28"/>
      </w:rPr>
      <w:fldChar w:fldCharType="separate"/>
    </w:r>
    <w:r>
      <w:rPr>
        <w:rStyle w:val="9"/>
        <w:rFonts w:ascii="宋体" w:hAnsi="宋体"/>
        <w:sz w:val="28"/>
        <w:szCs w:val="28"/>
      </w:rPr>
      <w:t>3</w:t>
    </w:r>
    <w:r>
      <w:rPr>
        <w:rStyle w:val="9"/>
        <w:rFonts w:ascii="宋体" w:hAnsi="宋体"/>
        <w:sz w:val="28"/>
        <w:szCs w:val="28"/>
      </w:rPr>
      <w:fldChar w:fldCharType="end"/>
    </w:r>
    <w:r>
      <w:rPr>
        <w:rStyle w:val="9"/>
        <w:rFonts w:hint="eastAsia" w:ascii="宋体" w:hAnsi="宋体"/>
        <w:sz w:val="28"/>
        <w:szCs w:val="28"/>
      </w:rPr>
      <w:t xml:space="preserve"> —</w:t>
    </w:r>
  </w:p>
  <w:p>
    <w:pPr>
      <w:pStyle w:val="4"/>
      <w:ind w:right="360" w:firstLine="360"/>
      <w:jc w:val="center"/>
      <w:rPr>
        <w:rFonts w:ascii="Times New Roman" w:hAnsi="Times New Roman"/>
        <w:sz w:val="28"/>
        <w:szCs w:val="28"/>
      </w:rPr>
    </w:pPr>
  </w:p>
  <w:p>
    <w:pPr>
      <w:pStyle w:val="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framePr w:wrap="around" w:vAnchor="text" w:hAnchor="margin" w:xAlign="outside" w:y="1"/>
      <w:rPr>
        <w:rStyle w:val="9"/>
      </w:rPr>
    </w:pPr>
    <w:r>
      <w:rPr>
        <w:rStyle w:val="9"/>
      </w:rPr>
      <w:fldChar w:fldCharType="begin"/>
    </w:r>
    <w:r>
      <w:rPr>
        <w:rStyle w:val="9"/>
      </w:rPr>
      <w:instrText xml:space="preserve">PAGE  </w:instrText>
    </w:r>
    <w:r>
      <w:rPr>
        <w:rStyle w:val="9"/>
      </w:rPr>
      <w:fldChar w:fldCharType="end"/>
    </w:r>
  </w:p>
  <w:p>
    <w:pPr>
      <w:pStyle w:val="4"/>
      <w:ind w:right="360" w:firstLine="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attachedTemplate r:id="rId1"/>
  <w:documentProtection w:enforcement="0"/>
  <w:defaultTabStop w:val="420"/>
  <w:drawingGridHorizontalSpacing w:val="158"/>
  <w:drawingGridVerticalSpacing w:val="613"/>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E2ZGFmMGVmYWFiODk5YTFiNTc2ZWNlODI1MTcyOTMifQ=="/>
  </w:docVars>
  <w:rsids>
    <w:rsidRoot w:val="000F2DCB"/>
    <w:rsid w:val="00001C85"/>
    <w:rsid w:val="00003EFB"/>
    <w:rsid w:val="00047670"/>
    <w:rsid w:val="00067C13"/>
    <w:rsid w:val="00082A5C"/>
    <w:rsid w:val="000832FD"/>
    <w:rsid w:val="000852F9"/>
    <w:rsid w:val="00090CE7"/>
    <w:rsid w:val="00097289"/>
    <w:rsid w:val="000A03AB"/>
    <w:rsid w:val="000B070F"/>
    <w:rsid w:val="000C18A8"/>
    <w:rsid w:val="000C301C"/>
    <w:rsid w:val="000C3889"/>
    <w:rsid w:val="000C3ADC"/>
    <w:rsid w:val="000C3CB8"/>
    <w:rsid w:val="000D6A43"/>
    <w:rsid w:val="000F2DCB"/>
    <w:rsid w:val="00104C9C"/>
    <w:rsid w:val="0012593F"/>
    <w:rsid w:val="00145974"/>
    <w:rsid w:val="00163612"/>
    <w:rsid w:val="00173803"/>
    <w:rsid w:val="00185235"/>
    <w:rsid w:val="001C347F"/>
    <w:rsid w:val="001E17DB"/>
    <w:rsid w:val="001F12B9"/>
    <w:rsid w:val="001F60AA"/>
    <w:rsid w:val="001F7ECF"/>
    <w:rsid w:val="00207F01"/>
    <w:rsid w:val="00212861"/>
    <w:rsid w:val="00212DD9"/>
    <w:rsid w:val="00214473"/>
    <w:rsid w:val="00225893"/>
    <w:rsid w:val="002513F3"/>
    <w:rsid w:val="0027017E"/>
    <w:rsid w:val="0027079B"/>
    <w:rsid w:val="00283EC7"/>
    <w:rsid w:val="002840F5"/>
    <w:rsid w:val="00290A95"/>
    <w:rsid w:val="002915FD"/>
    <w:rsid w:val="002A78A2"/>
    <w:rsid w:val="002B3756"/>
    <w:rsid w:val="002C0C0E"/>
    <w:rsid w:val="002C13BB"/>
    <w:rsid w:val="002D01F1"/>
    <w:rsid w:val="002D6E72"/>
    <w:rsid w:val="002D73CB"/>
    <w:rsid w:val="002F222A"/>
    <w:rsid w:val="003016C4"/>
    <w:rsid w:val="00310275"/>
    <w:rsid w:val="00323D70"/>
    <w:rsid w:val="003275AA"/>
    <w:rsid w:val="00334F3A"/>
    <w:rsid w:val="0035299E"/>
    <w:rsid w:val="003551D8"/>
    <w:rsid w:val="003804CF"/>
    <w:rsid w:val="00396136"/>
    <w:rsid w:val="003A396F"/>
    <w:rsid w:val="003D6927"/>
    <w:rsid w:val="003E6957"/>
    <w:rsid w:val="003F0936"/>
    <w:rsid w:val="003F0E80"/>
    <w:rsid w:val="003F1D2D"/>
    <w:rsid w:val="0042675C"/>
    <w:rsid w:val="004366AD"/>
    <w:rsid w:val="00436E68"/>
    <w:rsid w:val="004422C8"/>
    <w:rsid w:val="00446DB5"/>
    <w:rsid w:val="00464587"/>
    <w:rsid w:val="00466E9D"/>
    <w:rsid w:val="0047490D"/>
    <w:rsid w:val="004A38CF"/>
    <w:rsid w:val="004A62BA"/>
    <w:rsid w:val="004B3994"/>
    <w:rsid w:val="004B3A73"/>
    <w:rsid w:val="004C5EFD"/>
    <w:rsid w:val="004C6230"/>
    <w:rsid w:val="004D0859"/>
    <w:rsid w:val="004D4458"/>
    <w:rsid w:val="004D586D"/>
    <w:rsid w:val="004E13C9"/>
    <w:rsid w:val="004E567A"/>
    <w:rsid w:val="00501F40"/>
    <w:rsid w:val="00511456"/>
    <w:rsid w:val="00521A96"/>
    <w:rsid w:val="00527C59"/>
    <w:rsid w:val="0053095F"/>
    <w:rsid w:val="0053590B"/>
    <w:rsid w:val="00562DAC"/>
    <w:rsid w:val="00564EB8"/>
    <w:rsid w:val="0059052A"/>
    <w:rsid w:val="005A149B"/>
    <w:rsid w:val="005B12AD"/>
    <w:rsid w:val="005B60C8"/>
    <w:rsid w:val="005B6D04"/>
    <w:rsid w:val="005C24D6"/>
    <w:rsid w:val="005C69AB"/>
    <w:rsid w:val="005D060E"/>
    <w:rsid w:val="005E3B4A"/>
    <w:rsid w:val="005E49C1"/>
    <w:rsid w:val="005F76D5"/>
    <w:rsid w:val="0062245C"/>
    <w:rsid w:val="00635EAB"/>
    <w:rsid w:val="00640DE7"/>
    <w:rsid w:val="00641192"/>
    <w:rsid w:val="006576FA"/>
    <w:rsid w:val="00677228"/>
    <w:rsid w:val="00693BD5"/>
    <w:rsid w:val="006A28F5"/>
    <w:rsid w:val="006A6965"/>
    <w:rsid w:val="006B2BAD"/>
    <w:rsid w:val="006D0170"/>
    <w:rsid w:val="006D7C57"/>
    <w:rsid w:val="006E5889"/>
    <w:rsid w:val="006F049D"/>
    <w:rsid w:val="006F15BA"/>
    <w:rsid w:val="006F18AD"/>
    <w:rsid w:val="006F29B5"/>
    <w:rsid w:val="00707832"/>
    <w:rsid w:val="007158E4"/>
    <w:rsid w:val="00716C4E"/>
    <w:rsid w:val="00730C65"/>
    <w:rsid w:val="00740ADC"/>
    <w:rsid w:val="007443DC"/>
    <w:rsid w:val="00750DBF"/>
    <w:rsid w:val="00753DD4"/>
    <w:rsid w:val="00753DDF"/>
    <w:rsid w:val="0077498B"/>
    <w:rsid w:val="007847A3"/>
    <w:rsid w:val="00786866"/>
    <w:rsid w:val="007B29D0"/>
    <w:rsid w:val="007B438D"/>
    <w:rsid w:val="007B5088"/>
    <w:rsid w:val="007C55F7"/>
    <w:rsid w:val="007C5CB3"/>
    <w:rsid w:val="00802F15"/>
    <w:rsid w:val="008170AC"/>
    <w:rsid w:val="008372CA"/>
    <w:rsid w:val="00860EEE"/>
    <w:rsid w:val="00884916"/>
    <w:rsid w:val="008865F4"/>
    <w:rsid w:val="0089220A"/>
    <w:rsid w:val="0089687C"/>
    <w:rsid w:val="008B3E8D"/>
    <w:rsid w:val="008C31B7"/>
    <w:rsid w:val="008D16D3"/>
    <w:rsid w:val="008D701C"/>
    <w:rsid w:val="008E07FB"/>
    <w:rsid w:val="008F580D"/>
    <w:rsid w:val="00902C55"/>
    <w:rsid w:val="00932FC7"/>
    <w:rsid w:val="0093611D"/>
    <w:rsid w:val="009473C5"/>
    <w:rsid w:val="009544A8"/>
    <w:rsid w:val="0096566C"/>
    <w:rsid w:val="00970837"/>
    <w:rsid w:val="00972A29"/>
    <w:rsid w:val="00974E8C"/>
    <w:rsid w:val="009A3DB2"/>
    <w:rsid w:val="009B21A4"/>
    <w:rsid w:val="009C5976"/>
    <w:rsid w:val="009C5EB5"/>
    <w:rsid w:val="009C790D"/>
    <w:rsid w:val="009D272F"/>
    <w:rsid w:val="009D34AC"/>
    <w:rsid w:val="009E0D72"/>
    <w:rsid w:val="009E1AD4"/>
    <w:rsid w:val="00A262B0"/>
    <w:rsid w:val="00A36142"/>
    <w:rsid w:val="00A40AFA"/>
    <w:rsid w:val="00A56A9B"/>
    <w:rsid w:val="00AC34E1"/>
    <w:rsid w:val="00AC648A"/>
    <w:rsid w:val="00AC7BAA"/>
    <w:rsid w:val="00AD33EF"/>
    <w:rsid w:val="00AE0762"/>
    <w:rsid w:val="00AE5E03"/>
    <w:rsid w:val="00AF7F2C"/>
    <w:rsid w:val="00AF7F99"/>
    <w:rsid w:val="00B10676"/>
    <w:rsid w:val="00B15884"/>
    <w:rsid w:val="00B30042"/>
    <w:rsid w:val="00B31FB2"/>
    <w:rsid w:val="00B42B25"/>
    <w:rsid w:val="00B45736"/>
    <w:rsid w:val="00B5742B"/>
    <w:rsid w:val="00B71F4F"/>
    <w:rsid w:val="00B805AF"/>
    <w:rsid w:val="00B837BD"/>
    <w:rsid w:val="00B95160"/>
    <w:rsid w:val="00B95EC7"/>
    <w:rsid w:val="00BA78FA"/>
    <w:rsid w:val="00BB16F4"/>
    <w:rsid w:val="00BB1C8A"/>
    <w:rsid w:val="00BB73EF"/>
    <w:rsid w:val="00BD014D"/>
    <w:rsid w:val="00C013B9"/>
    <w:rsid w:val="00C046AB"/>
    <w:rsid w:val="00C12A22"/>
    <w:rsid w:val="00C1575A"/>
    <w:rsid w:val="00C2000C"/>
    <w:rsid w:val="00C25D4D"/>
    <w:rsid w:val="00C331EC"/>
    <w:rsid w:val="00C35028"/>
    <w:rsid w:val="00C41EC5"/>
    <w:rsid w:val="00C45C92"/>
    <w:rsid w:val="00C47559"/>
    <w:rsid w:val="00C50129"/>
    <w:rsid w:val="00C577CF"/>
    <w:rsid w:val="00C61143"/>
    <w:rsid w:val="00C61368"/>
    <w:rsid w:val="00C76BD4"/>
    <w:rsid w:val="00C850D2"/>
    <w:rsid w:val="00CC469B"/>
    <w:rsid w:val="00CC70BC"/>
    <w:rsid w:val="00CD225F"/>
    <w:rsid w:val="00CD3097"/>
    <w:rsid w:val="00CD5ECF"/>
    <w:rsid w:val="00CF1B16"/>
    <w:rsid w:val="00D01DA0"/>
    <w:rsid w:val="00D02618"/>
    <w:rsid w:val="00D0455B"/>
    <w:rsid w:val="00D205FC"/>
    <w:rsid w:val="00D236D1"/>
    <w:rsid w:val="00D37BB0"/>
    <w:rsid w:val="00D44326"/>
    <w:rsid w:val="00D55BFA"/>
    <w:rsid w:val="00D70C73"/>
    <w:rsid w:val="00D74A06"/>
    <w:rsid w:val="00D75AAE"/>
    <w:rsid w:val="00D76AC3"/>
    <w:rsid w:val="00D8050D"/>
    <w:rsid w:val="00D87223"/>
    <w:rsid w:val="00DA096B"/>
    <w:rsid w:val="00DB438D"/>
    <w:rsid w:val="00DD3F0C"/>
    <w:rsid w:val="00DF26FF"/>
    <w:rsid w:val="00DF7771"/>
    <w:rsid w:val="00E06F40"/>
    <w:rsid w:val="00E16205"/>
    <w:rsid w:val="00E23AD5"/>
    <w:rsid w:val="00E44B98"/>
    <w:rsid w:val="00E52C18"/>
    <w:rsid w:val="00E9508B"/>
    <w:rsid w:val="00E95F22"/>
    <w:rsid w:val="00EA1AB8"/>
    <w:rsid w:val="00EB0FC1"/>
    <w:rsid w:val="00EC4EBA"/>
    <w:rsid w:val="00ED3E23"/>
    <w:rsid w:val="00ED426B"/>
    <w:rsid w:val="00ED656B"/>
    <w:rsid w:val="00EE0C36"/>
    <w:rsid w:val="00EE5C65"/>
    <w:rsid w:val="00EE5F9D"/>
    <w:rsid w:val="00F02188"/>
    <w:rsid w:val="00F02F63"/>
    <w:rsid w:val="00F05A97"/>
    <w:rsid w:val="00F1261C"/>
    <w:rsid w:val="00F27B34"/>
    <w:rsid w:val="00F8191D"/>
    <w:rsid w:val="00FA4830"/>
    <w:rsid w:val="00FB1867"/>
    <w:rsid w:val="00FB5B94"/>
    <w:rsid w:val="00FC49F0"/>
    <w:rsid w:val="00FD7864"/>
    <w:rsid w:val="00FF05C9"/>
    <w:rsid w:val="00FF121F"/>
    <w:rsid w:val="020C3600"/>
    <w:rsid w:val="02443A5F"/>
    <w:rsid w:val="027A1CC2"/>
    <w:rsid w:val="03212379"/>
    <w:rsid w:val="039E0DF7"/>
    <w:rsid w:val="03C81F79"/>
    <w:rsid w:val="03CB49C8"/>
    <w:rsid w:val="05083754"/>
    <w:rsid w:val="056946AA"/>
    <w:rsid w:val="05805DA4"/>
    <w:rsid w:val="06357276"/>
    <w:rsid w:val="06771D1B"/>
    <w:rsid w:val="06B02F9C"/>
    <w:rsid w:val="06E94F61"/>
    <w:rsid w:val="075F08E4"/>
    <w:rsid w:val="07C57523"/>
    <w:rsid w:val="08052859"/>
    <w:rsid w:val="088C0766"/>
    <w:rsid w:val="091574A4"/>
    <w:rsid w:val="0A1903CD"/>
    <w:rsid w:val="0A2B59F5"/>
    <w:rsid w:val="0B1F3303"/>
    <w:rsid w:val="0C053626"/>
    <w:rsid w:val="0C7516B2"/>
    <w:rsid w:val="0D2E4374"/>
    <w:rsid w:val="0DBB0416"/>
    <w:rsid w:val="0DE36B99"/>
    <w:rsid w:val="0E784D5F"/>
    <w:rsid w:val="0EB3214E"/>
    <w:rsid w:val="0FF2333D"/>
    <w:rsid w:val="0FF5307D"/>
    <w:rsid w:val="10570037"/>
    <w:rsid w:val="10787817"/>
    <w:rsid w:val="10BF38FB"/>
    <w:rsid w:val="10E17188"/>
    <w:rsid w:val="11B62D57"/>
    <w:rsid w:val="12737E91"/>
    <w:rsid w:val="12940663"/>
    <w:rsid w:val="12DA5DA1"/>
    <w:rsid w:val="143A3083"/>
    <w:rsid w:val="14893F88"/>
    <w:rsid w:val="157D650A"/>
    <w:rsid w:val="160E0EF2"/>
    <w:rsid w:val="16DD2D98"/>
    <w:rsid w:val="173607C1"/>
    <w:rsid w:val="18287CA3"/>
    <w:rsid w:val="198657C9"/>
    <w:rsid w:val="1A164E00"/>
    <w:rsid w:val="1A38055D"/>
    <w:rsid w:val="1A753EF5"/>
    <w:rsid w:val="1AD87CF5"/>
    <w:rsid w:val="1BC528C4"/>
    <w:rsid w:val="1BE22F85"/>
    <w:rsid w:val="1CA80360"/>
    <w:rsid w:val="1D4266B3"/>
    <w:rsid w:val="1E537B54"/>
    <w:rsid w:val="1E757F21"/>
    <w:rsid w:val="1E821E5D"/>
    <w:rsid w:val="1E8E41DE"/>
    <w:rsid w:val="1F2E7283"/>
    <w:rsid w:val="1F4D7EC7"/>
    <w:rsid w:val="1FEC5BDC"/>
    <w:rsid w:val="1FFB6F60"/>
    <w:rsid w:val="20634565"/>
    <w:rsid w:val="206D10A2"/>
    <w:rsid w:val="208B7845"/>
    <w:rsid w:val="20CF4E76"/>
    <w:rsid w:val="210A277E"/>
    <w:rsid w:val="210D21B1"/>
    <w:rsid w:val="221365B8"/>
    <w:rsid w:val="22AA4C60"/>
    <w:rsid w:val="23213225"/>
    <w:rsid w:val="23D95E3D"/>
    <w:rsid w:val="24693B6D"/>
    <w:rsid w:val="24C03745"/>
    <w:rsid w:val="24DE57A6"/>
    <w:rsid w:val="256F7C12"/>
    <w:rsid w:val="25BC4AF9"/>
    <w:rsid w:val="25D93ABE"/>
    <w:rsid w:val="26505F37"/>
    <w:rsid w:val="26B164C1"/>
    <w:rsid w:val="27094A1A"/>
    <w:rsid w:val="27322CD7"/>
    <w:rsid w:val="28051A8E"/>
    <w:rsid w:val="281447E7"/>
    <w:rsid w:val="28A144F9"/>
    <w:rsid w:val="28AE5DA0"/>
    <w:rsid w:val="28ED11F9"/>
    <w:rsid w:val="2A533FA2"/>
    <w:rsid w:val="2C106133"/>
    <w:rsid w:val="2C6A5CC6"/>
    <w:rsid w:val="2C7D2960"/>
    <w:rsid w:val="2CE00DF7"/>
    <w:rsid w:val="2DB77157"/>
    <w:rsid w:val="2DDF7B35"/>
    <w:rsid w:val="2E3C6373"/>
    <w:rsid w:val="2EA01B0F"/>
    <w:rsid w:val="2EEA0427"/>
    <w:rsid w:val="2F054E30"/>
    <w:rsid w:val="2F6D7F6D"/>
    <w:rsid w:val="2F9D33D7"/>
    <w:rsid w:val="2FA515E9"/>
    <w:rsid w:val="307C5365"/>
    <w:rsid w:val="30A22B85"/>
    <w:rsid w:val="33021796"/>
    <w:rsid w:val="33502DE2"/>
    <w:rsid w:val="336C7AC1"/>
    <w:rsid w:val="339516CC"/>
    <w:rsid w:val="34A100EE"/>
    <w:rsid w:val="35817DA3"/>
    <w:rsid w:val="35D37D9D"/>
    <w:rsid w:val="35E57337"/>
    <w:rsid w:val="36D300A7"/>
    <w:rsid w:val="37032BC0"/>
    <w:rsid w:val="37114344"/>
    <w:rsid w:val="389360DB"/>
    <w:rsid w:val="38CC3FB9"/>
    <w:rsid w:val="38EB77CC"/>
    <w:rsid w:val="39D80F50"/>
    <w:rsid w:val="3A1D0EF5"/>
    <w:rsid w:val="3A676AB6"/>
    <w:rsid w:val="3AA44A54"/>
    <w:rsid w:val="3AE822E0"/>
    <w:rsid w:val="3B565193"/>
    <w:rsid w:val="3C15637C"/>
    <w:rsid w:val="3C8B0C00"/>
    <w:rsid w:val="3CC7607D"/>
    <w:rsid w:val="3CCA53AD"/>
    <w:rsid w:val="3CCE6FA5"/>
    <w:rsid w:val="3CF632F4"/>
    <w:rsid w:val="3CF81873"/>
    <w:rsid w:val="3CFE2B2D"/>
    <w:rsid w:val="3E7273DA"/>
    <w:rsid w:val="3EB11F75"/>
    <w:rsid w:val="3EEA5570"/>
    <w:rsid w:val="3F80799B"/>
    <w:rsid w:val="400F1CCC"/>
    <w:rsid w:val="400F7F20"/>
    <w:rsid w:val="41171C7F"/>
    <w:rsid w:val="421E05C8"/>
    <w:rsid w:val="43D07FF0"/>
    <w:rsid w:val="43FC4786"/>
    <w:rsid w:val="450539E8"/>
    <w:rsid w:val="450F1F75"/>
    <w:rsid w:val="453C3F01"/>
    <w:rsid w:val="483D2391"/>
    <w:rsid w:val="48E154BD"/>
    <w:rsid w:val="49045BEE"/>
    <w:rsid w:val="495E537E"/>
    <w:rsid w:val="49A24D85"/>
    <w:rsid w:val="49C00A2C"/>
    <w:rsid w:val="49C34B2B"/>
    <w:rsid w:val="49FD0A3B"/>
    <w:rsid w:val="4A2605A2"/>
    <w:rsid w:val="4AE22D88"/>
    <w:rsid w:val="4B621286"/>
    <w:rsid w:val="4C27227B"/>
    <w:rsid w:val="4CDB6B18"/>
    <w:rsid w:val="4D1D2609"/>
    <w:rsid w:val="4E305A20"/>
    <w:rsid w:val="4EB11A7C"/>
    <w:rsid w:val="4EC40F18"/>
    <w:rsid w:val="4F2A617E"/>
    <w:rsid w:val="4F362B18"/>
    <w:rsid w:val="4F586ABA"/>
    <w:rsid w:val="4F9C166D"/>
    <w:rsid w:val="509062CE"/>
    <w:rsid w:val="50D30256"/>
    <w:rsid w:val="5101647F"/>
    <w:rsid w:val="5194321F"/>
    <w:rsid w:val="51C74190"/>
    <w:rsid w:val="51EC031F"/>
    <w:rsid w:val="52EF34D6"/>
    <w:rsid w:val="53406164"/>
    <w:rsid w:val="53A805A9"/>
    <w:rsid w:val="53AB3B07"/>
    <w:rsid w:val="53B1001D"/>
    <w:rsid w:val="542E1602"/>
    <w:rsid w:val="544F6D09"/>
    <w:rsid w:val="545C7BFE"/>
    <w:rsid w:val="54A07C10"/>
    <w:rsid w:val="54C23492"/>
    <w:rsid w:val="54EF400D"/>
    <w:rsid w:val="55064812"/>
    <w:rsid w:val="553F4E94"/>
    <w:rsid w:val="55494406"/>
    <w:rsid w:val="565D38A2"/>
    <w:rsid w:val="567849F9"/>
    <w:rsid w:val="567B2B0A"/>
    <w:rsid w:val="567E16A6"/>
    <w:rsid w:val="57B715B6"/>
    <w:rsid w:val="58034AB8"/>
    <w:rsid w:val="58272CFA"/>
    <w:rsid w:val="583B1F61"/>
    <w:rsid w:val="58492C9B"/>
    <w:rsid w:val="586364A5"/>
    <w:rsid w:val="59421621"/>
    <w:rsid w:val="596879A6"/>
    <w:rsid w:val="59EB62F6"/>
    <w:rsid w:val="59F57B8E"/>
    <w:rsid w:val="5A5620FE"/>
    <w:rsid w:val="5ABE3380"/>
    <w:rsid w:val="5B1F32B2"/>
    <w:rsid w:val="5B7E4A72"/>
    <w:rsid w:val="5BDE3F64"/>
    <w:rsid w:val="5D9B1FDA"/>
    <w:rsid w:val="5E811B87"/>
    <w:rsid w:val="5FCD11F9"/>
    <w:rsid w:val="60373979"/>
    <w:rsid w:val="60470C03"/>
    <w:rsid w:val="610D2686"/>
    <w:rsid w:val="612E5851"/>
    <w:rsid w:val="61F33A5A"/>
    <w:rsid w:val="62414FAA"/>
    <w:rsid w:val="62973EAF"/>
    <w:rsid w:val="62BE08BB"/>
    <w:rsid w:val="6341442A"/>
    <w:rsid w:val="63851172"/>
    <w:rsid w:val="65036516"/>
    <w:rsid w:val="654F3592"/>
    <w:rsid w:val="656467CB"/>
    <w:rsid w:val="65C86913"/>
    <w:rsid w:val="661D78AB"/>
    <w:rsid w:val="662F4A95"/>
    <w:rsid w:val="66B851B7"/>
    <w:rsid w:val="66D37837"/>
    <w:rsid w:val="66D903B8"/>
    <w:rsid w:val="670A7A3E"/>
    <w:rsid w:val="68CD25C3"/>
    <w:rsid w:val="6924038F"/>
    <w:rsid w:val="692E3B59"/>
    <w:rsid w:val="69A9799A"/>
    <w:rsid w:val="69EF3DF1"/>
    <w:rsid w:val="6A765F09"/>
    <w:rsid w:val="6B0A26DF"/>
    <w:rsid w:val="6B2F71CC"/>
    <w:rsid w:val="6C746E7F"/>
    <w:rsid w:val="6D8B22BF"/>
    <w:rsid w:val="6DD112F8"/>
    <w:rsid w:val="6E3E6CCF"/>
    <w:rsid w:val="6ECF4F1D"/>
    <w:rsid w:val="6FC019C8"/>
    <w:rsid w:val="7047731F"/>
    <w:rsid w:val="70662AD4"/>
    <w:rsid w:val="709F3439"/>
    <w:rsid w:val="7172244F"/>
    <w:rsid w:val="72E54E11"/>
    <w:rsid w:val="73006EB1"/>
    <w:rsid w:val="73417714"/>
    <w:rsid w:val="73674035"/>
    <w:rsid w:val="73EE0B89"/>
    <w:rsid w:val="74094DDA"/>
    <w:rsid w:val="743304A7"/>
    <w:rsid w:val="762C5749"/>
    <w:rsid w:val="765C5FCF"/>
    <w:rsid w:val="76AB406F"/>
    <w:rsid w:val="76AE441E"/>
    <w:rsid w:val="77A5337F"/>
    <w:rsid w:val="77FD6814"/>
    <w:rsid w:val="78824C27"/>
    <w:rsid w:val="79442D41"/>
    <w:rsid w:val="799A79D4"/>
    <w:rsid w:val="79D16EDF"/>
    <w:rsid w:val="7A0B6855"/>
    <w:rsid w:val="7A1006E1"/>
    <w:rsid w:val="7A4D35D2"/>
    <w:rsid w:val="7B331FDF"/>
    <w:rsid w:val="7BA515D0"/>
    <w:rsid w:val="7BA538DD"/>
    <w:rsid w:val="7D0315ED"/>
    <w:rsid w:val="7D3A1BDE"/>
    <w:rsid w:val="7D8E6DA0"/>
    <w:rsid w:val="7DC0341D"/>
    <w:rsid w:val="7E4F6A23"/>
    <w:rsid w:val="7E6A2E7F"/>
    <w:rsid w:val="7FAD0D2F"/>
    <w:rsid w:val="7FC359D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link w:val="14"/>
    <w:semiHidden/>
    <w:unhideWhenUsed/>
    <w:qFormat/>
    <w:uiPriority w:val="99"/>
    <w:pPr>
      <w:jc w:val="left"/>
    </w:pPr>
  </w:style>
  <w:style w:type="paragraph" w:styleId="3">
    <w:name w:val="Balloon Text"/>
    <w:basedOn w:val="1"/>
    <w:link w:val="16"/>
    <w:semiHidden/>
    <w:unhideWhenUsed/>
    <w:qFormat/>
    <w:uiPriority w:val="99"/>
    <w:rPr>
      <w:sz w:val="18"/>
      <w:szCs w:val="18"/>
    </w:rPr>
  </w:style>
  <w:style w:type="paragraph" w:styleId="4">
    <w:name w:val="footer"/>
    <w:basedOn w:val="1"/>
    <w:link w:val="12"/>
    <w:unhideWhenUsed/>
    <w:qFormat/>
    <w:uiPriority w:val="99"/>
    <w:pPr>
      <w:tabs>
        <w:tab w:val="center" w:pos="4153"/>
        <w:tab w:val="right" w:pos="8306"/>
      </w:tabs>
      <w:snapToGrid w:val="0"/>
      <w:jc w:val="left"/>
    </w:pPr>
    <w:rPr>
      <w:sz w:val="18"/>
      <w:szCs w:val="18"/>
    </w:rPr>
  </w:style>
  <w:style w:type="paragraph" w:styleId="5">
    <w:name w:val="header"/>
    <w:basedOn w:val="1"/>
    <w:link w:val="11"/>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annotation subject"/>
    <w:basedOn w:val="2"/>
    <w:next w:val="2"/>
    <w:link w:val="15"/>
    <w:semiHidden/>
    <w:unhideWhenUsed/>
    <w:qFormat/>
    <w:uiPriority w:val="99"/>
    <w:rPr>
      <w:b/>
      <w:bCs/>
    </w:rPr>
  </w:style>
  <w:style w:type="character" w:styleId="9">
    <w:name w:val="page number"/>
    <w:basedOn w:val="8"/>
    <w:qFormat/>
    <w:uiPriority w:val="0"/>
  </w:style>
  <w:style w:type="character" w:styleId="10">
    <w:name w:val="annotation reference"/>
    <w:basedOn w:val="8"/>
    <w:semiHidden/>
    <w:unhideWhenUsed/>
    <w:qFormat/>
    <w:uiPriority w:val="99"/>
    <w:rPr>
      <w:sz w:val="21"/>
      <w:szCs w:val="21"/>
    </w:rPr>
  </w:style>
  <w:style w:type="character" w:customStyle="1" w:styleId="11">
    <w:name w:val="页眉 Char"/>
    <w:basedOn w:val="8"/>
    <w:link w:val="5"/>
    <w:semiHidden/>
    <w:qFormat/>
    <w:uiPriority w:val="99"/>
    <w:rPr>
      <w:kern w:val="2"/>
      <w:sz w:val="18"/>
      <w:szCs w:val="18"/>
    </w:rPr>
  </w:style>
  <w:style w:type="character" w:customStyle="1" w:styleId="12">
    <w:name w:val="页脚 Char"/>
    <w:basedOn w:val="8"/>
    <w:link w:val="4"/>
    <w:qFormat/>
    <w:uiPriority w:val="99"/>
    <w:rPr>
      <w:kern w:val="2"/>
      <w:sz w:val="18"/>
      <w:szCs w:val="18"/>
    </w:rPr>
  </w:style>
  <w:style w:type="paragraph" w:customStyle="1" w:styleId="13">
    <w:name w:val="Char1"/>
    <w:basedOn w:val="1"/>
    <w:qFormat/>
    <w:uiPriority w:val="0"/>
    <w:pPr>
      <w:tabs>
        <w:tab w:val="left" w:pos="840"/>
      </w:tabs>
      <w:ind w:left="840" w:hanging="420"/>
    </w:pPr>
    <w:rPr>
      <w:rFonts w:ascii="Times New Roman" w:hAnsi="Times New Roman"/>
      <w:sz w:val="24"/>
      <w:szCs w:val="24"/>
    </w:rPr>
  </w:style>
  <w:style w:type="character" w:customStyle="1" w:styleId="14">
    <w:name w:val="批注文字 Char"/>
    <w:basedOn w:val="8"/>
    <w:link w:val="2"/>
    <w:semiHidden/>
    <w:qFormat/>
    <w:uiPriority w:val="99"/>
    <w:rPr>
      <w:kern w:val="2"/>
      <w:sz w:val="21"/>
      <w:szCs w:val="22"/>
    </w:rPr>
  </w:style>
  <w:style w:type="character" w:customStyle="1" w:styleId="15">
    <w:name w:val="批注主题 Char"/>
    <w:basedOn w:val="14"/>
    <w:link w:val="6"/>
    <w:semiHidden/>
    <w:qFormat/>
    <w:uiPriority w:val="99"/>
    <w:rPr>
      <w:b/>
      <w:bCs/>
    </w:rPr>
  </w:style>
  <w:style w:type="character" w:customStyle="1" w:styleId="16">
    <w:name w:val="批注框文本 Char"/>
    <w:basedOn w:val="8"/>
    <w:link w:val="3"/>
    <w:semiHidden/>
    <w:qFormat/>
    <w:uiPriority w:val="99"/>
    <w:rPr>
      <w:kern w:val="2"/>
      <w:sz w:val="18"/>
      <w:szCs w:val="18"/>
    </w:rPr>
  </w:style>
  <w:style w:type="paragraph" w:customStyle="1" w:styleId="17">
    <w:name w:val="Revision"/>
    <w:hidden/>
    <w:semiHidden/>
    <w:qFormat/>
    <w:uiPriority w:val="99"/>
    <w:rPr>
      <w:rFonts w:ascii="Calibri" w:hAnsi="Calibri" w:eastAsia="宋体" w:cs="Times New Roman"/>
      <w:kern w:val="2"/>
      <w:sz w:val="21"/>
      <w:szCs w:val="22"/>
      <w:lang w:val="en-US" w:eastAsia="zh-CN" w:bidi="ar-SA"/>
    </w:rPr>
  </w:style>
  <w:style w:type="paragraph" w:customStyle="1" w:styleId="18">
    <w:name w:val="正文 New"/>
    <w:qFormat/>
    <w:uiPriority w:val="0"/>
    <w:pPr>
      <w:widowControl w:val="0"/>
      <w:jc w:val="both"/>
    </w:pPr>
    <w:rPr>
      <w:rFonts w:ascii="Times New Roman" w:hAnsi="Times New Roman"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T:\xxy\&#38634;&#33721;\0.&#29615;&#35780;&#30005;&#23376;&#23457;&#26597;\2.&#29615;&#35780;&#23457;&#25209;\00%20%20&#25209;&#22797;&#12289;&#21576;&#25209;&#34920;&#27169;&#26495;\&#12304;&#29615;&#35780;&#25209;&#22797;&#27169;&#26495;&#12305;&#29615;&#35780;&#25253;&#21578;&#34920;&#65288;2017&#24180;&#29256;&#65289;.dot"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530880F-0172-4367-9D41-5B93968F3B74}">
  <ds:schemaRefs/>
</ds:datastoreItem>
</file>

<file path=docProps/app.xml><?xml version="1.0" encoding="utf-8"?>
<Properties xmlns="http://schemas.openxmlformats.org/officeDocument/2006/extended-properties" xmlns:vt="http://schemas.openxmlformats.org/officeDocument/2006/docPropsVTypes">
  <Template>【环评批复模板】环评报告表（2017年版）.dot</Template>
  <Company>Bureau of Environment Protection</Company>
  <Pages>6</Pages>
  <Words>2766</Words>
  <Characters>2996</Characters>
  <Lines>19</Lines>
  <Paragraphs>5</Paragraphs>
  <TotalTime>15</TotalTime>
  <ScaleCrop>false</ScaleCrop>
  <LinksUpToDate>false</LinksUpToDate>
  <CharactersWithSpaces>3060</CharactersWithSpaces>
  <Application>WPS Office_11.8.2.10393_F1E327BC-269C-435d-A152-05C5408002CA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2019-11-22T08:14:00Z</dcterms:created>
  <dc:creator>Panyu EPB</dc:creator>
  <cp:lastModifiedBy>何国威</cp:lastModifiedBy>
  <cp:lastPrinted>2012-12-06T03:13:00Z</cp:lastPrinted>
  <dcterms:modified xsi:type="dcterms:W3CDTF">2025-02-18T02:49:35Z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Logined">
    <vt:bool>true</vt:bool>
  </property>
  <property fmtid="{D5CDD505-2E9C-101B-9397-08002B2CF9AE}" pid="3" name="KSOProductBuildVer">
    <vt:lpwstr>2052-11.8.2.10393</vt:lpwstr>
  </property>
  <property fmtid="{D5CDD505-2E9C-101B-9397-08002B2CF9AE}" pid="4" name="ICV">
    <vt:lpwstr>7B1C4AD2043649D185BF4A2F74748C72</vt:lpwstr>
  </property>
</Properties>
</file>