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right"/>
        <w:rPr>
          <w:rFonts w:ascii="宋体"/>
          <w:sz w:val="32"/>
          <w:szCs w:val="32"/>
        </w:rPr>
      </w:pPr>
      <w:bookmarkStart w:id="0" w:name="_Hlk36497313"/>
      <w:bookmarkEnd w:id="0"/>
      <w:r>
        <w:rPr>
          <w:rFonts w:hint="eastAsia" w:ascii="宋体" w:hAnsi="宋体"/>
          <w:sz w:val="32"/>
          <w:szCs w:val="32"/>
        </w:rPr>
        <w:t>第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 13 </w:t>
      </w:r>
      <w:r>
        <w:rPr>
          <w:rFonts w:ascii="宋体" w:hAnsi="宋体"/>
          <w:sz w:val="32"/>
          <w:szCs w:val="32"/>
          <w:u w:val="single"/>
        </w:rPr>
        <w:t xml:space="preserve"> </w:t>
      </w:r>
      <w:r>
        <w:rPr>
          <w:rFonts w:hint="eastAsia" w:ascii="宋体" w:hAnsi="宋体"/>
          <w:sz w:val="32"/>
          <w:szCs w:val="32"/>
        </w:rPr>
        <w:t>号</w:t>
      </w:r>
    </w:p>
    <w:p>
      <w:pPr>
        <w:jc w:val="center"/>
        <w:rPr>
          <w:rFonts w:ascii="仿宋_GB2312" w:hAnsi="宋体" w:eastAsia="仿宋_GB2312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番禺区政协十五届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四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次会议提案</w:t>
      </w:r>
    </w:p>
    <w:p>
      <w:pPr>
        <w:jc w:val="center"/>
        <w:rPr>
          <w:rFonts w:ascii="仿宋_GB2312" w:hAnsi="宋体" w:eastAsia="仿宋_GB2312"/>
          <w:sz w:val="10"/>
          <w:szCs w:val="10"/>
        </w:rPr>
      </w:pPr>
    </w:p>
    <w:tbl>
      <w:tblPr>
        <w:tblStyle w:val="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693"/>
        <w:gridCol w:w="284"/>
        <w:gridCol w:w="1276"/>
        <w:gridCol w:w="992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1951" w:type="dxa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题目</w:t>
            </w:r>
          </w:p>
        </w:tc>
        <w:tc>
          <w:tcPr>
            <w:tcW w:w="6571" w:type="dxa"/>
            <w:gridSpan w:val="5"/>
            <w:vAlign w:val="center"/>
          </w:tcPr>
          <w:p>
            <w:pPr>
              <w:spacing w:line="640" w:lineRule="exact"/>
              <w:rPr>
                <w:rFonts w:ascii="仿宋_GB2312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关于采用新机制，引入社会资本</w:t>
            </w: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共同解决番禺停车难题的建议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951" w:type="dxa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提案者</w:t>
            </w:r>
          </w:p>
        </w:tc>
        <w:tc>
          <w:tcPr>
            <w:tcW w:w="2977" w:type="dxa"/>
            <w:gridSpan w:val="2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九三学社集体提案</w:t>
            </w:r>
          </w:p>
        </w:tc>
        <w:tc>
          <w:tcPr>
            <w:tcW w:w="1276" w:type="dxa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联系人</w:t>
            </w:r>
          </w:p>
        </w:tc>
        <w:tc>
          <w:tcPr>
            <w:tcW w:w="2318" w:type="dxa"/>
            <w:gridSpan w:val="2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喻方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工作单位</w:t>
            </w:r>
          </w:p>
        </w:tc>
        <w:tc>
          <w:tcPr>
            <w:tcW w:w="2977" w:type="dxa"/>
            <w:gridSpan w:val="2"/>
          </w:tcPr>
          <w:p>
            <w:pPr>
              <w:spacing w:line="40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番禺平川艺术培训中心</w:t>
            </w:r>
          </w:p>
        </w:tc>
        <w:tc>
          <w:tcPr>
            <w:tcW w:w="1276" w:type="dxa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职务</w:t>
            </w:r>
          </w:p>
        </w:tc>
        <w:tc>
          <w:tcPr>
            <w:tcW w:w="2318" w:type="dxa"/>
            <w:gridSpan w:val="2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校长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951" w:type="dxa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手机号码</w:t>
            </w:r>
          </w:p>
        </w:tc>
        <w:tc>
          <w:tcPr>
            <w:tcW w:w="2693" w:type="dxa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560" w:type="dxa"/>
            <w:gridSpan w:val="2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办公电话</w:t>
            </w:r>
          </w:p>
        </w:tc>
        <w:tc>
          <w:tcPr>
            <w:tcW w:w="2318" w:type="dxa"/>
            <w:gridSpan w:val="2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通讯地址</w:t>
            </w:r>
          </w:p>
        </w:tc>
        <w:tc>
          <w:tcPr>
            <w:tcW w:w="4253" w:type="dxa"/>
            <w:gridSpan w:val="3"/>
          </w:tcPr>
          <w:p>
            <w:pPr>
              <w:spacing w:line="40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邮编</w:t>
            </w:r>
          </w:p>
        </w:tc>
        <w:tc>
          <w:tcPr>
            <w:tcW w:w="1326" w:type="dxa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51" w:type="dxa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联名提案人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spacing w:val="-1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（如</w:t>
            </w:r>
            <w:r>
              <w:rPr>
                <w:rFonts w:hint="eastAsia" w:ascii="仿宋_GB2312" w:hAnsi="宋体" w:eastAsia="仿宋_GB2312"/>
                <w:spacing w:val="-14"/>
                <w:sz w:val="28"/>
                <w:szCs w:val="28"/>
              </w:rPr>
              <w:t>人数较多，可另附于文后</w:t>
            </w: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）</w:t>
            </w:r>
          </w:p>
        </w:tc>
        <w:tc>
          <w:tcPr>
            <w:tcW w:w="6571" w:type="dxa"/>
            <w:gridSpan w:val="5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傅红卫、喻方、陈红艳、王顺胜、杜</w:t>
            </w:r>
            <w:bookmarkStart w:id="1" w:name="_GoBack"/>
            <w:bookmarkEnd w:id="1"/>
            <w:r>
              <w:rPr>
                <w:rFonts w:hint="eastAsia" w:ascii="仿宋_GB2312" w:hAnsi="宋体" w:eastAsia="仿宋_GB2312"/>
                <w:sz w:val="32"/>
                <w:szCs w:val="32"/>
              </w:rPr>
              <w:t>素音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</w:trPr>
        <w:tc>
          <w:tcPr>
            <w:tcW w:w="1951" w:type="dxa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提案委员会</w:t>
            </w:r>
          </w:p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审查意见</w:t>
            </w:r>
          </w:p>
        </w:tc>
        <w:tc>
          <w:tcPr>
            <w:tcW w:w="6571" w:type="dxa"/>
            <w:gridSpan w:val="5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spacing w:line="560" w:lineRule="exac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根据实际情况在</w:t>
      </w:r>
      <w:r>
        <w:rPr>
          <w:rFonts w:hint="eastAsia" w:ascii="黑体" w:hAnsi="黑体" w:eastAsia="黑体"/>
          <w:sz w:val="32"/>
          <w:szCs w:val="32"/>
          <w:lang w:eastAsia="zh-CN"/>
        </w:rPr>
        <w:t>（）</w:t>
      </w:r>
      <w:r>
        <w:rPr>
          <w:rFonts w:hint="eastAsia" w:ascii="黑体" w:hAnsi="黑体" w:eastAsia="黑体"/>
          <w:sz w:val="32"/>
          <w:szCs w:val="32"/>
        </w:rPr>
        <w:t>内打勾确认：</w:t>
      </w:r>
    </w:p>
    <w:p>
      <w:pPr>
        <w:spacing w:line="44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t>是否同意公开</w:t>
      </w:r>
      <w:r>
        <w:rPr>
          <w:rFonts w:hint="eastAsia" w:ascii="宋体" w:hAnsi="宋体"/>
          <w:b/>
          <w:sz w:val="30"/>
          <w:szCs w:val="30"/>
        </w:rPr>
        <w:t>：</w:t>
      </w:r>
    </w:p>
    <w:p>
      <w:pPr>
        <w:spacing w:line="440" w:lineRule="exact"/>
        <w:rPr>
          <w:rFonts w:hint="eastAsia" w:ascii="黑体" w:hAnsi="黑体" w:eastAsia="黑体"/>
          <w:b/>
          <w:sz w:val="32"/>
          <w:szCs w:val="32"/>
        </w:rPr>
      </w:pPr>
      <w:r>
        <w:rPr>
          <w:rFonts w:hint="eastAsia" w:ascii="宋体" w:hAnsi="宋体"/>
          <w:sz w:val="30"/>
          <w:szCs w:val="30"/>
          <w:lang w:eastAsia="zh-CN"/>
        </w:rPr>
        <w:t>是（</w:t>
      </w:r>
      <w:r>
        <w:rPr>
          <w:rFonts w:hint="default" w:ascii="Arial" w:hAnsi="Arial" w:cs="Arial"/>
          <w:sz w:val="30"/>
          <w:szCs w:val="30"/>
          <w:lang w:eastAsia="zh-CN"/>
        </w:rPr>
        <w:t>√</w:t>
      </w:r>
      <w:r>
        <w:rPr>
          <w:rFonts w:hint="eastAsia" w:ascii="宋体" w:hAnsi="宋体"/>
          <w:sz w:val="30"/>
          <w:szCs w:val="30"/>
          <w:lang w:eastAsia="zh-CN"/>
        </w:rPr>
        <w:t>）</w:t>
      </w:r>
      <w:r>
        <w:rPr>
          <w:rFonts w:ascii="宋体" w:hAnsi="宋体"/>
          <w:sz w:val="30"/>
          <w:szCs w:val="30"/>
        </w:rPr>
        <w:t xml:space="preserve">  </w:t>
      </w:r>
      <w:r>
        <w:rPr>
          <w:rFonts w:hint="eastAsia" w:ascii="宋体" w:hAnsi="宋体"/>
          <w:sz w:val="30"/>
          <w:szCs w:val="30"/>
          <w:lang w:eastAsia="zh-CN"/>
        </w:rPr>
        <w:t>否（）</w:t>
      </w:r>
      <w:r>
        <w:rPr>
          <w:rFonts w:ascii="宋体" w:hAnsi="宋体"/>
          <w:sz w:val="30"/>
          <w:szCs w:val="30"/>
        </w:rPr>
        <w:t xml:space="preserve"> </w:t>
      </w:r>
    </w:p>
    <w:p>
      <w:pPr>
        <w:spacing w:line="680" w:lineRule="exact"/>
        <w:rPr>
          <w:rFonts w:ascii="仿宋_GB2312" w:hAnsi="宋体" w:eastAsia="仿宋_GB2312"/>
          <w:sz w:val="32"/>
          <w:szCs w:val="32"/>
        </w:rPr>
      </w:pPr>
    </w:p>
    <w:p>
      <w:pPr>
        <w:pStyle w:val="2"/>
        <w:rPr>
          <w:rFonts w:ascii="仿宋_GB2312" w:hAnsi="宋体" w:eastAsia="仿宋_GB2312"/>
          <w:sz w:val="32"/>
          <w:szCs w:val="32"/>
        </w:rPr>
      </w:pPr>
    </w:p>
    <w:p>
      <w:pPr>
        <w:pStyle w:val="2"/>
        <w:rPr>
          <w:rFonts w:ascii="仿宋_GB2312" w:hAnsi="宋体" w:eastAsia="仿宋_GB2312"/>
          <w:sz w:val="32"/>
          <w:szCs w:val="32"/>
        </w:rPr>
      </w:pPr>
    </w:p>
    <w:p>
      <w:pPr>
        <w:pStyle w:val="2"/>
        <w:rPr>
          <w:rFonts w:ascii="仿宋_GB2312" w:hAnsi="宋体" w:eastAsia="仿宋_GB2312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理由：</w:t>
      </w:r>
    </w:p>
    <w:p>
      <w:pPr>
        <w:spacing w:line="56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随着番禺区小汽车保有量持续增长，停车难题日益突出。区内存量车辆目前已超过</w:t>
      </w:r>
      <w:r>
        <w:rPr>
          <w:rFonts w:ascii="仿宋_GB2312" w:hAnsi="Arial" w:eastAsia="仿宋_GB2312" w:cs="Arial"/>
          <w:kern w:val="0"/>
          <w:sz w:val="32"/>
          <w:szCs w:val="32"/>
        </w:rPr>
        <w:t>50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万辆（含外来车辆），保守估计停车位缺口在</w:t>
      </w:r>
      <w:r>
        <w:rPr>
          <w:rFonts w:ascii="仿宋_GB2312" w:hAnsi="Arial" w:eastAsia="仿宋_GB2312" w:cs="Arial"/>
          <w:kern w:val="0"/>
          <w:sz w:val="32"/>
          <w:szCs w:val="32"/>
        </w:rPr>
        <w:t>20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万个以上。随着新能源车比例越来越高，充电车位缺口也越来越大。物业小区、城中村、产业园区、大型商业等区域停车位都是一位难求，医院、写字楼、政府机关等公共设施停车难题也非常突出。</w:t>
      </w:r>
    </w:p>
    <w:p>
      <w:pPr>
        <w:spacing w:line="56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但由于历史原因，停车设施建设落后，公共停车场碎片化，停车场建设规划用地不够，城市存量车位统筹运营管理水平不高。此外，由于停车设施建设投资金额较大，投资回报率较低，社会资本参与停车场建设的热情不高。</w:t>
      </w:r>
    </w:p>
    <w:p>
      <w:pPr>
        <w:spacing w:line="560" w:lineRule="exact"/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办法：</w:t>
      </w:r>
    </w:p>
    <w:p>
      <w:pPr>
        <w:spacing w:line="560" w:lineRule="exact"/>
        <w:ind w:firstLine="643" w:firstLineChars="200"/>
        <w:rPr>
          <w:rFonts w:ascii="仿宋_GB2312" w:hAnsi="Arial" w:eastAsia="仿宋_GB2312" w:cs="Arial"/>
          <w:b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b/>
          <w:kern w:val="0"/>
          <w:sz w:val="32"/>
          <w:szCs w:val="32"/>
        </w:rPr>
        <w:t>一、充分利用新机制，引入社会资本投资停车设施</w:t>
      </w:r>
    </w:p>
    <w:p>
      <w:pPr>
        <w:spacing w:line="56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ascii="仿宋_GB2312" w:hAnsi="Arial" w:eastAsia="仿宋_GB2312" w:cs="Arial"/>
          <w:kern w:val="0"/>
          <w:sz w:val="32"/>
          <w:szCs w:val="32"/>
        </w:rPr>
        <w:t>1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、</w:t>
      </w:r>
      <w:r>
        <w:rPr>
          <w:rFonts w:ascii="仿宋_GB2312" w:hAnsi="Arial" w:eastAsia="仿宋_GB2312" w:cs="Arial"/>
          <w:kern w:val="0"/>
          <w:sz w:val="32"/>
          <w:szCs w:val="32"/>
        </w:rPr>
        <w:t>2023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年</w:t>
      </w:r>
      <w:r>
        <w:rPr>
          <w:rFonts w:ascii="仿宋_GB2312" w:hAnsi="Arial" w:eastAsia="仿宋_GB2312" w:cs="Arial"/>
          <w:kern w:val="0"/>
          <w:sz w:val="32"/>
          <w:szCs w:val="32"/>
        </w:rPr>
        <w:t>11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月</w:t>
      </w:r>
      <w:r>
        <w:rPr>
          <w:rFonts w:ascii="仿宋_GB2312" w:hAnsi="Arial" w:eastAsia="仿宋_GB2312" w:cs="Arial"/>
          <w:kern w:val="0"/>
          <w:sz w:val="32"/>
          <w:szCs w:val="32"/>
        </w:rPr>
        <w:t>8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日，国务院办公厅转发国家发改委、财政部《关于规范实施政府和社会资本合作新机制的指导意见》，明确提出进一步深化基础设施投融资体制改革，切实激发民间投资活力，提高基础设施和公用事业项目建设水平。其中，公共停车场和停车设施建设，是新机制的重点支持内容。国内其它城市（譬如厦门）已经开始利用新机制进行项目申报，解决停车设施建设资金来源。</w:t>
      </w:r>
    </w:p>
    <w:p>
      <w:pPr>
        <w:spacing w:line="56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ascii="仿宋_GB2312" w:hAnsi="Arial" w:eastAsia="仿宋_GB2312" w:cs="Arial"/>
          <w:kern w:val="0"/>
          <w:sz w:val="32"/>
          <w:szCs w:val="32"/>
        </w:rPr>
        <w:t>2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、建议番禺区统一规划，打包形成增加约</w:t>
      </w:r>
      <w:r>
        <w:rPr>
          <w:rFonts w:ascii="仿宋_GB2312" w:hAnsi="Arial" w:eastAsia="仿宋_GB2312" w:cs="Arial"/>
          <w:kern w:val="0"/>
          <w:sz w:val="32"/>
          <w:szCs w:val="32"/>
        </w:rPr>
        <w:t>20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万个停车位的建设项目，同时利用新机制进行招商引资，引入社会资本进行停车场和停车设施建设及运营。此办法既解决了停车场建设的资金问题，还不会增加政府负债，同时也可以提高停车场建设效率和提高停车设施运营管理水平。</w:t>
      </w:r>
    </w:p>
    <w:p>
      <w:pPr>
        <w:spacing w:line="560" w:lineRule="exact"/>
        <w:ind w:firstLine="643" w:firstLineChars="200"/>
        <w:rPr>
          <w:rFonts w:ascii="仿宋_GB2312" w:hAnsi="Arial" w:eastAsia="仿宋_GB2312" w:cs="Arial"/>
          <w:b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b/>
          <w:kern w:val="0"/>
          <w:sz w:val="32"/>
          <w:szCs w:val="32"/>
        </w:rPr>
        <w:t>二、政府统筹规划选点，打造番禺停车充电一体化网络</w:t>
      </w:r>
    </w:p>
    <w:p>
      <w:pPr>
        <w:spacing w:line="56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ascii="仿宋_GB2312" w:hAnsi="Arial" w:eastAsia="仿宋_GB2312" w:cs="Arial"/>
          <w:kern w:val="0"/>
          <w:sz w:val="32"/>
          <w:szCs w:val="32"/>
        </w:rPr>
        <w:t>1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、建议区政府统筹规划停车设施的选点工作，在综合商业区、医院、旅游区、行政服务中心、大型园区等集中停车难点区域，由政府划拨停车场建设用地，规划建设大型立体化公共停车场，同时配套充电桩等设施。</w:t>
      </w:r>
    </w:p>
    <w:p>
      <w:pPr>
        <w:spacing w:line="56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ascii="仿宋_GB2312" w:hAnsi="Arial" w:eastAsia="仿宋_GB2312" w:cs="Arial"/>
          <w:kern w:val="0"/>
          <w:sz w:val="32"/>
          <w:szCs w:val="32"/>
        </w:rPr>
        <w:t>2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、建议区政府出台指导意见，由各镇街牵头，鼓励在物业社区、城中村、酒店、商业街等区域，充分利用现有停车场、绿化带等进行升级改造，因地制宜建设小型化、立体化、停充一体化停车设备，可大幅增加停车位数量，同时也解决了充电桩数量不够的问题。</w:t>
      </w:r>
      <w:r>
        <w:rPr>
          <w:rFonts w:ascii="仿宋_GB2312" w:hAnsi="Arial" w:eastAsia="仿宋_GB2312" w:cs="Arial"/>
          <w:kern w:val="0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ascii="仿宋_GB2312" w:hAnsi="Arial" w:eastAsia="仿宋_GB2312" w:cs="Arial"/>
          <w:kern w:val="0"/>
          <w:sz w:val="32"/>
          <w:szCs w:val="32"/>
        </w:rPr>
        <w:t>3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、建议以上停车场和停车设施的建设，统一由社会资本进行投资和运营管理。硬件设施建成完成后，再整合所有停车资源，开发统一的番禺智慧停车运营管理系统，形成番禺停车充电一体化网络，提高番禺停车运营管理效率。</w:t>
      </w:r>
    </w:p>
    <w:p>
      <w:pPr>
        <w:spacing w:line="560" w:lineRule="exact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总之，通过利用新机制，引入社会资本，解决了停车场建设的资金问题和运营管理问题；通过政府部门分层次统筹规划，解决停车场建设用地和选点问题；通过停充一体化设备的引入，同时解决了新能源车充电桩不足的问题。如能很好地落实上述建议，打造番禺智慧停车网络，既可以解决民生难题，还可望成为全国性破解停车难题的示范。</w:t>
      </w:r>
    </w:p>
    <w:sectPr>
      <w:footerReference r:id="rId3" w:type="default"/>
      <w:footerReference r:id="rId4" w:type="even"/>
      <w:pgSz w:w="11906" w:h="16838"/>
      <w:pgMar w:top="1701" w:right="1418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</w:pPr>
    <w:r>
      <w:rPr>
        <w:rFonts w:ascii="仿宋_GB2312" w:eastAsia="仿宋_GB2312"/>
        <w:sz w:val="32"/>
        <w:szCs w:val="32"/>
      </w:rPr>
      <w:t>—</w:t>
    </w:r>
    <w:r>
      <w:rPr>
        <w:rFonts w:ascii="仿宋_GB2312" w:eastAsia="仿宋_GB2312"/>
        <w:sz w:val="32"/>
        <w:szCs w:val="32"/>
      </w:rPr>
      <w:fldChar w:fldCharType="begin"/>
    </w:r>
    <w:r>
      <w:rPr>
        <w:rFonts w:ascii="仿宋_GB2312" w:eastAsia="仿宋_GB2312"/>
        <w:sz w:val="32"/>
        <w:szCs w:val="32"/>
      </w:rPr>
      <w:instrText xml:space="preserve">PAGE   \* MERGEFORMAT</w:instrText>
    </w:r>
    <w:r>
      <w:rPr>
        <w:rFonts w:ascii="仿宋_GB2312" w:eastAsia="仿宋_GB2312"/>
        <w:sz w:val="32"/>
        <w:szCs w:val="32"/>
      </w:rPr>
      <w:fldChar w:fldCharType="separate"/>
    </w:r>
    <w:r>
      <w:rPr>
        <w:rFonts w:ascii="仿宋_GB2312" w:eastAsia="仿宋_GB2312"/>
        <w:sz w:val="32"/>
        <w:szCs w:val="32"/>
        <w:lang w:val="zh-CN"/>
      </w:rPr>
      <w:t>1</w:t>
    </w:r>
    <w:r>
      <w:rPr>
        <w:rFonts w:ascii="仿宋_GB2312" w:eastAsia="仿宋_GB2312"/>
        <w:sz w:val="32"/>
        <w:szCs w:val="32"/>
      </w:rPr>
      <w:fldChar w:fldCharType="end"/>
    </w:r>
    <w:r>
      <w:rPr>
        <w:rFonts w:ascii="仿宋_GB2312" w:eastAsia="仿宋_GB2312"/>
        <w:sz w:val="32"/>
        <w:szCs w:val="32"/>
      </w:rPr>
      <w:t>—</w:t>
    </w: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rFonts w:ascii="仿宋_GB2312" w:eastAsia="仿宋_GB2312"/>
        <w:sz w:val="32"/>
        <w:szCs w:val="32"/>
      </w:rPr>
      <w:t>—</w:t>
    </w:r>
    <w:r>
      <w:rPr>
        <w:rFonts w:ascii="仿宋_GB2312" w:eastAsia="仿宋_GB2312"/>
        <w:sz w:val="32"/>
        <w:szCs w:val="32"/>
      </w:rPr>
      <w:fldChar w:fldCharType="begin"/>
    </w:r>
    <w:r>
      <w:rPr>
        <w:rFonts w:ascii="仿宋_GB2312" w:eastAsia="仿宋_GB2312"/>
        <w:sz w:val="32"/>
        <w:szCs w:val="32"/>
      </w:rPr>
      <w:instrText xml:space="preserve">PAGE   \* MERGEFORMAT</w:instrText>
    </w:r>
    <w:r>
      <w:rPr>
        <w:rFonts w:ascii="仿宋_GB2312" w:eastAsia="仿宋_GB2312"/>
        <w:sz w:val="32"/>
        <w:szCs w:val="32"/>
      </w:rPr>
      <w:fldChar w:fldCharType="separate"/>
    </w:r>
    <w:r>
      <w:rPr>
        <w:rFonts w:ascii="仿宋_GB2312" w:eastAsia="仿宋_GB2312"/>
        <w:sz w:val="32"/>
        <w:szCs w:val="32"/>
        <w:lang w:val="zh-CN"/>
      </w:rPr>
      <w:t>2</w:t>
    </w:r>
    <w:r>
      <w:rPr>
        <w:rFonts w:ascii="仿宋_GB2312" w:eastAsia="仿宋_GB2312"/>
        <w:sz w:val="32"/>
        <w:szCs w:val="32"/>
      </w:rPr>
      <w:fldChar w:fldCharType="end"/>
    </w:r>
    <w:r>
      <w:rPr>
        <w:rFonts w:ascii="仿宋_GB2312" w:eastAsia="仿宋_GB2312"/>
        <w:sz w:val="32"/>
        <w:szCs w:val="32"/>
      </w:rPr>
      <w:t>—</w:t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zI1MzljODBiNDliMzEyMzFlZWNlN2EzYjU0N2YzMWEifQ=="/>
  </w:docVars>
  <w:rsids>
    <w:rsidRoot w:val="00172A27"/>
    <w:rsid w:val="00001636"/>
    <w:rsid w:val="000019C4"/>
    <w:rsid w:val="000035AA"/>
    <w:rsid w:val="000077E7"/>
    <w:rsid w:val="00007B61"/>
    <w:rsid w:val="00031AC6"/>
    <w:rsid w:val="00033C3C"/>
    <w:rsid w:val="00043009"/>
    <w:rsid w:val="000500E5"/>
    <w:rsid w:val="00060AA3"/>
    <w:rsid w:val="00086A73"/>
    <w:rsid w:val="00095938"/>
    <w:rsid w:val="000B1FBE"/>
    <w:rsid w:val="000B72F4"/>
    <w:rsid w:val="000C7B40"/>
    <w:rsid w:val="000D68ED"/>
    <w:rsid w:val="000F4102"/>
    <w:rsid w:val="000F7528"/>
    <w:rsid w:val="00101D9C"/>
    <w:rsid w:val="00110E4F"/>
    <w:rsid w:val="0011473F"/>
    <w:rsid w:val="00125736"/>
    <w:rsid w:val="00132666"/>
    <w:rsid w:val="00167161"/>
    <w:rsid w:val="00172A27"/>
    <w:rsid w:val="00175F8D"/>
    <w:rsid w:val="001815E1"/>
    <w:rsid w:val="0018265F"/>
    <w:rsid w:val="00184849"/>
    <w:rsid w:val="00184D56"/>
    <w:rsid w:val="00192F7E"/>
    <w:rsid w:val="001B1FEE"/>
    <w:rsid w:val="001C2281"/>
    <w:rsid w:val="002040E6"/>
    <w:rsid w:val="00211E5B"/>
    <w:rsid w:val="0022715C"/>
    <w:rsid w:val="00244FD3"/>
    <w:rsid w:val="00254659"/>
    <w:rsid w:val="002751FA"/>
    <w:rsid w:val="00276717"/>
    <w:rsid w:val="00282B4B"/>
    <w:rsid w:val="00283432"/>
    <w:rsid w:val="00284387"/>
    <w:rsid w:val="00286275"/>
    <w:rsid w:val="00286CA9"/>
    <w:rsid w:val="0029756C"/>
    <w:rsid w:val="00297E70"/>
    <w:rsid w:val="002A2889"/>
    <w:rsid w:val="002A2B82"/>
    <w:rsid w:val="002B0B2E"/>
    <w:rsid w:val="002C407B"/>
    <w:rsid w:val="002D30C3"/>
    <w:rsid w:val="002D4DD5"/>
    <w:rsid w:val="002E1929"/>
    <w:rsid w:val="002E6C64"/>
    <w:rsid w:val="002F373D"/>
    <w:rsid w:val="002F7384"/>
    <w:rsid w:val="003044E8"/>
    <w:rsid w:val="00315038"/>
    <w:rsid w:val="00315D4B"/>
    <w:rsid w:val="00316D45"/>
    <w:rsid w:val="00334223"/>
    <w:rsid w:val="003377A5"/>
    <w:rsid w:val="00345BB9"/>
    <w:rsid w:val="0036016A"/>
    <w:rsid w:val="0039033E"/>
    <w:rsid w:val="00397F0D"/>
    <w:rsid w:val="003A6A69"/>
    <w:rsid w:val="003A6A84"/>
    <w:rsid w:val="003B1A47"/>
    <w:rsid w:val="003B1B5E"/>
    <w:rsid w:val="003C28B9"/>
    <w:rsid w:val="003D1A7D"/>
    <w:rsid w:val="003D6F17"/>
    <w:rsid w:val="003E7DBF"/>
    <w:rsid w:val="003F06C4"/>
    <w:rsid w:val="004072F6"/>
    <w:rsid w:val="00426F2F"/>
    <w:rsid w:val="004555C0"/>
    <w:rsid w:val="0048028F"/>
    <w:rsid w:val="00493363"/>
    <w:rsid w:val="0049642E"/>
    <w:rsid w:val="004A1C65"/>
    <w:rsid w:val="004B658E"/>
    <w:rsid w:val="004C1FC8"/>
    <w:rsid w:val="004C541C"/>
    <w:rsid w:val="004C55DE"/>
    <w:rsid w:val="004C776F"/>
    <w:rsid w:val="004F43C8"/>
    <w:rsid w:val="004F793A"/>
    <w:rsid w:val="005014DC"/>
    <w:rsid w:val="00515F00"/>
    <w:rsid w:val="005214D9"/>
    <w:rsid w:val="005279A6"/>
    <w:rsid w:val="005308D3"/>
    <w:rsid w:val="005426B4"/>
    <w:rsid w:val="00550AEF"/>
    <w:rsid w:val="00550CE3"/>
    <w:rsid w:val="005669CB"/>
    <w:rsid w:val="00571822"/>
    <w:rsid w:val="00574564"/>
    <w:rsid w:val="0057611B"/>
    <w:rsid w:val="00580935"/>
    <w:rsid w:val="00590565"/>
    <w:rsid w:val="00595E02"/>
    <w:rsid w:val="00597176"/>
    <w:rsid w:val="005A0C2D"/>
    <w:rsid w:val="005B3FC3"/>
    <w:rsid w:val="005C7006"/>
    <w:rsid w:val="005E6503"/>
    <w:rsid w:val="006015B7"/>
    <w:rsid w:val="00617551"/>
    <w:rsid w:val="006178D9"/>
    <w:rsid w:val="00631EF1"/>
    <w:rsid w:val="00634713"/>
    <w:rsid w:val="00641C53"/>
    <w:rsid w:val="00646EE9"/>
    <w:rsid w:val="00651C94"/>
    <w:rsid w:val="00652208"/>
    <w:rsid w:val="00664542"/>
    <w:rsid w:val="00676AB3"/>
    <w:rsid w:val="00677C13"/>
    <w:rsid w:val="00691B4C"/>
    <w:rsid w:val="00691DE5"/>
    <w:rsid w:val="0069793F"/>
    <w:rsid w:val="006A3E53"/>
    <w:rsid w:val="006A462A"/>
    <w:rsid w:val="006B356F"/>
    <w:rsid w:val="006B72BD"/>
    <w:rsid w:val="006C204D"/>
    <w:rsid w:val="006C2B6E"/>
    <w:rsid w:val="006C4897"/>
    <w:rsid w:val="006D4E46"/>
    <w:rsid w:val="006D6BE6"/>
    <w:rsid w:val="006E5EB7"/>
    <w:rsid w:val="006E6C35"/>
    <w:rsid w:val="006F41EA"/>
    <w:rsid w:val="00717EC4"/>
    <w:rsid w:val="00724F0F"/>
    <w:rsid w:val="007305FD"/>
    <w:rsid w:val="007424E9"/>
    <w:rsid w:val="00750A07"/>
    <w:rsid w:val="00761149"/>
    <w:rsid w:val="00766A1D"/>
    <w:rsid w:val="00774408"/>
    <w:rsid w:val="007832B8"/>
    <w:rsid w:val="0079005F"/>
    <w:rsid w:val="00795709"/>
    <w:rsid w:val="007A0EC9"/>
    <w:rsid w:val="007C4F8C"/>
    <w:rsid w:val="007D09F4"/>
    <w:rsid w:val="007D407D"/>
    <w:rsid w:val="007D62AD"/>
    <w:rsid w:val="008059F1"/>
    <w:rsid w:val="008064E1"/>
    <w:rsid w:val="00807060"/>
    <w:rsid w:val="00814760"/>
    <w:rsid w:val="00814B04"/>
    <w:rsid w:val="00826AF4"/>
    <w:rsid w:val="00842BC3"/>
    <w:rsid w:val="00846C1D"/>
    <w:rsid w:val="00857F42"/>
    <w:rsid w:val="008853D1"/>
    <w:rsid w:val="00885B5B"/>
    <w:rsid w:val="008869B7"/>
    <w:rsid w:val="00892185"/>
    <w:rsid w:val="008A307D"/>
    <w:rsid w:val="008A4806"/>
    <w:rsid w:val="008A7671"/>
    <w:rsid w:val="008E7AF9"/>
    <w:rsid w:val="008F05E7"/>
    <w:rsid w:val="008F3ACD"/>
    <w:rsid w:val="009030E3"/>
    <w:rsid w:val="00912146"/>
    <w:rsid w:val="00926A1A"/>
    <w:rsid w:val="00934E7A"/>
    <w:rsid w:val="0093798D"/>
    <w:rsid w:val="0095421A"/>
    <w:rsid w:val="009542A7"/>
    <w:rsid w:val="00964E2A"/>
    <w:rsid w:val="00994AC5"/>
    <w:rsid w:val="009A5C64"/>
    <w:rsid w:val="009C0E0C"/>
    <w:rsid w:val="009C50CF"/>
    <w:rsid w:val="009E336B"/>
    <w:rsid w:val="009F2C1D"/>
    <w:rsid w:val="009F2D72"/>
    <w:rsid w:val="00A015A0"/>
    <w:rsid w:val="00A036EC"/>
    <w:rsid w:val="00A36124"/>
    <w:rsid w:val="00A45BFD"/>
    <w:rsid w:val="00A85238"/>
    <w:rsid w:val="00A93530"/>
    <w:rsid w:val="00AA0DAE"/>
    <w:rsid w:val="00AB095F"/>
    <w:rsid w:val="00AB5B82"/>
    <w:rsid w:val="00AC530B"/>
    <w:rsid w:val="00AD6B8C"/>
    <w:rsid w:val="00AF19CB"/>
    <w:rsid w:val="00AF23F8"/>
    <w:rsid w:val="00AF509B"/>
    <w:rsid w:val="00B02D7C"/>
    <w:rsid w:val="00B057A7"/>
    <w:rsid w:val="00B2325C"/>
    <w:rsid w:val="00B26FD1"/>
    <w:rsid w:val="00B37854"/>
    <w:rsid w:val="00B45885"/>
    <w:rsid w:val="00B55BD8"/>
    <w:rsid w:val="00B86C18"/>
    <w:rsid w:val="00BA253B"/>
    <w:rsid w:val="00BA32B8"/>
    <w:rsid w:val="00BB31D9"/>
    <w:rsid w:val="00BB43D7"/>
    <w:rsid w:val="00BC4491"/>
    <w:rsid w:val="00BD0E70"/>
    <w:rsid w:val="00BD51FE"/>
    <w:rsid w:val="00BD618B"/>
    <w:rsid w:val="00BE20F2"/>
    <w:rsid w:val="00BE37C8"/>
    <w:rsid w:val="00BE498C"/>
    <w:rsid w:val="00C120F5"/>
    <w:rsid w:val="00C25734"/>
    <w:rsid w:val="00C35DC9"/>
    <w:rsid w:val="00C4082F"/>
    <w:rsid w:val="00C51905"/>
    <w:rsid w:val="00C5263B"/>
    <w:rsid w:val="00C5276E"/>
    <w:rsid w:val="00C530A3"/>
    <w:rsid w:val="00C55655"/>
    <w:rsid w:val="00C62A9C"/>
    <w:rsid w:val="00C707A0"/>
    <w:rsid w:val="00C7174D"/>
    <w:rsid w:val="00C723F7"/>
    <w:rsid w:val="00C75680"/>
    <w:rsid w:val="00C76515"/>
    <w:rsid w:val="00C77B33"/>
    <w:rsid w:val="00C856E3"/>
    <w:rsid w:val="00CB549C"/>
    <w:rsid w:val="00CB6261"/>
    <w:rsid w:val="00CB6660"/>
    <w:rsid w:val="00CC6970"/>
    <w:rsid w:val="00CD3F62"/>
    <w:rsid w:val="00CE2940"/>
    <w:rsid w:val="00CF0444"/>
    <w:rsid w:val="00CF2210"/>
    <w:rsid w:val="00D06A78"/>
    <w:rsid w:val="00D11AAC"/>
    <w:rsid w:val="00D1520C"/>
    <w:rsid w:val="00D1711D"/>
    <w:rsid w:val="00D34840"/>
    <w:rsid w:val="00D352CE"/>
    <w:rsid w:val="00D46E34"/>
    <w:rsid w:val="00D54D23"/>
    <w:rsid w:val="00D830BE"/>
    <w:rsid w:val="00D87F91"/>
    <w:rsid w:val="00DA0911"/>
    <w:rsid w:val="00DA41F4"/>
    <w:rsid w:val="00DA7A84"/>
    <w:rsid w:val="00DB228F"/>
    <w:rsid w:val="00DB293A"/>
    <w:rsid w:val="00DB4BE2"/>
    <w:rsid w:val="00DC0AFF"/>
    <w:rsid w:val="00DD0007"/>
    <w:rsid w:val="00DD2F60"/>
    <w:rsid w:val="00DD6B0B"/>
    <w:rsid w:val="00DE0DDD"/>
    <w:rsid w:val="00DE3A83"/>
    <w:rsid w:val="00DF0AF1"/>
    <w:rsid w:val="00E04D9E"/>
    <w:rsid w:val="00E1199C"/>
    <w:rsid w:val="00E15762"/>
    <w:rsid w:val="00E23CC6"/>
    <w:rsid w:val="00E324D5"/>
    <w:rsid w:val="00E32B69"/>
    <w:rsid w:val="00E3697B"/>
    <w:rsid w:val="00E37E1A"/>
    <w:rsid w:val="00E5512A"/>
    <w:rsid w:val="00E66E41"/>
    <w:rsid w:val="00E80ECD"/>
    <w:rsid w:val="00E81E8D"/>
    <w:rsid w:val="00E84E32"/>
    <w:rsid w:val="00EC16B2"/>
    <w:rsid w:val="00ED4133"/>
    <w:rsid w:val="00ED6F9E"/>
    <w:rsid w:val="00EF230C"/>
    <w:rsid w:val="00F156EB"/>
    <w:rsid w:val="00F2017A"/>
    <w:rsid w:val="00F4501B"/>
    <w:rsid w:val="00F60726"/>
    <w:rsid w:val="00F77778"/>
    <w:rsid w:val="00F86FA7"/>
    <w:rsid w:val="00FA444D"/>
    <w:rsid w:val="00FA5A05"/>
    <w:rsid w:val="00FE0740"/>
    <w:rsid w:val="00FF0320"/>
    <w:rsid w:val="045B439E"/>
    <w:rsid w:val="07D13F54"/>
    <w:rsid w:val="0B492353"/>
    <w:rsid w:val="0D9E672E"/>
    <w:rsid w:val="139B5716"/>
    <w:rsid w:val="1957287E"/>
    <w:rsid w:val="204A4512"/>
    <w:rsid w:val="247528F6"/>
    <w:rsid w:val="25F22926"/>
    <w:rsid w:val="2E8F21C0"/>
    <w:rsid w:val="30D606FD"/>
    <w:rsid w:val="342E25C2"/>
    <w:rsid w:val="36E26C0C"/>
    <w:rsid w:val="3C5C5E40"/>
    <w:rsid w:val="3E1F17EE"/>
    <w:rsid w:val="42760499"/>
    <w:rsid w:val="45C81B0A"/>
    <w:rsid w:val="4852730E"/>
    <w:rsid w:val="4B9D30D2"/>
    <w:rsid w:val="54B03E76"/>
    <w:rsid w:val="57FD00AB"/>
    <w:rsid w:val="659E6429"/>
    <w:rsid w:val="697B17DF"/>
    <w:rsid w:val="6AAE170A"/>
    <w:rsid w:val="6ED77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qFormat="1"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0" w:semiHidden="0" w:name="Table Subtle 1" w:locked="1"/>
    <w:lsdException w:uiPriority="99" w:name="Table Subtle 2"/>
    <w:lsdException w:uiPriority="99" w:name="Table Web 1"/>
    <w:lsdException w:unhideWhenUsed="0" w:uiPriority="0" w:semiHidden="0" w:name="Table Web 2" w:locked="1"/>
    <w:lsdException w:unhideWhenUsed="0" w:uiPriority="0" w:semiHidden="0" w:name="Table Web 3" w:locked="1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iPriority w:val="99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cs="Times New Roman"/>
    </w:rPr>
  </w:style>
  <w:style w:type="paragraph" w:styleId="3">
    <w:name w:val="Body Text"/>
    <w:basedOn w:val="1"/>
    <w:next w:val="4"/>
    <w:qFormat/>
    <w:uiPriority w:val="0"/>
    <w:rPr>
      <w:rFonts w:ascii="Calibri" w:hAnsi="Calibri" w:eastAsia="仿宋_GB2312"/>
      <w:sz w:val="32"/>
      <w:szCs w:val="20"/>
    </w:rPr>
  </w:style>
  <w:style w:type="paragraph" w:styleId="4">
    <w:name w:val="toc 5"/>
    <w:basedOn w:val="1"/>
    <w:next w:val="1"/>
    <w:qFormat/>
    <w:locked/>
    <w:uiPriority w:val="0"/>
    <w:pPr>
      <w:ind w:left="1680"/>
    </w:pPr>
  </w:style>
  <w:style w:type="paragraph" w:styleId="5">
    <w:name w:val="Plain Text"/>
    <w:basedOn w:val="1"/>
    <w:link w:val="11"/>
    <w:qFormat/>
    <w:uiPriority w:val="99"/>
    <w:rPr>
      <w:rFonts w:ascii="宋体" w:hAnsi="Courier New"/>
      <w:kern w:val="0"/>
      <w:sz w:val="20"/>
      <w:szCs w:val="21"/>
    </w:rPr>
  </w:style>
  <w:style w:type="paragraph" w:styleId="6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7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1">
    <w:name w:val="Plain Text Char"/>
    <w:basedOn w:val="10"/>
    <w:link w:val="5"/>
    <w:qFormat/>
    <w:locked/>
    <w:uiPriority w:val="99"/>
    <w:rPr>
      <w:rFonts w:ascii="宋体" w:hAnsi="Courier New" w:cs="Times New Roman"/>
      <w:sz w:val="21"/>
    </w:rPr>
  </w:style>
  <w:style w:type="character" w:customStyle="1" w:styleId="12">
    <w:name w:val="Balloon Text Char"/>
    <w:basedOn w:val="10"/>
    <w:link w:val="6"/>
    <w:semiHidden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3">
    <w:name w:val="Footer Char"/>
    <w:basedOn w:val="10"/>
    <w:link w:val="7"/>
    <w:qFormat/>
    <w:locked/>
    <w:uiPriority w:val="99"/>
    <w:rPr>
      <w:rFonts w:cs="Times New Roman"/>
      <w:kern w:val="2"/>
      <w:sz w:val="18"/>
    </w:rPr>
  </w:style>
  <w:style w:type="character" w:customStyle="1" w:styleId="14">
    <w:name w:val="Header Char"/>
    <w:basedOn w:val="10"/>
    <w:link w:val="8"/>
    <w:qFormat/>
    <w:locked/>
    <w:uiPriority w:val="99"/>
    <w:rPr>
      <w:rFonts w:cs="Times New Roman"/>
      <w:kern w:val="2"/>
      <w:sz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bjh-p"/>
    <w:basedOn w:val="10"/>
    <w:qFormat/>
    <w:uiPriority w:val="99"/>
    <w:rPr>
      <w:rFonts w:cs="Times New Roman"/>
    </w:rPr>
  </w:style>
  <w:style w:type="character" w:customStyle="1" w:styleId="17">
    <w:name w:val="纯文本 字符"/>
    <w:basedOn w:val="10"/>
    <w:semiHidden/>
    <w:qFormat/>
    <w:uiPriority w:val="99"/>
    <w:rPr>
      <w:rFonts w:ascii="宋体" w:hAnsi="Courier New" w:eastAsia="宋体" w:cs="Courier New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3</Pages>
  <Words>194</Words>
  <Characters>1110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2024-02-22T06:53:00Z</dcterms:created>
  <dc:creator>lenove</dc:creator>
  <cp:lastModifiedBy>user</cp:lastModifiedBy>
  <cp:lastPrinted>2022-01-17T05:24:00Z</cp:lastPrinted>
  <dcterms:modified xsi:type="dcterms:W3CDTF">2025-02-18T08:25:35Z</dcterms:modified>
  <dc:title>Windows 用户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51E7173475BE43408FB9B3CA7715425C_13</vt:lpwstr>
  </property>
</Properties>
</file>