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rFonts w:ascii="Times New Roman" w:hAnsi="Times New Roman" w:cs="Times New Roman"/>
          <w:color w:val="000000"/>
          <w:sz w:val="24"/>
        </w:rPr>
      </w:pPr>
      <w:bookmarkStart w:id="0" w:name="_Hlk110948188"/>
      <w:r>
        <w:rPr>
          <w:rFonts w:ascii="Times New Roman" w:hAnsi="Times New Roman"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952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ascii="Times New Roman" w:hAnsi="Times New Roman" w:cs="Times New Roman"/>
                                <w:sz w:val="16"/>
                                <w:szCs w:val="16"/>
                              </w:rPr>
                            </w:pPr>
                            <w:r>
                              <w:rPr>
                                <w:rFonts w:hint="eastAsia" w:ascii="华文中宋" w:hAnsi="华文中宋" w:eastAsia="华文中宋"/>
                                <w:sz w:val="16"/>
                                <w:szCs w:val="16"/>
                              </w:rPr>
                              <w:t>电话</w:t>
                            </w:r>
                            <w:r>
                              <w:rPr>
                                <w:rFonts w:ascii="Times New Roman" w:hAnsi="Times New Roman" w:eastAsia="华文中宋" w:cs="Times New Roman"/>
                                <w:sz w:val="16"/>
                                <w:szCs w:val="16"/>
                              </w:rPr>
                              <w:t>：</w:t>
                            </w:r>
                            <w:r>
                              <w:rPr>
                                <w:rFonts w:ascii="Times New Roman" w:hAnsi="Times New Roman" w:eastAsia="楷体_GB2312" w:cs="Times New Roman"/>
                                <w:sz w:val="16"/>
                                <w:szCs w:val="16"/>
                              </w:rPr>
                              <w:t>(020)84632686 84632416 84633015</w:t>
                            </w:r>
                          </w:p>
                          <w:p>
                            <w:pPr>
                              <w:spacing w:line="170" w:lineRule="exact"/>
                              <w:jc w:val="distribute"/>
                              <w:rPr>
                                <w:rFonts w:ascii="Times New Roman" w:hAnsi="Times New Roman" w:cs="Times New Roman"/>
                                <w:sz w:val="16"/>
                                <w:szCs w:val="16"/>
                              </w:rPr>
                            </w:pPr>
                            <w:r>
                              <w:rPr>
                                <w:rFonts w:ascii="Times New Roman" w:hAnsi="Times New Roman" w:eastAsia="华文中宋" w:cs="Times New Roman"/>
                                <w:sz w:val="16"/>
                                <w:szCs w:val="16"/>
                              </w:rPr>
                              <w:t>传真：</w:t>
                            </w:r>
                            <w:r>
                              <w:rPr>
                                <w:rFonts w:ascii="Times New Roman" w:hAnsi="Times New Roman" w:eastAsia="楷体_GB2312" w:cs="Times New Roman"/>
                                <w:sz w:val="16"/>
                                <w:szCs w:val="16"/>
                              </w:rPr>
                              <w:t>(020)84613097转分机 或 84632351</w:t>
                            </w:r>
                          </w:p>
                          <w:p>
                            <w:pPr>
                              <w:pStyle w:val="3"/>
                              <w:spacing w:line="170" w:lineRule="exact"/>
                              <w:ind w:left="0" w:leftChars="0"/>
                              <w:rPr>
                                <w:sz w:val="16"/>
                                <w:szCs w:val="16"/>
                              </w:rPr>
                            </w:pPr>
                            <w:r>
                              <w:rPr>
                                <w:rFonts w:eastAsia="华文中宋"/>
                                <w:spacing w:val="5"/>
                                <w:sz w:val="16"/>
                                <w:szCs w:val="16"/>
                              </w:rPr>
                              <w:t>网址：</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eastAsia="华文中宋"/>
                                <w:sz w:val="16"/>
                                <w:szCs w:val="16"/>
                              </w:rPr>
                              <w:t>电子邮箱：</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DBAoAAAAAAIdO4kAAAAAAAAAAAAAAAAAEAAAAZHJzL1BLAwQUAAAACACHTuJAUtNaUtYAAAAI&#10;AQAADwAAAGRycy9kb3ducmV2LnhtbE2Py07DMBBF90j8gzVI7KjdCJomxKkQghUSIg0Llk48TaLG&#10;4xC7D/6e6QqWR/fqzplic3ajOOIcBk8algsFAqn1dqBOw2f9ercGEaIha0ZPqOEHA2zK66vC5Naf&#10;qMLjNnaCRyjkRkMf45RLGdoenQkLPyFxtvOzM5Fx7qSdzYnH3SgTpVbSmYH4Qm8mfO6x3W8PTsPT&#10;F1Uvw/d781HtqqGuM0Vvq73WtzdL9Qgi4jn+leGiz+pQslPjD2SDGDU8ZOt7rmpIExCcZ8mFG+Y0&#10;BVkW8v8D5S9QSwMEFAAAAAgAh07iQElJlpMOAgAABQQAAA4AAABkcnMvZTJvRG9jLnhtbK1TzW4T&#10;MRC+I/EOlu9kN1GT0lU2VWlUhFR+pMIDOF5v1mLtMWMnu+EB4A04ceHOc+U5OvYmoZRLD1yssT3+&#10;5vu+Gc8ve9OyrUKvwZZ8PMo5U1ZCpe265J8+3rx4yZkPwlaiBatKvlOeXy6eP5t3rlATaKCtFDIC&#10;sb7oXMmbEFyRZV42ygg/AqcsXdaARgTa4jqrUHSEbtpskuezrAOsHIJU3tPpcrjkB0R8CiDUtZZq&#10;CXJjlA0DKqpWBJLkG+08XyS2da1keF/XXgXWlpyUhrRSEYpXcc0Wc1GsUbhGywMF8RQKjzQZoS0V&#10;PUEtRRBsg/ofKKMlgoc6jCSYbBCSHCEV4/yRN3eNcCppIau9O5nu/x+sfLf9gExXJZ9xZoWhhu9/&#10;fN///L3/9Y3Noj2d8wVl3TnKC/0r6GloklTvbkF+9szCdSPsWl0hQtcoURG9cXyZPXg64PgIsure&#10;QkV1xCZAAuprNNE7coMROrVmd2qN6gOTdDjJL6bTnK4k3Z2dnc/Op6mEKI6vHfrwWoFhMSg5UusT&#10;utje+hDZiOKYEotZuNFtm9rf2r8OKDGeJPaR8EA99Kv+4MYKqh3pQBimif4SBQ3gV846mqSS+y8b&#10;gYqz9o0lL+LYHQM8BqtjIKykpyUPnA3hdRjGc+NQrxtCHty2cEV+1TpJicYOLA48aTqSwsMkx/F7&#10;uE9Zf37v4h5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S01pS1gAAAAgBAAAPAAAAAAAAAAEAIAAA&#10;ACIAAABkcnMvZG93bnJldi54bWxQSwECFAAUAAAACACHTuJASUmWkw4CAAAFBAAADgAAAAAAAAAB&#10;ACAAAAAlAQAAZHJzL2Uyb0RvYy54bWxQSwUGAAAAAAYABgBZAQAApQUAAAAA&#10;">
                <v:fill on="f" focussize="0,0"/>
                <v:stroke on="f"/>
                <v:imagedata o:title=""/>
                <o:lock v:ext="edit" aspectratio="f"/>
                <v:textbox inset="0mm,0mm,0mm,0mm">
                  <w:txbxContent>
                    <w:p>
                      <w:pPr>
                        <w:spacing w:line="170" w:lineRule="exact"/>
                        <w:jc w:val="distribute"/>
                        <w:rPr>
                          <w:rFonts w:ascii="Times New Roman" w:hAnsi="Times New Roman" w:cs="Times New Roman"/>
                          <w:sz w:val="16"/>
                          <w:szCs w:val="16"/>
                        </w:rPr>
                      </w:pPr>
                      <w:r>
                        <w:rPr>
                          <w:rFonts w:hint="eastAsia" w:ascii="华文中宋" w:hAnsi="华文中宋" w:eastAsia="华文中宋"/>
                          <w:sz w:val="16"/>
                          <w:szCs w:val="16"/>
                        </w:rPr>
                        <w:t>电话</w:t>
                      </w:r>
                      <w:r>
                        <w:rPr>
                          <w:rFonts w:ascii="Times New Roman" w:hAnsi="Times New Roman" w:eastAsia="华文中宋" w:cs="Times New Roman"/>
                          <w:sz w:val="16"/>
                          <w:szCs w:val="16"/>
                        </w:rPr>
                        <w:t>：</w:t>
                      </w:r>
                      <w:r>
                        <w:rPr>
                          <w:rFonts w:ascii="Times New Roman" w:hAnsi="Times New Roman" w:eastAsia="楷体_GB2312" w:cs="Times New Roman"/>
                          <w:sz w:val="16"/>
                          <w:szCs w:val="16"/>
                        </w:rPr>
                        <w:t>(020)84632686 84632416 84633015</w:t>
                      </w:r>
                    </w:p>
                    <w:p>
                      <w:pPr>
                        <w:spacing w:line="170" w:lineRule="exact"/>
                        <w:jc w:val="distribute"/>
                        <w:rPr>
                          <w:rFonts w:ascii="Times New Roman" w:hAnsi="Times New Roman" w:cs="Times New Roman"/>
                          <w:sz w:val="16"/>
                          <w:szCs w:val="16"/>
                        </w:rPr>
                      </w:pPr>
                      <w:r>
                        <w:rPr>
                          <w:rFonts w:ascii="Times New Roman" w:hAnsi="Times New Roman" w:eastAsia="华文中宋" w:cs="Times New Roman"/>
                          <w:sz w:val="16"/>
                          <w:szCs w:val="16"/>
                        </w:rPr>
                        <w:t>传真：</w:t>
                      </w:r>
                      <w:r>
                        <w:rPr>
                          <w:rFonts w:ascii="Times New Roman" w:hAnsi="Times New Roman" w:eastAsia="楷体_GB2312" w:cs="Times New Roman"/>
                          <w:sz w:val="16"/>
                          <w:szCs w:val="16"/>
                        </w:rPr>
                        <w:t>(020)84613097转分机 或 84632351</w:t>
                      </w:r>
                    </w:p>
                    <w:p>
                      <w:pPr>
                        <w:pStyle w:val="3"/>
                        <w:spacing w:line="170" w:lineRule="exact"/>
                        <w:ind w:left="0" w:leftChars="0"/>
                        <w:rPr>
                          <w:sz w:val="16"/>
                          <w:szCs w:val="16"/>
                        </w:rPr>
                      </w:pPr>
                      <w:r>
                        <w:rPr>
                          <w:rFonts w:eastAsia="华文中宋"/>
                          <w:spacing w:val="5"/>
                          <w:sz w:val="16"/>
                          <w:szCs w:val="16"/>
                        </w:rPr>
                        <w:t>网址：</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eastAsia="华文中宋"/>
                          <w:sz w:val="16"/>
                          <w:szCs w:val="16"/>
                        </w:rPr>
                        <w:t>电子邮箱：</w:t>
                      </w:r>
                      <w:r>
                        <w:rPr>
                          <w:rFonts w:eastAsia="楷体_GB2312"/>
                          <w:sz w:val="16"/>
                          <w:szCs w:val="16"/>
                        </w:rPr>
                        <w:t>gzyeqin@vip.163.com</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DBAoAAAAAAIdO4kAAAAAAAAAAAAAAAAAEAAAAZHJzL1BLAwQUAAAACACHTuJA72j5b9cAAAAI&#10;AQAADwAAAGRycy9kb3ducmV2LnhtbE2PzU7DMBCE70i8g7VI3FqnRmpDGqcHUFWBuLRF4rqNt3Eg&#10;Xqex+8PbY8ShHHdmNPtNubi4TpxoCK1nDZNxBoK49qblRsP7djnKQYSIbLDzTBq+KcCiur0psTD+&#10;zGs6bWIjUgmHAjXYGPtCylBbchjGvidO3t4PDmM6h0aaAc+p3HVSZdlUOmw5fbDY05Ol+mtzdBrw&#10;ebWOH7l6nbUv9u1zuzysbH7Q+v5uks1BRLrEaxh+8RM6VIlp549sgug0jNQ0JTXkagYi+Y8PKk3Z&#10;/QmyKuX/AdUPUEsDBBQAAAAIAIdO4kD4edgC5QEAAKsDAAAOAAAAZHJzL2Uyb0RvYy54bWytU0uO&#10;EzEQ3SNxB8t70p2gMKSVziwSDZsBIs1wAMftTlvYLsvlpJNLcAEkdrBiyX5uw3AMys6HYdjMgl5Y&#10;tqvq1Xuv3NPLnTVsqwJqcDUfDkrOlJPQaLeu+YfbqxevOcMoXCMMOFXzvUJ+OXv+bNr7So2gA9Oo&#10;wAjEYdX7mncx+qooUHbKChyAV46CLQQrIh3DumiC6AndmmJUlq+KHkLjA0iFSLeLQ5AfEcNTAKFt&#10;tVQLkBurXDygBmVEJEnYaY98ltm2rZLxfduiiszUnJTGvFIT2q/SWsymoloH4TstjxTEUyg80mSF&#10;dtT0DLUQUbBN0P9AWS0DILRxIMEWByHZEVIxLB95c9MJr7IWshr92XT8f7Dy3XYZmG5qPubMCUsD&#10;v//84+enr7/uvtB6//0bGyeTeo8V5c7dMiSZcudu/DXIj8gczDvh1iqTvd17QhimiuKvknRAT61W&#10;/VtoKEdsImTHdm2wCZK8YLs8mP15MGoXmaTL8eTl5GJCM5OnWCGqU6EPGN8osCxtam60S56JSmyv&#10;MSYiojqlpGsHV9qYPHfjWE9sRxdlmSsQjG5SNOVhWK/mJrCtSE8nf1kWRR6mBdi45tDFuKPqJPRg&#10;2Qqa/TKc3KAZZjrH95YeycNzrv7zj8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9o+W/XAAAA&#10;CAEAAA8AAAAAAAAAAQAgAAAAIgAAAGRycy9kb3ducmV2LnhtbFBLAQIUABQAAAAIAIdO4kD4edgC&#10;5QEAAKsDAAAOAAAAAAAAAAEAIAAAACYBAABkcnMvZTJvRG9jLnhtbFBLBQYAAAAABgAGAFkBAAB9&#10;BQAAAAA=&#10;">
                <v:fill on="f" focussize="0,0"/>
                <v:stroke weight="1pt" color="#000000" joinstyle="round"/>
                <v:imagedata o:title=""/>
                <o:lock v:ext="edit" aspectratio="f"/>
              </v:line>
            </w:pict>
          </mc:Fallback>
        </mc:AlternateContent>
      </w:r>
      <w:r>
        <w:rPr>
          <w:rFonts w:ascii="Times New Roman" w:hAnsi="Times New Roman"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6350" b="1524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DBAoAAAAAAIdO4kAAAAAAAAAAAAAAAAAEAAAAZHJzL1BLAwQUAAAACACHTuJAcNUpVNYAAAAI&#10;AQAADwAAAGRycy9kb3ducmV2LnhtbE2PzU7DMBCE70i8g7WVuFE7lRqlIU5VITghIdL0wNFJtonV&#10;eB1i94e3ZznBbT/NaHam2N7cKC44B+tJQ7JUIJBa31nqNRzq18cMRIiGOjN6Qg3fGGBb3t8VJu/8&#10;lSq87GMvOIRCbjQMMU65lKEd0Jmw9BMSa0c/OxMZ5152s7lyuBvlSqlUOmOJPwxmwucB29P+7DTs&#10;Pql6sV/vzUd1rGxdbxS9pSetHxaJegIR8Rb/zPBbn6tDyZ0af6YuiJE5USu2asg2IFhfZylzw0ey&#10;BlkW8v+A8gdQSwMEFAAAAAgAh07iQD5aGb0NAgAABQQAAA4AAABkcnMvZTJvRG9jLnhtbK1TzY7T&#10;MBC+I/EOlu80aSsWFDVdLVstQlp+pIUHmDpOY5F4zNhtsjwAvAGnvXDnufocjJ22LMtlD1yssT3+&#10;5vu+GS/Oh64VO03eoC3ldJJLoa3CythNKT99vHr2UgofwFbQotWlvNVeni+fPln0rtAzbLCtNAkG&#10;sb7oXSmbEFyRZV41ugM/QactX9ZIHQTe0iarCHpG79psludnWY9UOUKlvefT1XgpD4j0GECsa6P0&#10;CtW20zaMqKRbCCzJN8Z5uUxs61qr8L6uvQ6iLSUrDWnlIhyv45otF1BsCFxj1IECPIbCA00dGMtF&#10;T1ArCCC2ZP6B6owi9FiHicIuG4UkR1jFNH/gzU0DTictbLV3J9P9/4NV73YfSJiqlHMpLHTc8P2P&#10;7/u7X/uf38Q82tM7X3DWjeO8MLzCgYcmSfXuGtVnLyxeNmA3+oII+0ZDxfSm8WV27+mI4yPIun+L&#10;FdeBbcAENNTURe/YDcHo3JrbU2v0EITiw3k+m53lfKX4bvYifz5NvcugOL525MNrjZ2IQSmJW5/Q&#10;YXftQ2QDxTElFrN4Zdo2tb+1fx1wYjxJ7CPhkXoY1sPBjTVWt6yDcJwm/kscNEhfpeh5kkrpv2yB&#10;tBTtG8texLE7BnQM1scArOKnpQxSjOFlGMdz68hsGkYe3bZ4wX7VJkmJxo4sDjx5OpLCwyTH8bu/&#10;T1l/fu/y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DVKVTWAAAACAEAAA8AAAAAAAAAAQAgAAAA&#10;IgAAAGRycy9kb3ducmV2LnhtbFBLAQIUABQAAAAIAIdO4kA+Whm9DQIAAAUEAAAOAAAAAAAAAAEA&#10;IAAAACUBAABkcnMvZTJvRG9jLnhtbFBLBQYAAAAABgAGAFkBAACkBQ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12700" b="114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hint="eastAsia"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hint="eastAsia"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DBAoAAAAAAIdO4kAAAAAAAAAAAAAAAAAEAAAAZHJzL1BLAwQUAAAACACHTuJA/U6++tgAAAAJ&#10;AQAADwAAAGRycy9kb3ducmV2LnhtbE2PTU/DMAyG70j8h8iTuLGkE9u6rumEEJyQEF05cEwbr63W&#10;OKXJPvj3mBMcX/vR68f57uoGccYp9J40JHMFAqnxtqdWw0f1cp+CCNGQNYMn1PCNAXbF7U1uMusv&#10;VOJ5H1vBJRQyo6GLccykDE2HzoS5H5F4d/CTM5Hj1Eo7mQuXu0EulFpJZ3riC50Z8anD5rg/OQ2P&#10;n1Q+919v9Xt5KPuq2ih6XR21vpslagsi4jX+wfCrz+pQsFPtT2SDGDgn6wdGNSwXGxAMLFPFg1rD&#10;Ok1AFrn8/0HxA1BLAwQUAAAACACHTuJApe5q+AwCAAAFBAAADgAAAGRycy9lMm9Eb2MueG1srVPN&#10;jtMwEL4j8Q6W7zRpBCuImq6WrRYhLT/SwgNMHaexSDxm7DZZHgDegBMX7jxXn4Ox05ZlueyBizW2&#10;x9983zfjxfnYd2KnyRu0lZzPcim0VVgbu6nkxw9XT55L4QPYGjq0upK32svz5eNHi8GVusAWu1qT&#10;YBDry8FVsg3BlVnmVat78DN02vJlg9RD4C1tsppgYPS+y4o8P8sGpNoRKu09n66mS3lApIcAYtMY&#10;pVeotr22YUIl3UFgSb41zstlYts0WoV3TeN1EF0lWWlIKxfheB3XbLmAckPgWqMOFOAhFO5p6sFY&#10;LnqCWkEAsSXzD1RvFKHHJswU9tkkJDnCKub5PW9uWnA6aWGrvTuZ7v8frHq7e0/C1JUspLDQc8P3&#10;37/tf/za//wqimjP4HzJWTeO88L4EkcemiTVu2tUn7yweNmC3egLIhxaDTXTm8eX2Z2nE46PIOvh&#10;DdZcB7YBE9DYUB+9YzcEo3Nrbk+t0WMQig+LF0/z/BlfKb6bn+V5kXqXQXl87ciHVxp7EYNKErc+&#10;ocPu2ofIBspjSixm8cp0XWp/Z/864MR4kthHwhP1MK7HgxtrrG9ZB+E0TfyXOGiRvkgx8CRV0n/e&#10;AmkputeWvYhjdwzoGKyPAVjFTysZpJjCyzCN59aR2bSMPLlt8YL9akySEo2dWBx48nQkhYdJjuN3&#10;d5+y/vze5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9Tr762AAAAAkBAAAPAAAAAAAAAAEAIAAA&#10;ACIAAABkcnMvZG93bnJldi54bWxQSwECFAAUAAAACACHTuJApe5q+AwCAAAFBAAADgAAAAAAAAAB&#10;ACAAAAAnAQAAZHJzL2Uyb0RvYy54bWxQSwUGAAAAAAYABgBZAQAApQUAAAAA&#10;">
                <v:fill on="f" focussize="0,0"/>
                <v:stroke on="f"/>
                <v:imagedata o:title=""/>
                <o:lock v:ext="edit" aspectratio="f"/>
                <v:textbox inset="0mm,0mm,0mm,0mm">
                  <w:txbxContent>
                    <w:p>
                      <w:pPr>
                        <w:spacing w:line="220" w:lineRule="exact"/>
                        <w:jc w:val="distribute"/>
                        <w:rPr>
                          <w:rFonts w:hint="eastAsia"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hint="eastAsia" w:ascii="宋体" w:hAnsi="宋体"/>
                          <w:spacing w:val="-8"/>
                          <w:sz w:val="16"/>
                          <w:szCs w:val="16"/>
                        </w:rPr>
                      </w:pPr>
                    </w:p>
                  </w:txbxContent>
                </v:textbox>
              </v:shape>
            </w:pict>
          </mc:Fallback>
        </mc:AlternateContent>
      </w:r>
    </w:p>
    <w:p>
      <w:pPr>
        <w:spacing w:line="4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hint="eastAsia" w:ascii="Times New Roman" w:hAnsi="Times New Roman" w:eastAsia="仿宋_GB2312" w:cs="Times New Roman"/>
          <w:color w:val="000000"/>
          <w:sz w:val="28"/>
          <w:szCs w:val="28"/>
        </w:rPr>
        <w:t>业会专审</w:t>
      </w:r>
      <w:r>
        <w:rPr>
          <w:rFonts w:ascii="Times New Roman" w:hAnsi="Times New Roman" w:eastAsia="仿宋_GB2312" w:cs="Times New Roman"/>
          <w:color w:val="000000"/>
          <w:sz w:val="28"/>
          <w:szCs w:val="28"/>
        </w:rPr>
        <w:t>[2024]</w:t>
      </w:r>
      <w:r>
        <w:rPr>
          <w:rFonts w:hint="eastAsia" w:ascii="Times New Roman" w:hAnsi="Times New Roman" w:eastAsia="仿宋_GB2312" w:cs="Times New Roman"/>
          <w:color w:val="000000"/>
          <w:sz w:val="28"/>
          <w:szCs w:val="28"/>
        </w:rPr>
        <w:t>299号</w:t>
      </w:r>
    </w:p>
    <w:bookmarkEnd w:id="0"/>
    <w:bookmarkEnd w:id="1"/>
    <w:p>
      <w:pPr>
        <w:jc w:val="center"/>
        <w:rPr>
          <w:rFonts w:ascii="Times New Roman" w:hAnsi="Times New Roman" w:eastAsia="仿宋_GB2312" w:cs="Times New Roman"/>
          <w:b/>
          <w:bCs/>
          <w:sz w:val="40"/>
          <w:szCs w:val="48"/>
        </w:rPr>
      </w:pPr>
    </w:p>
    <w:p>
      <w:pPr>
        <w:spacing w:line="600" w:lineRule="exact"/>
        <w:jc w:val="center"/>
        <w:rPr>
          <w:rFonts w:ascii="Times New Roman" w:hAnsi="Times New Roman" w:eastAsia="宋体" w:cs="Times New Roman"/>
          <w:b/>
          <w:sz w:val="30"/>
          <w:szCs w:val="30"/>
        </w:rPr>
      </w:pPr>
      <w:r>
        <w:rPr>
          <w:rFonts w:hint="eastAsia" w:ascii="Times New Roman" w:hAnsi="Times New Roman" w:eastAsia="宋体" w:cs="Times New Roman"/>
          <w:b/>
          <w:sz w:val="30"/>
          <w:szCs w:val="30"/>
        </w:rPr>
        <w:t>关于对广州市番禺区沙湾街社工服务站</w:t>
      </w:r>
    </w:p>
    <w:p>
      <w:pPr>
        <w:spacing w:line="600" w:lineRule="exact"/>
        <w:jc w:val="center"/>
        <w:rPr>
          <w:rFonts w:ascii="Times New Roman" w:hAnsi="Times New Roman" w:eastAsia="宋体" w:cs="Times New Roman"/>
          <w:b/>
          <w:sz w:val="30"/>
          <w:szCs w:val="30"/>
        </w:rPr>
      </w:pPr>
      <w:r>
        <w:rPr>
          <w:rFonts w:hint="eastAsia" w:ascii="Times New Roman" w:hAnsi="Times New Roman" w:eastAsia="宋体" w:cs="Times New Roman"/>
          <w:b/>
          <w:sz w:val="30"/>
          <w:szCs w:val="30"/>
        </w:rPr>
        <w:t>2024年5月1日至2024年10月31日财务管理情况评估报告</w:t>
      </w:r>
    </w:p>
    <w:p>
      <w:pPr>
        <w:spacing w:line="360" w:lineRule="auto"/>
        <w:jc w:val="center"/>
        <w:rPr>
          <w:rFonts w:ascii="Times New Roman" w:hAnsi="Times New Roman" w:eastAsia="仿宋_GB2312" w:cs="Times New Roman"/>
          <w:sz w:val="28"/>
          <w:szCs w:val="28"/>
        </w:rPr>
      </w:pPr>
    </w:p>
    <w:p>
      <w:pPr>
        <w:spacing w:line="620" w:lineRule="exact"/>
        <w:ind w:right="-8"/>
        <w:rPr>
          <w:rFonts w:ascii="Times New Roman" w:hAnsi="Times New Roman" w:eastAsia="楷体" w:cs="Times New Roman"/>
          <w:b/>
          <w:spacing w:val="-10"/>
          <w:sz w:val="28"/>
          <w:szCs w:val="28"/>
        </w:rPr>
      </w:pPr>
      <w:r>
        <w:rPr>
          <w:rFonts w:hint="eastAsia" w:ascii="Times New Roman" w:hAnsi="Times New Roman" w:eastAsia="楷体" w:cs="Times New Roman"/>
          <w:b/>
          <w:spacing w:val="-10"/>
          <w:sz w:val="28"/>
          <w:szCs w:val="28"/>
        </w:rPr>
        <w:t>广州市番禺区社区建设指导中心：</w:t>
      </w:r>
    </w:p>
    <w:p>
      <w:pPr>
        <w:spacing w:line="62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我们接受委托，对广州市番禺区沙湾街社工服务站（以下简称沙湾社工站）2024年5月1日至2024年10月31日财务管理情况进行财务评估。</w:t>
      </w:r>
      <w:r>
        <w:rPr>
          <w:rFonts w:hint="eastAsia" w:ascii="Times New Roman" w:hAnsi="Times New Roman" w:eastAsia="仿宋" w:cs="Times New Roman"/>
          <w:sz w:val="28"/>
          <w:szCs w:val="28"/>
        </w:rPr>
        <w:t>提供真实、合法、完整的会计资料和评估相关资料是</w:t>
      </w:r>
      <w:r>
        <w:rPr>
          <w:rFonts w:hint="eastAsia" w:ascii="Times New Roman" w:hAnsi="Times New Roman" w:eastAsia="仿宋_GB2312" w:cs="Times New Roman"/>
          <w:sz w:val="28"/>
          <w:szCs w:val="28"/>
        </w:rPr>
        <w:t>沙湾社工站及其承接机构的责任，</w:t>
      </w:r>
      <w:r>
        <w:rPr>
          <w:rFonts w:hint="eastAsia" w:ascii="Times New Roman" w:hAnsi="Times New Roman" w:eastAsia="仿宋" w:cs="Times New Roman"/>
          <w:sz w:val="28"/>
          <w:szCs w:val="28"/>
        </w:rPr>
        <w:t>我们的责任是依据《中国注册会计师执业准则》、《中华人民共和国会计法》、《会计基础工作规范》、《民间非营利组织会计制度》、《广州市社工服务站管理办法》（穗府办</w:t>
      </w:r>
      <w:r>
        <w:rPr>
          <w:rFonts w:hint="eastAsia" w:ascii="仿宋_GB2312" w:hAnsi="仿宋_GB2312" w:eastAsia="仿宋_GB2312" w:cs="仿宋_GB2312"/>
          <w:sz w:val="28"/>
          <w:szCs w:val="28"/>
        </w:rPr>
        <w:t>〔</w:t>
      </w:r>
      <w:r>
        <w:rPr>
          <w:rFonts w:ascii="Times New Roman" w:hAnsi="Times New Roman" w:eastAsia="仿宋" w:cs="Times New Roman"/>
          <w:sz w:val="28"/>
          <w:szCs w:val="28"/>
        </w:rPr>
        <w:t>2023</w:t>
      </w:r>
      <w:r>
        <w:rPr>
          <w:rFonts w:hint="eastAsia" w:ascii="仿宋_GB2312" w:hAnsi="仿宋_GB2312" w:eastAsia="仿宋_GB2312" w:cs="仿宋_GB2312"/>
          <w:sz w:val="28"/>
          <w:szCs w:val="28"/>
        </w:rPr>
        <w:t>〕</w:t>
      </w:r>
      <w:r>
        <w:rPr>
          <w:rFonts w:ascii="Times New Roman" w:hAnsi="Times New Roman" w:eastAsia="仿宋" w:cs="Times New Roman"/>
          <w:sz w:val="28"/>
          <w:szCs w:val="28"/>
        </w:rPr>
        <w:t>7</w:t>
      </w:r>
      <w:r>
        <w:rPr>
          <w:rFonts w:hint="eastAsia" w:ascii="Times New Roman" w:hAnsi="Times New Roman" w:eastAsia="仿宋" w:cs="Times New Roman"/>
          <w:sz w:val="28"/>
          <w:szCs w:val="28"/>
        </w:rPr>
        <w:t>号）、《广州市社工站购买服务项目评估指标体系》（穗民</w:t>
      </w:r>
      <w:r>
        <w:rPr>
          <w:rFonts w:hint="eastAsia" w:ascii="仿宋_GB2312" w:hAnsi="仿宋_GB2312" w:eastAsia="仿宋_GB2312" w:cs="仿宋_GB2312"/>
          <w:sz w:val="28"/>
          <w:szCs w:val="28"/>
        </w:rPr>
        <w:t>〔</w:t>
      </w:r>
      <w:r>
        <w:rPr>
          <w:rFonts w:ascii="Times New Roman" w:hAnsi="Times New Roman" w:eastAsia="仿宋" w:cs="Times New Roman"/>
          <w:sz w:val="28"/>
          <w:szCs w:val="28"/>
        </w:rPr>
        <w:t>2023</w:t>
      </w:r>
      <w:r>
        <w:rPr>
          <w:rFonts w:hint="eastAsia" w:ascii="仿宋_GB2312" w:hAnsi="仿宋_GB2312" w:eastAsia="仿宋_GB2312" w:cs="仿宋_GB2312"/>
          <w:sz w:val="28"/>
          <w:szCs w:val="28"/>
        </w:rPr>
        <w:t>〕</w:t>
      </w:r>
      <w:r>
        <w:rPr>
          <w:rFonts w:ascii="Times New Roman" w:hAnsi="Times New Roman" w:eastAsia="仿宋" w:cs="Times New Roman"/>
          <w:sz w:val="28"/>
          <w:szCs w:val="28"/>
        </w:rPr>
        <w:t>97</w:t>
      </w:r>
      <w:r>
        <w:rPr>
          <w:rFonts w:hint="eastAsia" w:ascii="Times New Roman" w:hAnsi="Times New Roman" w:eastAsia="仿宋" w:cs="Times New Roman"/>
          <w:sz w:val="28"/>
          <w:szCs w:val="28"/>
        </w:rPr>
        <w:t>号）及广州市番禺区人民政府沙湾街办事处与社工服务承接机构签订的购买服务协议中相关约定，对沙湾社工站的财务管理情况进行审核，并出具财务评估报告。</w:t>
      </w:r>
    </w:p>
    <w:p>
      <w:pPr>
        <w:spacing w:line="62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按照中国注册会计师职业道德守则，我们独立于沙湾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pPr>
        <w:spacing w:line="610" w:lineRule="exact"/>
        <w:ind w:right="0" w:rightChars="0" w:firstLine="562" w:firstLineChars="20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一、沙湾社工站基本情况</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承接机构名称：广州市和悦社会工作服务中心。</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承接机构法定代表人：</w:t>
      </w:r>
      <w:r>
        <w:rPr>
          <w:rFonts w:ascii="Times New Roman" w:hAnsi="Times New Roman" w:eastAsia="仿宋_GB2312" w:cs="Times New Roman"/>
          <w:sz w:val="28"/>
          <w:szCs w:val="28"/>
        </w:rPr>
        <w:t>李永华</w:t>
      </w:r>
      <w:r>
        <w:rPr>
          <w:rFonts w:hint="eastAsia" w:ascii="Times New Roman" w:hAnsi="Times New Roman" w:eastAsia="仿宋_GB2312" w:cs="Times New Roman"/>
          <w:sz w:val="28"/>
          <w:szCs w:val="28"/>
        </w:rPr>
        <w:t>。</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招标采购周期：</w:t>
      </w:r>
      <w:r>
        <w:rPr>
          <w:rFonts w:ascii="Times New Roman" w:hAnsi="Times New Roman" w:eastAsia="仿宋_GB2312" w:cs="Times New Roman"/>
          <w:sz w:val="28"/>
          <w:szCs w:val="28"/>
        </w:rPr>
        <w:t>20</w:t>
      </w:r>
      <w:r>
        <w:rPr>
          <w:rFonts w:hint="eastAsia" w:ascii="Times New Roman" w:hAnsi="Times New Roman" w:eastAsia="仿宋_GB2312" w:cs="Times New Roman"/>
          <w:sz w:val="28"/>
          <w:szCs w:val="28"/>
        </w:rPr>
        <w:t>24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日至20</w:t>
      </w:r>
      <w:r>
        <w:rPr>
          <w:rFonts w:hint="eastAsia" w:ascii="Times New Roman" w:hAnsi="Times New Roman" w:eastAsia="仿宋_GB2312" w:cs="Times New Roman"/>
          <w:sz w:val="28"/>
          <w:szCs w:val="28"/>
        </w:rPr>
        <w:t>27</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30</w:t>
      </w:r>
      <w:r>
        <w:rPr>
          <w:rFonts w:ascii="Times New Roman" w:hAnsi="Times New Roman" w:eastAsia="仿宋_GB2312" w:cs="Times New Roman"/>
          <w:sz w:val="28"/>
          <w:szCs w:val="28"/>
        </w:rPr>
        <w:t>日</w:t>
      </w:r>
      <w:r>
        <w:rPr>
          <w:rFonts w:hint="eastAsia" w:ascii="Times New Roman" w:hAnsi="Times New Roman" w:eastAsia="仿宋_GB2312" w:cs="Times New Roman"/>
          <w:sz w:val="28"/>
          <w:szCs w:val="28"/>
        </w:rPr>
        <w:t>。</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本次服务协议期限：2024年5月1日至2025年4月30日。</w:t>
      </w:r>
    </w:p>
    <w:p>
      <w:pPr>
        <w:spacing w:line="600" w:lineRule="exact"/>
        <w:ind w:firstLine="544"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政府购买服务经费：本服务协议期限2024年5月1日至2025年4月30日的服务经费总计</w:t>
      </w:r>
      <w:r>
        <w:rPr>
          <w:rFonts w:ascii="Times New Roman" w:hAnsi="Times New Roman" w:eastAsia="仿宋_GB2312" w:cs="Times New Roman"/>
          <w:spacing w:val="-4"/>
          <w:sz w:val="28"/>
          <w:szCs w:val="28"/>
        </w:rPr>
        <w:t>2,</w:t>
      </w:r>
      <w:r>
        <w:rPr>
          <w:rFonts w:hint="eastAsia" w:ascii="Times New Roman" w:hAnsi="Times New Roman" w:eastAsia="仿宋_GB2312" w:cs="Times New Roman"/>
          <w:spacing w:val="-4"/>
          <w:sz w:val="28"/>
          <w:szCs w:val="28"/>
        </w:rPr>
        <w:t>400</w:t>
      </w:r>
      <w:r>
        <w:rPr>
          <w:rFonts w:ascii="Times New Roman" w:hAnsi="Times New Roman" w:eastAsia="仿宋_GB2312" w:cs="Times New Roman"/>
          <w:spacing w:val="-4"/>
          <w:sz w:val="28"/>
          <w:szCs w:val="28"/>
        </w:rPr>
        <w:t>,</w:t>
      </w:r>
      <w:r>
        <w:rPr>
          <w:rFonts w:hint="eastAsia" w:ascii="Times New Roman" w:hAnsi="Times New Roman" w:eastAsia="仿宋_GB2312" w:cs="Times New Roman"/>
          <w:spacing w:val="-4"/>
          <w:sz w:val="28"/>
          <w:szCs w:val="28"/>
        </w:rPr>
        <w:t>000</w:t>
      </w:r>
      <w:r>
        <w:rPr>
          <w:rFonts w:ascii="Times New Roman" w:hAnsi="Times New Roman" w:eastAsia="仿宋_GB2312" w:cs="Times New Roman"/>
          <w:spacing w:val="-4"/>
          <w:sz w:val="28"/>
          <w:szCs w:val="28"/>
        </w:rPr>
        <w:t>.00</w:t>
      </w:r>
      <w:r>
        <w:rPr>
          <w:rFonts w:hint="eastAsia" w:ascii="Times New Roman" w:hAnsi="Times New Roman" w:eastAsia="仿宋_GB2312" w:cs="Times New Roman"/>
          <w:spacing w:val="-4"/>
          <w:sz w:val="28"/>
          <w:szCs w:val="28"/>
        </w:rPr>
        <w:t>元，分为三期拨付。其中：在协议签订生效之日起</w:t>
      </w:r>
      <w:r>
        <w:rPr>
          <w:rFonts w:ascii="Times New Roman" w:hAnsi="Times New Roman" w:eastAsia="仿宋_GB2312" w:cs="Times New Roman"/>
          <w:spacing w:val="-4"/>
          <w:sz w:val="28"/>
          <w:szCs w:val="28"/>
        </w:rPr>
        <w:t>30</w:t>
      </w:r>
      <w:r>
        <w:rPr>
          <w:rFonts w:hint="eastAsia" w:ascii="Times New Roman" w:hAnsi="Times New Roman" w:eastAsia="仿宋_GB2312" w:cs="Times New Roman"/>
          <w:spacing w:val="-4"/>
          <w:sz w:val="28"/>
          <w:szCs w:val="28"/>
        </w:rPr>
        <w:t>个工作日内拨付年度项目经费总额的</w:t>
      </w:r>
      <w:r>
        <w:rPr>
          <w:rFonts w:ascii="Times New Roman" w:hAnsi="Times New Roman" w:eastAsia="仿宋_GB2312" w:cs="Times New Roman"/>
          <w:spacing w:val="-4"/>
          <w:sz w:val="28"/>
          <w:szCs w:val="28"/>
        </w:rPr>
        <w:t>55%</w:t>
      </w:r>
      <w:r>
        <w:rPr>
          <w:rFonts w:hint="eastAsia" w:ascii="Times New Roman" w:hAnsi="Times New Roman" w:eastAsia="仿宋_GB2312" w:cs="Times New Roman"/>
          <w:spacing w:val="-4"/>
          <w:sz w:val="28"/>
          <w:szCs w:val="28"/>
        </w:rPr>
        <w:t>即1,320,000.00元；年度中期评估为合格以上的，自申请之日起30个工作日拨付年度项目经费总额的</w:t>
      </w:r>
      <w:r>
        <w:rPr>
          <w:rFonts w:ascii="Times New Roman" w:hAnsi="Times New Roman" w:eastAsia="仿宋_GB2312" w:cs="Times New Roman"/>
          <w:spacing w:val="-4"/>
          <w:sz w:val="28"/>
          <w:szCs w:val="28"/>
        </w:rPr>
        <w:t>40%</w:t>
      </w:r>
      <w:r>
        <w:rPr>
          <w:rFonts w:hint="eastAsia" w:ascii="Times New Roman" w:hAnsi="Times New Roman" w:eastAsia="仿宋_GB2312" w:cs="Times New Roman"/>
          <w:spacing w:val="-4"/>
          <w:sz w:val="28"/>
          <w:szCs w:val="28"/>
        </w:rPr>
        <w:t>即960,000.00元；年度末期评估为合格以上的，自申请之日起30个工作日拨付年度项目经费总额的</w:t>
      </w:r>
      <w:r>
        <w:rPr>
          <w:rFonts w:ascii="Times New Roman" w:hAnsi="Times New Roman" w:eastAsia="仿宋_GB2312" w:cs="Times New Roman"/>
          <w:spacing w:val="-4"/>
          <w:sz w:val="28"/>
          <w:szCs w:val="28"/>
        </w:rPr>
        <w:t>5%</w:t>
      </w:r>
      <w:r>
        <w:rPr>
          <w:rFonts w:hint="eastAsia" w:ascii="Times New Roman" w:hAnsi="Times New Roman" w:eastAsia="仿宋_GB2312" w:cs="Times New Roman"/>
          <w:spacing w:val="-4"/>
          <w:sz w:val="28"/>
          <w:szCs w:val="28"/>
        </w:rPr>
        <w:t>即120,000</w:t>
      </w:r>
      <w:r>
        <w:rPr>
          <w:rFonts w:ascii="Times New Roman" w:hAnsi="Times New Roman" w:eastAsia="仿宋_GB2312" w:cs="Times New Roman"/>
          <w:spacing w:val="-4"/>
          <w:sz w:val="28"/>
          <w:szCs w:val="28"/>
        </w:rPr>
        <w:t>.00</w:t>
      </w:r>
      <w:r>
        <w:rPr>
          <w:rFonts w:hint="eastAsia" w:ascii="Times New Roman" w:hAnsi="Times New Roman" w:eastAsia="仿宋_GB2312" w:cs="Times New Roman"/>
          <w:spacing w:val="-4"/>
          <w:sz w:val="28"/>
          <w:szCs w:val="28"/>
        </w:rPr>
        <w:t>元。</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562" w:firstLineChars="200"/>
        <w:textAlignment w:val="auto"/>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二、沙湾社工站财务管理制度执行情况</w:t>
      </w:r>
    </w:p>
    <w:p>
      <w:pPr>
        <w:spacing w:line="60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㈠非营利组织会计制度的执行情况</w:t>
      </w:r>
    </w:p>
    <w:p>
      <w:pPr>
        <w:spacing w:line="6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经审核，沙湾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60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㈡</w:t>
      </w:r>
      <w:r>
        <w:rPr>
          <w:rFonts w:hint="eastAsia" w:ascii="Times New Roman" w:hAnsi="Times New Roman" w:eastAsia="仿宋" w:cs="Times New Roman"/>
          <w:sz w:val="28"/>
          <w:szCs w:val="28"/>
        </w:rPr>
        <w:t>财务监管、风控制度的执行情况</w:t>
      </w:r>
    </w:p>
    <w:p>
      <w:pPr>
        <w:spacing w:line="60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hint="eastAsia" w:ascii="Times New Roman" w:hAnsi="Times New Roman" w:eastAsia="仿宋_GB2312" w:cs="Times New Roman"/>
          <w:sz w:val="28"/>
          <w:szCs w:val="28"/>
        </w:rPr>
        <w:t>承接机构广州市和悦社会工作服务中心</w:t>
      </w:r>
      <w:r>
        <w:rPr>
          <w:rFonts w:hint="eastAsia" w:ascii="Times New Roman" w:hAnsi="Times New Roman" w:eastAsia="仿宋" w:cs="Times New Roman"/>
          <w:sz w:val="28"/>
          <w:szCs w:val="28"/>
        </w:rPr>
        <w:t>根据自身业务特点建立了《财务管理制度》《财务管理内控制度》等财务监管、风控制度。沙湾社工站在实际工作中能按上述制度要求编制</w:t>
      </w:r>
      <w:r>
        <w:rPr>
          <w:rFonts w:ascii="Times New Roman" w:hAnsi="Times New Roman" w:eastAsia="仿宋" w:cs="Times New Roman"/>
          <w:sz w:val="28"/>
          <w:szCs w:val="28"/>
        </w:rPr>
        <w:t>“</w:t>
      </w:r>
      <w:r>
        <w:rPr>
          <w:rFonts w:hint="eastAsia" w:ascii="Times New Roman" w:hAnsi="Times New Roman" w:eastAsia="仿宋" w:cs="Times New Roman"/>
          <w:sz w:val="28"/>
          <w:szCs w:val="28"/>
        </w:rPr>
        <w:t>预决算对比表</w:t>
      </w:r>
      <w:r>
        <w:rPr>
          <w:rFonts w:ascii="Times New Roman" w:hAnsi="Times New Roman" w:eastAsia="仿宋" w:cs="Times New Roman"/>
          <w:sz w:val="28"/>
          <w:szCs w:val="28"/>
        </w:rPr>
        <w:t>”</w:t>
      </w:r>
      <w:r>
        <w:rPr>
          <w:rFonts w:hint="eastAsia" w:ascii="Times New Roman" w:hAnsi="Times New Roman" w:eastAsia="仿宋" w:cs="Times New Roman"/>
          <w:sz w:val="28"/>
          <w:szCs w:val="28"/>
        </w:rPr>
        <w:t>；除本报告第八点“存在问题”所列事项外，在经费报销和预支申请等方面基本能执行承接机构制度规定的程序、权限。</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w:t>
      </w:r>
      <w:bookmarkStart w:id="2" w:name="_Hlk110953931"/>
      <w:r>
        <w:rPr>
          <w:rFonts w:hint="eastAsia" w:ascii="Times New Roman" w:hAnsi="Times New Roman" w:eastAsia="仿宋_GB2312" w:cs="Times New Roman"/>
          <w:sz w:val="28"/>
          <w:szCs w:val="28"/>
        </w:rPr>
        <w:t>承接机构广州市和悦社会工作服务中心</w:t>
      </w:r>
      <w:r>
        <w:rPr>
          <w:rFonts w:hint="eastAsia" w:ascii="Times New Roman" w:hAnsi="Times New Roman" w:eastAsia="仿宋" w:cs="Times New Roman"/>
          <w:sz w:val="28"/>
          <w:szCs w:val="28"/>
        </w:rPr>
        <w:t>已按要求编制服务期内沙湾社工站的财务自评报告</w:t>
      </w:r>
      <w:r>
        <w:rPr>
          <w:rFonts w:hint="eastAsia" w:ascii="Times New Roman" w:hAnsi="Times New Roman" w:eastAsia="仿宋_GB2312" w:cs="Times New Roman"/>
          <w:sz w:val="28"/>
          <w:szCs w:val="28"/>
        </w:rPr>
        <w:t>；</w:t>
      </w:r>
      <w:bookmarkEnd w:id="2"/>
      <w:r>
        <w:rPr>
          <w:rFonts w:hint="eastAsia" w:ascii="Times New Roman" w:hAnsi="Times New Roman" w:eastAsia="仿宋_GB2312" w:cs="Times New Roman"/>
          <w:sz w:val="28"/>
          <w:szCs w:val="28"/>
        </w:rPr>
        <w:t>中心2023年度财务报表已经广州致圣会计师事务（普通合伙）审计，并取得致圣审字[2024]第ZS0051号无保留意见审计报告；2023年度企业所得税纳税情况已经拓斯（广州）税务师事务所有限公司复核，并取得拓斯税字[2024]第0072号汇算清缴纳税调整报告。</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562" w:firstLineChars="200"/>
        <w:textAlignment w:val="auto"/>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三、沙湾社工站人员配备情况</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承接机构广州市和悦社会工作服务中心</w:t>
      </w:r>
      <w:r>
        <w:rPr>
          <w:rFonts w:hint="eastAsia" w:ascii="Times New Roman" w:hAnsi="Times New Roman" w:eastAsia="仿宋" w:cs="Times New Roman"/>
          <w:sz w:val="28"/>
          <w:szCs w:val="28"/>
        </w:rPr>
        <w:t>严格贯彻不相容职务分离原则，为</w:t>
      </w:r>
      <w:r>
        <w:rPr>
          <w:rFonts w:hint="eastAsia" w:ascii="Times New Roman" w:hAnsi="Times New Roman" w:eastAsia="仿宋_GB2312" w:cs="Times New Roman"/>
          <w:sz w:val="28"/>
          <w:szCs w:val="28"/>
        </w:rPr>
        <w:t>沙湾社工站配置财务人员</w:t>
      </w:r>
      <w:r>
        <w:rPr>
          <w:rFonts w:ascii="Times New Roman" w:hAnsi="Times New Roman" w:eastAsia="仿宋" w:cs="Times New Roman"/>
          <w:sz w:val="28"/>
          <w:szCs w:val="28"/>
        </w:rPr>
        <w:t>3名，分别担任会计主管、会计、出纳岗位</w:t>
      </w:r>
      <w:r>
        <w:rPr>
          <w:rFonts w:hint="eastAsia" w:ascii="Times New Roman" w:hAnsi="Times New Roman" w:eastAsia="仿宋" w:cs="Times New Roman"/>
          <w:sz w:val="28"/>
          <w:szCs w:val="28"/>
        </w:rPr>
        <w:t>，负责包括</w:t>
      </w:r>
      <w:r>
        <w:rPr>
          <w:rFonts w:hint="eastAsia" w:ascii="Times New Roman" w:hAnsi="Times New Roman" w:eastAsia="仿宋_GB2312" w:cs="Times New Roman"/>
          <w:sz w:val="28"/>
          <w:szCs w:val="28"/>
        </w:rPr>
        <w:t>沙湾社工站在内的中心财务工作</w:t>
      </w:r>
      <w:r>
        <w:rPr>
          <w:rFonts w:hint="eastAsia" w:ascii="Times New Roman" w:hAnsi="Times New Roman" w:eastAsia="仿宋" w:cs="Times New Roman"/>
          <w:sz w:val="28"/>
          <w:szCs w:val="28"/>
        </w:rPr>
        <w:t>，</w:t>
      </w:r>
      <w:r>
        <w:rPr>
          <w:rFonts w:ascii="Times New Roman" w:hAnsi="Times New Roman" w:eastAsia="仿宋" w:cs="Times New Roman"/>
          <w:sz w:val="28"/>
          <w:szCs w:val="28"/>
        </w:rPr>
        <w:t>其中会计主管黄艳芳已取得会计从业资格证书。</w:t>
      </w:r>
    </w:p>
    <w:p>
      <w:pPr>
        <w:spacing w:line="600" w:lineRule="exact"/>
        <w:ind w:firstLine="560" w:firstLineChars="200"/>
        <w:rPr>
          <w:rFonts w:ascii="Times New Roman" w:hAnsi="Times New Roman" w:eastAsia="仿宋" w:cs="Times New Roman"/>
          <w:sz w:val="28"/>
          <w:szCs w:val="28"/>
        </w:rPr>
      </w:pPr>
      <w:r>
        <w:rPr>
          <w:rFonts w:hint="eastAsia" w:ascii="仿宋" w:hAnsi="仿宋" w:eastAsia="仿宋"/>
          <w:color w:val="000000" w:themeColor="text1"/>
          <w:sz w:val="28"/>
          <w:szCs w:val="28"/>
          <w14:textFill>
            <w14:solidFill>
              <w14:schemeClr w14:val="tx1"/>
            </w14:solidFill>
          </w14:textFill>
        </w:rPr>
        <w:t>经查阅，会计主管黄艳芳、会计郑健慧和出纳陈燕均已完成2023年度会计专业系列专业技术人员继续教育学习任务，且相应工资、五险一金等薪金支出未计入社工人员经费支出，符合要求。</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562" w:firstLineChars="200"/>
        <w:textAlignment w:val="auto"/>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四、沙湾社工站服务经费支出情况</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承接机构广州市和悦社会工作服务中心根据《广州市社工服务站管理办法》（穗府办</w:t>
      </w:r>
      <w:r>
        <w:rPr>
          <w:rFonts w:hint="eastAsia" w:ascii="仿宋_GB2312" w:hAnsi="仿宋_GB2312" w:eastAsia="仿宋_GB2312" w:cs="仿宋_GB2312"/>
          <w:sz w:val="28"/>
          <w:szCs w:val="28"/>
        </w:rPr>
        <w:t>〔</w:t>
      </w:r>
      <w:r>
        <w:rPr>
          <w:rFonts w:ascii="Times New Roman" w:hAnsi="Times New Roman" w:eastAsia="仿宋_GB2312" w:cs="Times New Roman"/>
          <w:sz w:val="28"/>
          <w:szCs w:val="28"/>
        </w:rPr>
        <w:t>2023</w:t>
      </w:r>
      <w:r>
        <w:rPr>
          <w:rFonts w:hint="eastAsia" w:ascii="仿宋_GB2312" w:hAnsi="仿宋_GB2312" w:eastAsia="仿宋_GB2312" w:cs="仿宋_GB2312"/>
          <w:sz w:val="28"/>
          <w:szCs w:val="28"/>
        </w:rPr>
        <w:t>〕</w:t>
      </w:r>
      <w:r>
        <w:rPr>
          <w:rFonts w:ascii="Times New Roman" w:hAnsi="Times New Roman" w:eastAsia="仿宋_GB2312" w:cs="Times New Roman"/>
          <w:sz w:val="28"/>
          <w:szCs w:val="28"/>
        </w:rPr>
        <w:t>7</w:t>
      </w:r>
      <w:r>
        <w:rPr>
          <w:rFonts w:hint="eastAsia" w:ascii="Times New Roman" w:hAnsi="Times New Roman" w:eastAsia="仿宋_GB2312" w:cs="Times New Roman"/>
          <w:sz w:val="28"/>
          <w:szCs w:val="28"/>
        </w:rPr>
        <w:t>号）、《广州市社工站购买服务项目评估指标体系》（穗民</w:t>
      </w:r>
      <w:r>
        <w:rPr>
          <w:rFonts w:hint="eastAsia" w:ascii="仿宋_GB2312" w:hAnsi="仿宋_GB2312" w:eastAsia="仿宋_GB2312" w:cs="仿宋_GB2312"/>
          <w:sz w:val="28"/>
          <w:szCs w:val="28"/>
        </w:rPr>
        <w:t>〔</w:t>
      </w:r>
      <w:r>
        <w:rPr>
          <w:rFonts w:ascii="Times New Roman" w:hAnsi="Times New Roman" w:eastAsia="仿宋_GB2312" w:cs="Times New Roman"/>
          <w:sz w:val="28"/>
          <w:szCs w:val="28"/>
        </w:rPr>
        <w:t>2023</w:t>
      </w:r>
      <w:r>
        <w:rPr>
          <w:rFonts w:hint="eastAsia" w:ascii="仿宋_GB2312" w:hAnsi="仿宋_GB2312" w:eastAsia="仿宋_GB2312" w:cs="仿宋_GB2312"/>
          <w:sz w:val="28"/>
          <w:szCs w:val="28"/>
        </w:rPr>
        <w:t>〕</w:t>
      </w:r>
      <w:r>
        <w:rPr>
          <w:rFonts w:ascii="Times New Roman" w:hAnsi="Times New Roman" w:eastAsia="仿宋_GB2312" w:cs="Times New Roman"/>
          <w:sz w:val="28"/>
          <w:szCs w:val="28"/>
        </w:rPr>
        <w:t>97</w:t>
      </w:r>
      <w:r>
        <w:rPr>
          <w:rFonts w:hint="eastAsia" w:ascii="Times New Roman" w:hAnsi="Times New Roman" w:eastAsia="仿宋_GB2312" w:cs="Times New Roman"/>
          <w:sz w:val="28"/>
          <w:szCs w:val="28"/>
        </w:rPr>
        <w:t>号）等相关规定，结合实际情况建立了</w:t>
      </w:r>
      <w:r>
        <w:rPr>
          <w:rFonts w:hint="eastAsia" w:ascii="Times New Roman" w:hAnsi="Times New Roman" w:eastAsia="仿宋" w:cs="Times New Roman"/>
          <w:sz w:val="28"/>
          <w:szCs w:val="28"/>
        </w:rPr>
        <w:t>《报销流程管理办法》</w:t>
      </w:r>
      <w:r>
        <w:rPr>
          <w:rFonts w:hint="eastAsia" w:ascii="Times New Roman" w:hAnsi="Times New Roman" w:eastAsia="仿宋_GB2312" w:cs="Times New Roman"/>
          <w:sz w:val="28"/>
          <w:szCs w:val="28"/>
        </w:rPr>
        <w:t>，明确了财务经费支出的审核程序及支出权限。制度规定：</w:t>
      </w:r>
      <w:r>
        <w:rPr>
          <w:rFonts w:ascii="Times New Roman" w:hAnsi="Times New Roman" w:eastAsia="仿宋_GB2312" w:cs="Times New Roman"/>
          <w:sz w:val="28"/>
          <w:szCs w:val="28"/>
        </w:rPr>
        <w:t>机构各级管理人员都拥有一定权限的费用支出审批权。单笔费用支出审批权如下：</w:t>
      </w:r>
      <w:r>
        <w:rPr>
          <w:rFonts w:hint="eastAsia" w:ascii="Times New Roman" w:hAnsi="Times New Roman" w:eastAsia="仿宋_GB2312" w:cs="Times New Roman"/>
          <w:sz w:val="28"/>
          <w:szCs w:val="28"/>
        </w:rPr>
        <w:t>机构各中心主任审批</w:t>
      </w:r>
      <w:r>
        <w:rPr>
          <w:rFonts w:ascii="Times New Roman" w:hAnsi="Times New Roman" w:eastAsia="仿宋_GB2312" w:cs="Times New Roman"/>
          <w:sz w:val="28"/>
          <w:szCs w:val="28"/>
        </w:rPr>
        <w:t>：费用≤500元；</w:t>
      </w:r>
      <w:r>
        <w:rPr>
          <w:rFonts w:hint="eastAsia" w:ascii="Times New Roman" w:hAnsi="Times New Roman" w:eastAsia="仿宋_GB2312" w:cs="Times New Roman"/>
          <w:sz w:val="28"/>
          <w:szCs w:val="28"/>
        </w:rPr>
        <w:t>项目负责人审批</w:t>
      </w:r>
      <w:r>
        <w:rPr>
          <w:rFonts w:ascii="Times New Roman" w:hAnsi="Times New Roman" w:eastAsia="仿宋_GB2312" w:cs="Times New Roman"/>
          <w:sz w:val="28"/>
          <w:szCs w:val="28"/>
        </w:rPr>
        <w:t>：500元＜费用≤1000元；机构负责人理事长审批：费用＞1000元；机构负责人理事长经手的费用应由其他理事进行审核签字方可报批。经费支出由经办人、证明人、审核人签名。</w:t>
      </w:r>
      <w:r>
        <w:rPr>
          <w:rFonts w:hint="eastAsia" w:ascii="Times New Roman" w:hAnsi="Times New Roman" w:eastAsia="仿宋_GB2312" w:cs="Times New Roman"/>
          <w:sz w:val="28"/>
          <w:szCs w:val="28"/>
        </w:rPr>
        <w:t>本评估期内沙湾社工站经费支出具体情况如下：</w:t>
      </w:r>
    </w:p>
    <w:p>
      <w:pPr>
        <w:spacing w:line="60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㈠财务支出的合规性</w:t>
      </w:r>
    </w:p>
    <w:p>
      <w:pPr>
        <w:spacing w:line="60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沙湾社工站经费使用的范围、比例基本能按《广州市社工服务站管理办法》有关规定执行。沙湾社工站每年有制定</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预决算对比表</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，明确规划了协议期内的收入和支出预算计划，经费支出预算表基本能符合《民间非营利组织会计制度》和</w:t>
      </w:r>
      <w:r>
        <w:rPr>
          <w:rFonts w:hint="eastAsia" w:ascii="Times New Roman" w:hAnsi="Times New Roman" w:eastAsia="仿宋_GB2312"/>
          <w:color w:val="000000" w:themeColor="text1"/>
          <w:sz w:val="28"/>
          <w:szCs w:val="28"/>
          <w14:textFill>
            <w14:solidFill>
              <w14:schemeClr w14:val="tx1"/>
            </w14:solidFill>
          </w14:textFill>
        </w:rPr>
        <w:t>广州市番禺区人民政府沙湾街道办事处</w:t>
      </w:r>
      <w:r>
        <w:rPr>
          <w:rFonts w:hint="eastAsia" w:ascii="Times New Roman" w:hAnsi="Times New Roman" w:eastAsia="仿宋_GB2312" w:cs="Times New Roman"/>
          <w:sz w:val="28"/>
          <w:szCs w:val="28"/>
        </w:rPr>
        <w:t>与社工服务站承接机构签订的购买服务协议中人员费用、服务质量保障费用和运营管理费用规定的使用范围，活动经费预算表有机构理事会负责人签名确认。</w:t>
      </w:r>
    </w:p>
    <w:p>
      <w:pPr>
        <w:pStyle w:val="12"/>
        <w:numPr>
          <w:ilvl w:val="0"/>
          <w:numId w:val="1"/>
        </w:numPr>
        <w:spacing w:line="620" w:lineRule="exact"/>
        <w:ind w:right="-6" w:rightChars="-3" w:firstLineChars="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财务支出的合理性</w:t>
      </w:r>
    </w:p>
    <w:p>
      <w:pPr>
        <w:tabs>
          <w:tab w:val="right" w:pos="9354"/>
        </w:tabs>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除本报告第八点“存在问题”所列事项外，沙湾社工站财务支出的事由、票据、标准基本合理。沙湾社工站有经费预算程序，财务支出根据经费预算计划执行、基本能按预算标准支出，并有财务支出票据。</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㈢财务支出的审批情况</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经审核，沙湾社工站能按承接机构广州市和悦社会工作服务中心财务制度规定的审批权限进行审批。经费支出均有经办人、证明人、审核人签名。</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㈣财务支出的监控情况</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经审核，承接机构广州市和悦社会工作服务中心已建立财务支出管理的监控机制，并在沙湾社工站得到较规范执行。</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１、承接机构广州市和悦社会工作服务中心能按规定开设银行基本账户，按规定对该沙湾社工站开设银行一般账户（专户），日常财务支出采用专户支付和基本户代付后专户转回结合的方式。</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２、为确保政府购买服务经费用于指定用途，承接机构广州市和悦社会工作服务中心有定期向购买方提交沙湾社工站服务经费使用情况报告，对经费预算及使用情况作比对分析。</w:t>
      </w:r>
    </w:p>
    <w:p>
      <w:pPr>
        <w:spacing w:line="62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㈤财务支出票据的完整性、规范性</w:t>
      </w:r>
    </w:p>
    <w:p>
      <w:pPr>
        <w:spacing w:line="620" w:lineRule="exact"/>
        <w:ind w:right="-6" w:rightChars="-3" w:firstLine="576"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pacing w:val="4"/>
          <w:sz w:val="28"/>
          <w:szCs w:val="28"/>
        </w:rPr>
        <w:t>沙湾社工站财务支出票据、凭证填制较完整，账目设置、票据管理较规范。</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562" w:firstLineChars="200"/>
        <w:textAlignment w:val="auto"/>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五、沙湾社工站会计核算情况</w:t>
      </w:r>
    </w:p>
    <w:p>
      <w:pPr>
        <w:spacing w:line="60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㈠是否设置会计科目，编制完整会计报表</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和悦社会工作服务中心对沙湾社工站会计科目设置合理，所有服务业务均编制了记账凭证、登记了明细分类账簿和总账，核算做到账册、账账、账表相符，编制了会计报表，并符合相关会计制度独立核算。</w:t>
      </w:r>
    </w:p>
    <w:p>
      <w:pPr>
        <w:spacing w:line="60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㈡是否分项目核算</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经审核，承接机构广州市和悦社会工作服务中心对承接的沙湾社工站政府购买服务资金的服务经费支出，能按要求做到分项目核算。</w:t>
      </w:r>
    </w:p>
    <w:p>
      <w:pPr>
        <w:spacing w:line="60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㈢是否领域服务经费分开归集</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经审核，承接机构广州市和悦社会工作服务中心对承接的沙湾社工站政府购买服务资金的服务经费支出，能按要求做到领域服务经费分开归集。</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562" w:firstLineChars="200"/>
        <w:textAlignment w:val="auto"/>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六、本评估期服务经费拨入、支出、结余情况</w:t>
      </w:r>
    </w:p>
    <w:p>
      <w:pPr>
        <w:spacing w:line="600" w:lineRule="exact"/>
        <w:ind w:right="-2" w:firstLine="560" w:firstLineChars="200"/>
        <w:outlineLvl w:val="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2024年5月1日至2024年10月31日期间（以下简称本评估期），沙湾社工站收到本协议期政府购买服务经费</w:t>
      </w:r>
      <w:r>
        <w:rPr>
          <w:rFonts w:ascii="Times New Roman" w:hAnsi="Times New Roman" w:eastAsia="仿宋_GB2312" w:cs="Times New Roman"/>
          <w:sz w:val="28"/>
          <w:szCs w:val="28"/>
        </w:rPr>
        <w:t>1,106,000.00</w:t>
      </w:r>
      <w:r>
        <w:rPr>
          <w:rFonts w:hint="eastAsia" w:ascii="Times New Roman" w:hAnsi="Times New Roman" w:eastAsia="仿宋_GB2312" w:cs="Times New Roman"/>
          <w:sz w:val="28"/>
          <w:szCs w:val="28"/>
        </w:rPr>
        <w:t>元（具体收款情况详见附件），归属于本评估期的服务经费支出累计</w:t>
      </w:r>
      <w:r>
        <w:rPr>
          <w:rFonts w:ascii="Times New Roman" w:hAnsi="Times New Roman" w:eastAsia="仿宋_GB2312" w:cs="Times New Roman"/>
          <w:sz w:val="28"/>
          <w:szCs w:val="28"/>
        </w:rPr>
        <w:t>1,089,321.43</w:t>
      </w:r>
      <w:r>
        <w:rPr>
          <w:rFonts w:hint="eastAsia" w:ascii="Times New Roman" w:hAnsi="Times New Roman" w:eastAsia="仿宋_GB2312" w:cs="Times New Roman"/>
          <w:sz w:val="28"/>
          <w:szCs w:val="28"/>
        </w:rPr>
        <w:t>元；本评估期结余金额</w:t>
      </w:r>
      <w:r>
        <w:rPr>
          <w:rFonts w:ascii="Times New Roman" w:hAnsi="Times New Roman" w:eastAsia="仿宋_GB2312" w:cs="Times New Roman"/>
          <w:sz w:val="28"/>
          <w:szCs w:val="28"/>
        </w:rPr>
        <w:t>16,678.57</w:t>
      </w:r>
      <w:r>
        <w:rPr>
          <w:rFonts w:hint="eastAsia" w:ascii="Times New Roman" w:hAnsi="Times New Roman" w:eastAsia="仿宋_GB2312" w:cs="Times New Roman"/>
          <w:sz w:val="28"/>
          <w:szCs w:val="28"/>
        </w:rPr>
        <w:t>元，占实际拨入经费的</w:t>
      </w:r>
      <w:r>
        <w:rPr>
          <w:rFonts w:ascii="Times New Roman" w:hAnsi="Times New Roman" w:eastAsia="仿宋_GB2312" w:cs="Times New Roman"/>
          <w:sz w:val="28"/>
          <w:szCs w:val="28"/>
        </w:rPr>
        <w:t>1.51%</w:t>
      </w:r>
      <w:r>
        <w:rPr>
          <w:rFonts w:hint="eastAsia" w:ascii="Times New Roman" w:hAnsi="Times New Roman" w:eastAsia="仿宋" w:cs="Times New Roman"/>
          <w:sz w:val="28"/>
          <w:szCs w:val="28"/>
        </w:rPr>
        <w:t>，具体经费支出情况如下：</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㈠用于人员费用支出</w:t>
      </w:r>
      <w:r>
        <w:rPr>
          <w:rFonts w:ascii="Times New Roman" w:hAnsi="Times New Roman" w:eastAsia="仿宋_GB2312" w:cs="Times New Roman"/>
          <w:sz w:val="28"/>
          <w:szCs w:val="28"/>
        </w:rPr>
        <w:t>851,141.07</w:t>
      </w:r>
      <w:r>
        <w:rPr>
          <w:rFonts w:hint="eastAsia" w:ascii="Times New Roman" w:hAnsi="Times New Roman" w:eastAsia="仿宋_GB2312" w:cs="Times New Roman"/>
          <w:sz w:val="28"/>
          <w:szCs w:val="28"/>
        </w:rPr>
        <w:t>元，</w:t>
      </w:r>
      <w:r>
        <w:rPr>
          <w:rFonts w:hint="eastAsia" w:ascii="Times New Roman" w:hAnsi="Times New Roman" w:eastAsia="仿宋" w:cs="Times New Roman"/>
          <w:sz w:val="28"/>
          <w:szCs w:val="28"/>
        </w:rPr>
        <w:t>占本协议期应收服务总经费的</w:t>
      </w:r>
      <w:r>
        <w:rPr>
          <w:rFonts w:ascii="Times New Roman" w:hAnsi="Times New Roman" w:eastAsia="仿宋" w:cs="Times New Roman"/>
          <w:sz w:val="28"/>
          <w:szCs w:val="28"/>
        </w:rPr>
        <w:t>35.46%</w:t>
      </w:r>
      <w:r>
        <w:rPr>
          <w:rFonts w:hint="eastAsia" w:ascii="Times New Roman" w:hAnsi="Times New Roman" w:eastAsia="仿宋" w:cs="Times New Roman"/>
          <w:sz w:val="28"/>
          <w:szCs w:val="28"/>
        </w:rPr>
        <w:t>，</w:t>
      </w:r>
      <w:r>
        <w:rPr>
          <w:rFonts w:hint="eastAsia" w:ascii="Times New Roman" w:hAnsi="Times New Roman" w:eastAsia="仿宋_GB2312" w:cs="Times New Roman"/>
          <w:sz w:val="28"/>
          <w:szCs w:val="28"/>
        </w:rPr>
        <w:t>占本评估期实收服务总经费的</w:t>
      </w:r>
      <w:r>
        <w:rPr>
          <w:rFonts w:ascii="Times New Roman" w:hAnsi="Times New Roman" w:eastAsia="仿宋_GB2312" w:cs="Times New Roman"/>
          <w:sz w:val="28"/>
          <w:szCs w:val="28"/>
        </w:rPr>
        <w:t>76.96%</w:t>
      </w:r>
      <w:r>
        <w:rPr>
          <w:rFonts w:hint="eastAsia" w:ascii="Times New Roman" w:hAnsi="Times New Roman" w:eastAsia="仿宋_GB2312" w:cs="Times New Roman"/>
          <w:sz w:val="28"/>
          <w:szCs w:val="28"/>
        </w:rPr>
        <w:t>，本期预算执行率（整体协议期）</w:t>
      </w:r>
      <w:r>
        <w:rPr>
          <w:rFonts w:ascii="Times New Roman" w:hAnsi="Times New Roman" w:eastAsia="仿宋_GB2312" w:cs="Times New Roman"/>
          <w:sz w:val="28"/>
          <w:szCs w:val="28"/>
        </w:rPr>
        <w:t>44.33%</w:t>
      </w:r>
      <w:r>
        <w:rPr>
          <w:rFonts w:hint="eastAsia" w:ascii="Times New Roman" w:hAnsi="Times New Roman" w:eastAsia="仿宋_GB2312" w:cs="Times New Roman"/>
          <w:sz w:val="28"/>
          <w:szCs w:val="28"/>
        </w:rPr>
        <w:t>（具体人员发放明细详见附件）。其中：</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１、工资总额支出</w:t>
      </w:r>
      <w:r>
        <w:rPr>
          <w:rFonts w:ascii="Times New Roman" w:hAnsi="Times New Roman" w:eastAsia="仿宋_GB2312" w:cs="Times New Roman"/>
          <w:sz w:val="28"/>
          <w:szCs w:val="28"/>
        </w:rPr>
        <w:t>694,142.32</w:t>
      </w:r>
      <w:r>
        <w:rPr>
          <w:rFonts w:hint="eastAsia" w:ascii="Times New Roman" w:hAnsi="Times New Roman" w:eastAsia="仿宋_GB2312" w:cs="Times New Roman"/>
          <w:sz w:val="28"/>
          <w:szCs w:val="28"/>
        </w:rPr>
        <w:t>元（包含中秋节福利</w:t>
      </w:r>
      <w:r>
        <w:rPr>
          <w:rFonts w:ascii="Times New Roman" w:hAnsi="Times New Roman" w:eastAsia="仿宋_GB2312" w:cs="Times New Roman"/>
          <w:sz w:val="28"/>
          <w:szCs w:val="28"/>
        </w:rPr>
        <w:t>6,600.00</w:t>
      </w:r>
      <w:r>
        <w:rPr>
          <w:rFonts w:hint="eastAsia" w:ascii="Times New Roman" w:hAnsi="Times New Roman" w:eastAsia="仿宋_GB2312" w:cs="Times New Roman"/>
          <w:sz w:val="28"/>
          <w:szCs w:val="28"/>
        </w:rPr>
        <w:t>元（300元/人）、支付购买社工生日礼品</w:t>
      </w:r>
      <w:r>
        <w:rPr>
          <w:rFonts w:ascii="Times New Roman" w:hAnsi="Times New Roman" w:eastAsia="仿宋_GB2312" w:cs="Times New Roman"/>
          <w:sz w:val="28"/>
          <w:szCs w:val="28"/>
        </w:rPr>
        <w:t>481.02</w:t>
      </w:r>
      <w:r>
        <w:rPr>
          <w:rFonts w:hint="eastAsia" w:ascii="Times New Roman" w:hAnsi="Times New Roman" w:eastAsia="仿宋_GB2312" w:cs="Times New Roman"/>
          <w:sz w:val="28"/>
          <w:szCs w:val="28"/>
        </w:rPr>
        <w:t>元）；</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２、五险金支出</w:t>
      </w:r>
      <w:r>
        <w:rPr>
          <w:rFonts w:ascii="Times New Roman" w:hAnsi="Times New Roman" w:eastAsia="仿宋_GB2312" w:cs="Times New Roman"/>
          <w:sz w:val="28"/>
          <w:szCs w:val="28"/>
        </w:rPr>
        <w:t>142,623.75</w:t>
      </w:r>
      <w:r>
        <w:rPr>
          <w:rFonts w:hint="eastAsia" w:ascii="Times New Roman" w:hAnsi="Times New Roman" w:eastAsia="仿宋_GB2312" w:cs="Times New Roman"/>
          <w:sz w:val="28"/>
          <w:szCs w:val="28"/>
        </w:rPr>
        <w:t>元；</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３、公积金支出</w:t>
      </w:r>
      <w:r>
        <w:rPr>
          <w:rFonts w:ascii="Times New Roman" w:hAnsi="Times New Roman" w:eastAsia="仿宋_GB2312" w:cs="Times New Roman"/>
          <w:sz w:val="28"/>
          <w:szCs w:val="28"/>
        </w:rPr>
        <w:t>14,375.00</w:t>
      </w:r>
      <w:r>
        <w:rPr>
          <w:rFonts w:hint="eastAsia" w:ascii="Times New Roman" w:hAnsi="Times New Roman" w:eastAsia="仿宋_GB2312" w:cs="Times New Roman"/>
          <w:sz w:val="28"/>
          <w:szCs w:val="28"/>
        </w:rPr>
        <w:t>元。</w:t>
      </w:r>
    </w:p>
    <w:p>
      <w:pPr>
        <w:spacing w:line="58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㈡用于服务质量保障费用的支出合计</w:t>
      </w:r>
      <w:r>
        <w:rPr>
          <w:rFonts w:ascii="Times New Roman" w:hAnsi="Times New Roman" w:eastAsia="仿宋_GB2312" w:cs="Times New Roman"/>
          <w:sz w:val="28"/>
          <w:szCs w:val="28"/>
        </w:rPr>
        <w:t>109,685.58</w:t>
      </w:r>
      <w:r>
        <w:rPr>
          <w:rFonts w:hint="eastAsia" w:ascii="Times New Roman" w:hAnsi="Times New Roman" w:eastAsia="仿宋_GB2312" w:cs="Times New Roman"/>
          <w:sz w:val="28"/>
          <w:szCs w:val="28"/>
        </w:rPr>
        <w:t>元，</w:t>
      </w:r>
      <w:r>
        <w:rPr>
          <w:rFonts w:hint="eastAsia" w:ascii="Times New Roman" w:hAnsi="Times New Roman" w:eastAsia="仿宋" w:cs="Times New Roman"/>
          <w:sz w:val="28"/>
          <w:szCs w:val="28"/>
        </w:rPr>
        <w:t>占本协议期应收服务经费的</w:t>
      </w:r>
      <w:r>
        <w:rPr>
          <w:rFonts w:ascii="Times New Roman" w:hAnsi="Times New Roman" w:eastAsia="仿宋" w:cs="Times New Roman"/>
          <w:sz w:val="28"/>
          <w:szCs w:val="28"/>
        </w:rPr>
        <w:t>4.57%</w:t>
      </w:r>
      <w:r>
        <w:rPr>
          <w:rFonts w:hint="eastAsia" w:ascii="Times New Roman" w:hAnsi="Times New Roman" w:eastAsia="仿宋" w:cs="Times New Roman"/>
          <w:sz w:val="28"/>
          <w:szCs w:val="28"/>
        </w:rPr>
        <w:t>，</w:t>
      </w:r>
      <w:r>
        <w:rPr>
          <w:rFonts w:hint="eastAsia" w:ascii="Times New Roman" w:hAnsi="Times New Roman" w:eastAsia="仿宋_GB2312" w:cs="Times New Roman"/>
          <w:sz w:val="28"/>
          <w:szCs w:val="28"/>
        </w:rPr>
        <w:t>占本评估期实收服务总经费的</w:t>
      </w:r>
      <w:r>
        <w:rPr>
          <w:rFonts w:ascii="Times New Roman" w:hAnsi="Times New Roman" w:eastAsia="仿宋_GB2312" w:cs="Times New Roman"/>
          <w:sz w:val="28"/>
          <w:szCs w:val="28"/>
        </w:rPr>
        <w:t>9.92%</w:t>
      </w:r>
      <w:r>
        <w:rPr>
          <w:rFonts w:hint="eastAsia" w:ascii="Times New Roman" w:hAnsi="Times New Roman" w:eastAsia="仿宋_GB2312" w:cs="Times New Roman"/>
          <w:sz w:val="28"/>
          <w:szCs w:val="28"/>
        </w:rPr>
        <w:t>，本期预算执行率（整体协议期）</w:t>
      </w:r>
      <w:r>
        <w:rPr>
          <w:rFonts w:ascii="Times New Roman" w:hAnsi="Times New Roman" w:eastAsia="仿宋_GB2312" w:cs="Times New Roman"/>
          <w:sz w:val="28"/>
          <w:szCs w:val="28"/>
        </w:rPr>
        <w:t>45.70%</w:t>
      </w:r>
      <w:r>
        <w:rPr>
          <w:rFonts w:hint="eastAsia" w:ascii="Times New Roman" w:hAnsi="Times New Roman" w:eastAsia="仿宋_GB2312" w:cs="Times New Roman"/>
          <w:sz w:val="28"/>
          <w:szCs w:val="28"/>
        </w:rPr>
        <w:t>，其中：</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１、用于专业支持费用支出</w:t>
      </w:r>
      <w:r>
        <w:rPr>
          <w:rFonts w:ascii="Times New Roman" w:hAnsi="Times New Roman" w:eastAsia="仿宋_GB2312" w:cs="Times New Roman"/>
          <w:sz w:val="28"/>
          <w:szCs w:val="28"/>
        </w:rPr>
        <w:t>2,000.00</w:t>
      </w:r>
      <w:r>
        <w:rPr>
          <w:rFonts w:hint="eastAsia" w:ascii="Times New Roman" w:hAnsi="Times New Roman" w:eastAsia="仿宋_GB2312" w:cs="Times New Roman"/>
          <w:sz w:val="28"/>
          <w:szCs w:val="28"/>
        </w:rPr>
        <w:t>元，占本评估期实收服务总经费的</w:t>
      </w:r>
      <w:r>
        <w:rPr>
          <w:rFonts w:ascii="Times New Roman" w:hAnsi="Times New Roman" w:eastAsia="仿宋_GB2312" w:cs="Times New Roman"/>
          <w:sz w:val="28"/>
          <w:szCs w:val="28"/>
        </w:rPr>
        <w:t>0.18%</w:t>
      </w:r>
      <w:r>
        <w:rPr>
          <w:rFonts w:hint="eastAsia" w:ascii="Times New Roman" w:hAnsi="Times New Roman" w:eastAsia="仿宋_GB2312" w:cs="Times New Roman"/>
          <w:sz w:val="28"/>
          <w:szCs w:val="28"/>
        </w:rPr>
        <w:t>。</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培训费支出</w:t>
      </w:r>
      <w:r>
        <w:rPr>
          <w:rFonts w:ascii="Times New Roman" w:hAnsi="Times New Roman" w:eastAsia="仿宋_GB2312" w:cs="Times New Roman"/>
          <w:sz w:val="28"/>
          <w:szCs w:val="28"/>
        </w:rPr>
        <w:t>2,000.00</w:t>
      </w:r>
      <w:r>
        <w:rPr>
          <w:rFonts w:hint="eastAsia" w:ascii="Times New Roman" w:hAnsi="Times New Roman" w:eastAsia="仿宋_GB2312" w:cs="Times New Roman"/>
          <w:sz w:val="28"/>
          <w:szCs w:val="28"/>
        </w:rPr>
        <w:t>元，为支付广州兴帆文化传播有限公司入职培训费。</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２、用于开展与专业服务和活动的支出</w:t>
      </w:r>
      <w:r>
        <w:rPr>
          <w:rFonts w:ascii="Times New Roman" w:hAnsi="Times New Roman" w:eastAsia="仿宋_GB2312" w:cs="Times New Roman"/>
          <w:sz w:val="28"/>
          <w:szCs w:val="28"/>
        </w:rPr>
        <w:t>6,856.72</w:t>
      </w:r>
      <w:r>
        <w:rPr>
          <w:rFonts w:hint="eastAsia" w:ascii="Times New Roman" w:hAnsi="Times New Roman" w:eastAsia="仿宋_GB2312" w:cs="Times New Roman"/>
          <w:sz w:val="28"/>
          <w:szCs w:val="28"/>
        </w:rPr>
        <w:t>元，占本评估期实收服务总经费的</w:t>
      </w:r>
      <w:r>
        <w:rPr>
          <w:rFonts w:ascii="Times New Roman" w:hAnsi="Times New Roman" w:eastAsia="仿宋_GB2312" w:cs="Times New Roman"/>
          <w:sz w:val="28"/>
          <w:szCs w:val="28"/>
        </w:rPr>
        <w:t>0.62%</w:t>
      </w:r>
      <w:r>
        <w:rPr>
          <w:rFonts w:hint="eastAsia" w:ascii="Times New Roman" w:hAnsi="Times New Roman" w:eastAsia="仿宋_GB2312" w:cs="Times New Roman"/>
          <w:sz w:val="28"/>
          <w:szCs w:val="28"/>
        </w:rPr>
        <w:t>。</w:t>
      </w:r>
    </w:p>
    <w:p>
      <w:pPr>
        <w:spacing w:line="60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⑴</w:t>
      </w:r>
      <w:r>
        <w:rPr>
          <w:rFonts w:hint="eastAsia" w:ascii="Times New Roman" w:hAnsi="Times New Roman" w:eastAsia="仿宋" w:cs="Times New Roman"/>
          <w:sz w:val="28"/>
          <w:szCs w:val="28"/>
        </w:rPr>
        <w:t>服务和活动物料支出</w:t>
      </w:r>
      <w:r>
        <w:rPr>
          <w:rFonts w:ascii="Times New Roman" w:hAnsi="Times New Roman" w:eastAsia="仿宋" w:cs="Times New Roman"/>
          <w:sz w:val="28"/>
          <w:szCs w:val="28"/>
        </w:rPr>
        <w:t>145.39</w:t>
      </w:r>
      <w:r>
        <w:rPr>
          <w:rFonts w:hint="eastAsia" w:ascii="Times New Roman" w:hAnsi="Times New Roman" w:eastAsia="仿宋" w:cs="Times New Roman"/>
          <w:sz w:val="28"/>
          <w:szCs w:val="28"/>
        </w:rPr>
        <w:t>元；</w:t>
      </w:r>
    </w:p>
    <w:p>
      <w:pPr>
        <w:spacing w:line="60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⑵</w:t>
      </w:r>
      <w:r>
        <w:rPr>
          <w:rFonts w:hint="eastAsia" w:ascii="Times New Roman" w:hAnsi="Times New Roman" w:eastAsia="仿宋" w:cs="Times New Roman"/>
          <w:sz w:val="28"/>
          <w:szCs w:val="28"/>
        </w:rPr>
        <w:t>交通费支出</w:t>
      </w:r>
      <w:r>
        <w:rPr>
          <w:rFonts w:ascii="Times New Roman" w:hAnsi="Times New Roman" w:eastAsia="仿宋" w:cs="Times New Roman"/>
          <w:sz w:val="28"/>
          <w:szCs w:val="28"/>
        </w:rPr>
        <w:t>1,146.13</w:t>
      </w:r>
      <w:r>
        <w:rPr>
          <w:rFonts w:hint="eastAsia" w:ascii="Times New Roman" w:hAnsi="Times New Roman" w:eastAsia="仿宋" w:cs="Times New Roman"/>
          <w:sz w:val="28"/>
          <w:szCs w:val="28"/>
        </w:rPr>
        <w:t>元；</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 3 \* GB2 </w:instrText>
      </w:r>
      <w:r>
        <w:rPr>
          <w:rFonts w:ascii="Times New Roman" w:hAnsi="Times New Roman" w:eastAsia="仿宋" w:cs="Times New Roman"/>
          <w:sz w:val="28"/>
          <w:szCs w:val="28"/>
        </w:rPr>
        <w:fldChar w:fldCharType="separate"/>
      </w:r>
      <w:r>
        <w:rPr>
          <w:rFonts w:hint="eastAsia" w:ascii="Times New Roman" w:hAnsi="Times New Roman" w:eastAsia="仿宋" w:cs="Times New Roman"/>
          <w:sz w:val="28"/>
          <w:szCs w:val="28"/>
        </w:rPr>
        <w:t>⑶</w:t>
      </w:r>
      <w:r>
        <w:rPr>
          <w:rFonts w:ascii="Times New Roman" w:hAnsi="Times New Roman" w:eastAsia="仿宋" w:cs="Times New Roman"/>
          <w:sz w:val="28"/>
          <w:szCs w:val="28"/>
        </w:rPr>
        <w:fldChar w:fldCharType="end"/>
      </w:r>
      <w:r>
        <w:rPr>
          <w:rFonts w:hint="eastAsia" w:ascii="Times New Roman" w:hAnsi="Times New Roman" w:eastAsia="仿宋" w:cs="Times New Roman"/>
          <w:sz w:val="28"/>
          <w:szCs w:val="28"/>
        </w:rPr>
        <w:t>误餐费支出</w:t>
      </w:r>
      <w:r>
        <w:rPr>
          <w:rFonts w:ascii="Times New Roman" w:hAnsi="Times New Roman" w:eastAsia="仿宋" w:cs="Times New Roman"/>
          <w:sz w:val="28"/>
          <w:szCs w:val="28"/>
        </w:rPr>
        <w:t>5,565.20</w:t>
      </w:r>
      <w:r>
        <w:rPr>
          <w:rFonts w:hint="eastAsia" w:ascii="Times New Roman" w:hAnsi="Times New Roman" w:eastAsia="仿宋"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３、用于日常办公费用支出</w:t>
      </w:r>
      <w:r>
        <w:rPr>
          <w:rFonts w:ascii="Times New Roman" w:hAnsi="Times New Roman" w:eastAsia="仿宋_GB2312" w:cs="Times New Roman"/>
          <w:sz w:val="28"/>
          <w:szCs w:val="28"/>
        </w:rPr>
        <w:t>34,468.86</w:t>
      </w:r>
      <w:r>
        <w:rPr>
          <w:rFonts w:hint="eastAsia" w:ascii="Times New Roman" w:hAnsi="Times New Roman" w:eastAsia="仿宋_GB2312" w:cs="Times New Roman"/>
          <w:sz w:val="28"/>
          <w:szCs w:val="28"/>
        </w:rPr>
        <w:t>元，占本评估期实收服务总经费的</w:t>
      </w:r>
      <w:r>
        <w:rPr>
          <w:rFonts w:ascii="Times New Roman" w:hAnsi="Times New Roman" w:eastAsia="仿宋_GB2312" w:cs="Times New Roman"/>
          <w:sz w:val="28"/>
          <w:szCs w:val="28"/>
        </w:rPr>
        <w:t>3.12%</w:t>
      </w:r>
      <w:r>
        <w:rPr>
          <w:rFonts w:hint="eastAsia" w:ascii="Times New Roman" w:hAnsi="Times New Roman" w:eastAsia="仿宋_GB2312" w:cs="Times New Roman"/>
          <w:sz w:val="28"/>
          <w:szCs w:val="28"/>
        </w:rPr>
        <w:t>。</w:t>
      </w:r>
    </w:p>
    <w:p>
      <w:pPr>
        <w:spacing w:line="58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⑴</w:t>
      </w:r>
      <w:r>
        <w:rPr>
          <w:rFonts w:hint="eastAsia" w:ascii="Times New Roman" w:hAnsi="Times New Roman" w:eastAsia="仿宋" w:cs="Times New Roman"/>
          <w:sz w:val="28"/>
          <w:szCs w:val="28"/>
        </w:rPr>
        <w:t>办公费耗材支出</w:t>
      </w:r>
      <w:r>
        <w:rPr>
          <w:rFonts w:ascii="Times New Roman" w:hAnsi="Times New Roman" w:eastAsia="仿宋" w:cs="Times New Roman"/>
          <w:sz w:val="28"/>
          <w:szCs w:val="28"/>
        </w:rPr>
        <w:t>23,407.28</w:t>
      </w:r>
      <w:r>
        <w:rPr>
          <w:rFonts w:hint="eastAsia" w:ascii="Times New Roman" w:hAnsi="Times New Roman" w:eastAsia="仿宋" w:cs="Times New Roman"/>
          <w:sz w:val="28"/>
          <w:szCs w:val="28"/>
        </w:rPr>
        <w:t>元；</w:t>
      </w:r>
    </w:p>
    <w:p>
      <w:pPr>
        <w:spacing w:line="58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⑵</w:t>
      </w:r>
      <w:r>
        <w:rPr>
          <w:rFonts w:hint="eastAsia" w:ascii="Times New Roman" w:hAnsi="Times New Roman" w:eastAsia="仿宋" w:cs="Times New Roman"/>
          <w:sz w:val="28"/>
          <w:szCs w:val="28"/>
        </w:rPr>
        <w:t>水电费支出</w:t>
      </w:r>
      <w:r>
        <w:rPr>
          <w:rFonts w:ascii="Times New Roman" w:hAnsi="Times New Roman" w:eastAsia="仿宋" w:cs="Times New Roman"/>
          <w:sz w:val="28"/>
          <w:szCs w:val="28"/>
        </w:rPr>
        <w:t>8,739.92</w:t>
      </w:r>
      <w:r>
        <w:rPr>
          <w:rFonts w:hint="eastAsia" w:ascii="Times New Roman" w:hAnsi="Times New Roman" w:eastAsia="仿宋" w:cs="Times New Roman"/>
          <w:sz w:val="28"/>
          <w:szCs w:val="28"/>
        </w:rPr>
        <w:t>元；</w:t>
      </w:r>
    </w:p>
    <w:p>
      <w:pPr>
        <w:spacing w:line="58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⑶</w:t>
      </w:r>
      <w:r>
        <w:rPr>
          <w:rFonts w:hint="eastAsia" w:ascii="Times New Roman" w:hAnsi="Times New Roman" w:eastAsia="仿宋" w:cs="Times New Roman"/>
          <w:sz w:val="28"/>
          <w:szCs w:val="28"/>
        </w:rPr>
        <w:t>电话费支出</w:t>
      </w:r>
      <w:r>
        <w:rPr>
          <w:rFonts w:ascii="Times New Roman" w:hAnsi="Times New Roman" w:eastAsia="仿宋" w:cs="Times New Roman"/>
          <w:sz w:val="28"/>
          <w:szCs w:val="28"/>
        </w:rPr>
        <w:t>2,321.66</w:t>
      </w:r>
      <w:r>
        <w:rPr>
          <w:rFonts w:hint="eastAsia" w:ascii="Times New Roman" w:hAnsi="Times New Roman" w:eastAsia="仿宋" w:cs="Times New Roman"/>
          <w:sz w:val="28"/>
          <w:szCs w:val="28"/>
        </w:rPr>
        <w:t>元；</w:t>
      </w:r>
    </w:p>
    <w:p>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４、用于机构年度相关税费支出</w:t>
      </w:r>
      <w:r>
        <w:rPr>
          <w:rFonts w:ascii="Times New Roman" w:hAnsi="Times New Roman" w:eastAsia="仿宋" w:cs="Times New Roman"/>
          <w:sz w:val="28"/>
          <w:szCs w:val="28"/>
        </w:rPr>
        <w:t>66,360.00</w:t>
      </w:r>
      <w:r>
        <w:rPr>
          <w:rFonts w:hint="eastAsia" w:ascii="Times New Roman" w:hAnsi="Times New Roman" w:eastAsia="仿宋" w:cs="Times New Roman"/>
          <w:sz w:val="28"/>
          <w:szCs w:val="28"/>
        </w:rPr>
        <w:t>元，占本评估期实收服务总经费的</w:t>
      </w:r>
      <w:r>
        <w:rPr>
          <w:rFonts w:ascii="Times New Roman" w:hAnsi="Times New Roman" w:eastAsia="仿宋" w:cs="Times New Roman"/>
          <w:sz w:val="28"/>
          <w:szCs w:val="28"/>
        </w:rPr>
        <w:t>6.00%</w:t>
      </w:r>
      <w:r>
        <w:rPr>
          <w:rFonts w:hint="eastAsia" w:ascii="Times New Roman" w:hAnsi="Times New Roman" w:eastAsia="仿宋" w:cs="Times New Roman"/>
          <w:sz w:val="28"/>
          <w:szCs w:val="28"/>
        </w:rPr>
        <w:t>。</w:t>
      </w:r>
    </w:p>
    <w:p>
      <w:pPr>
        <w:spacing w:line="58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㈢用于运营管理费用支出</w:t>
      </w:r>
      <w:r>
        <w:rPr>
          <w:rFonts w:ascii="Times New Roman" w:hAnsi="Times New Roman" w:eastAsia="仿宋_GB2312" w:cs="Times New Roman"/>
          <w:sz w:val="28"/>
          <w:szCs w:val="28"/>
        </w:rPr>
        <w:t>128,494.78</w:t>
      </w:r>
      <w:r>
        <w:rPr>
          <w:rFonts w:hint="eastAsia" w:ascii="Times New Roman" w:hAnsi="Times New Roman" w:eastAsia="仿宋_GB2312" w:cs="Times New Roman"/>
          <w:sz w:val="28"/>
          <w:szCs w:val="28"/>
        </w:rPr>
        <w:t>元，</w:t>
      </w:r>
      <w:r>
        <w:rPr>
          <w:rFonts w:hint="eastAsia" w:ascii="Times New Roman" w:hAnsi="Times New Roman" w:eastAsia="仿宋" w:cs="Times New Roman"/>
          <w:sz w:val="28"/>
          <w:szCs w:val="28"/>
        </w:rPr>
        <w:t>占本协议期应收服务经费的</w:t>
      </w:r>
      <w:r>
        <w:rPr>
          <w:rFonts w:ascii="Times New Roman" w:hAnsi="Times New Roman" w:eastAsia="仿宋" w:cs="Times New Roman"/>
          <w:sz w:val="28"/>
          <w:szCs w:val="28"/>
        </w:rPr>
        <w:t>5.35%</w:t>
      </w:r>
      <w:r>
        <w:rPr>
          <w:rFonts w:hint="eastAsia" w:ascii="Times New Roman" w:hAnsi="Times New Roman" w:eastAsia="仿宋" w:cs="Times New Roman"/>
          <w:sz w:val="28"/>
          <w:szCs w:val="28"/>
        </w:rPr>
        <w:t>，</w:t>
      </w:r>
      <w:r>
        <w:rPr>
          <w:rFonts w:hint="eastAsia" w:ascii="Times New Roman" w:hAnsi="Times New Roman" w:eastAsia="仿宋_GB2312" w:cs="Times New Roman"/>
          <w:sz w:val="28"/>
          <w:szCs w:val="28"/>
        </w:rPr>
        <w:t>占本评估期实收服务总经费的</w:t>
      </w:r>
      <w:r>
        <w:rPr>
          <w:rFonts w:ascii="Times New Roman" w:hAnsi="Times New Roman" w:eastAsia="仿宋_GB2312" w:cs="Times New Roman"/>
          <w:sz w:val="28"/>
          <w:szCs w:val="28"/>
        </w:rPr>
        <w:t>11.62%</w:t>
      </w:r>
      <w:r>
        <w:rPr>
          <w:rFonts w:hint="eastAsia" w:ascii="Times New Roman" w:hAnsi="Times New Roman" w:eastAsia="仿宋_GB2312" w:cs="Times New Roman"/>
          <w:sz w:val="28"/>
          <w:szCs w:val="28"/>
        </w:rPr>
        <w:t>，本期预算执行率（整体协议期）</w:t>
      </w:r>
      <w:r>
        <w:rPr>
          <w:rFonts w:ascii="Times New Roman" w:hAnsi="Times New Roman" w:eastAsia="仿宋_GB2312" w:cs="Times New Roman"/>
          <w:sz w:val="28"/>
          <w:szCs w:val="28"/>
        </w:rPr>
        <w:t>53.54%</w:t>
      </w:r>
      <w:r>
        <w:rPr>
          <w:rFonts w:hint="eastAsia" w:ascii="Times New Roman" w:hAnsi="Times New Roman" w:eastAsia="仿宋_GB2312" w:cs="Times New Roman"/>
          <w:sz w:val="28"/>
          <w:szCs w:val="28"/>
        </w:rPr>
        <w:t>。其中：</w:t>
      </w:r>
    </w:p>
    <w:p>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１、分摊机构人员工资</w:t>
      </w:r>
      <w:r>
        <w:rPr>
          <w:rFonts w:ascii="Times New Roman" w:hAnsi="Times New Roman" w:eastAsia="仿宋" w:cs="Times New Roman"/>
          <w:sz w:val="28"/>
          <w:szCs w:val="28"/>
        </w:rPr>
        <w:t>59,916.90</w:t>
      </w:r>
      <w:r>
        <w:rPr>
          <w:rFonts w:hint="eastAsia" w:ascii="Times New Roman" w:hAnsi="Times New Roman" w:eastAsia="仿宋" w:cs="Times New Roman"/>
          <w:sz w:val="28"/>
          <w:szCs w:val="28"/>
        </w:rPr>
        <w:t>元；</w:t>
      </w:r>
      <w:r>
        <w:rPr>
          <w:rFonts w:ascii="Times New Roman" w:hAnsi="Times New Roman" w:eastAsia="仿宋" w:cs="Times New Roman"/>
          <w:sz w:val="28"/>
          <w:szCs w:val="28"/>
        </w:rPr>
        <w:t xml:space="preserve"> </w:t>
      </w:r>
    </w:p>
    <w:p>
      <w:pPr>
        <w:spacing w:line="580" w:lineRule="exact"/>
        <w:ind w:firstLine="560" w:firstLineChars="200"/>
        <w:rPr>
          <w:rFonts w:hint="eastAsia" w:ascii="Times New Roman" w:hAnsi="Times New Roman" w:eastAsia="仿宋" w:cs="Times New Roman"/>
          <w:sz w:val="28"/>
          <w:szCs w:val="28"/>
          <w:lang w:eastAsia="zh-CN"/>
        </w:rPr>
      </w:pPr>
      <w:r>
        <w:rPr>
          <w:rFonts w:hint="eastAsia" w:ascii="Times New Roman" w:hAnsi="Times New Roman" w:eastAsia="仿宋" w:cs="Times New Roman"/>
          <w:sz w:val="28"/>
          <w:szCs w:val="28"/>
        </w:rPr>
        <w:t>２、分摊机构人员社保</w:t>
      </w:r>
      <w:r>
        <w:rPr>
          <w:rFonts w:ascii="Times New Roman" w:hAnsi="Times New Roman" w:eastAsia="仿宋" w:cs="Times New Roman"/>
          <w:sz w:val="28"/>
          <w:szCs w:val="28"/>
        </w:rPr>
        <w:t>6,059.15</w:t>
      </w:r>
      <w:r>
        <w:rPr>
          <w:rFonts w:hint="eastAsia" w:ascii="Times New Roman" w:hAnsi="Times New Roman" w:eastAsia="仿宋" w:cs="Times New Roman"/>
          <w:sz w:val="28"/>
          <w:szCs w:val="28"/>
        </w:rPr>
        <w:t>元</w:t>
      </w:r>
      <w:r>
        <w:rPr>
          <w:rFonts w:hint="eastAsia" w:ascii="Times New Roman" w:hAnsi="Times New Roman" w:eastAsia="仿宋" w:cs="Times New Roman"/>
          <w:sz w:val="28"/>
          <w:szCs w:val="28"/>
          <w:lang w:eastAsia="zh-CN"/>
        </w:rPr>
        <w:t>；</w:t>
      </w:r>
    </w:p>
    <w:p>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３、分摊机构人员公积金</w:t>
      </w:r>
      <w:r>
        <w:rPr>
          <w:rFonts w:ascii="Times New Roman" w:hAnsi="Times New Roman" w:eastAsia="仿宋" w:cs="Times New Roman"/>
          <w:sz w:val="28"/>
          <w:szCs w:val="28"/>
        </w:rPr>
        <w:t>886.75</w:t>
      </w:r>
      <w:r>
        <w:rPr>
          <w:rFonts w:hint="eastAsia" w:ascii="Times New Roman" w:hAnsi="Times New Roman" w:eastAsia="仿宋" w:cs="Times New Roman"/>
          <w:sz w:val="28"/>
          <w:szCs w:val="28"/>
        </w:rPr>
        <w:t>元；</w:t>
      </w:r>
    </w:p>
    <w:p>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４、机构费用分摊</w:t>
      </w:r>
      <w:r>
        <w:rPr>
          <w:rFonts w:ascii="Times New Roman" w:hAnsi="Times New Roman" w:eastAsia="仿宋" w:cs="Times New Roman"/>
          <w:sz w:val="28"/>
          <w:szCs w:val="28"/>
        </w:rPr>
        <w:t>10,200.59</w:t>
      </w:r>
      <w:r>
        <w:rPr>
          <w:rFonts w:hint="eastAsia" w:ascii="Times New Roman" w:hAnsi="Times New Roman" w:eastAsia="仿宋" w:cs="Times New Roman"/>
          <w:sz w:val="28"/>
          <w:szCs w:val="28"/>
        </w:rPr>
        <w:t>元；</w:t>
      </w:r>
    </w:p>
    <w:p>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５、中标费用</w:t>
      </w:r>
      <w:r>
        <w:rPr>
          <w:rFonts w:ascii="Times New Roman" w:hAnsi="Times New Roman" w:eastAsia="仿宋" w:cs="Times New Roman"/>
          <w:sz w:val="28"/>
          <w:szCs w:val="28"/>
        </w:rPr>
        <w:t>28,487.13</w:t>
      </w:r>
      <w:r>
        <w:rPr>
          <w:rFonts w:hint="eastAsia" w:ascii="Times New Roman" w:hAnsi="Times New Roman" w:eastAsia="仿宋" w:cs="Times New Roman"/>
          <w:sz w:val="28"/>
          <w:szCs w:val="28"/>
        </w:rPr>
        <w:t>元；</w:t>
      </w:r>
    </w:p>
    <w:p>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６、咨询费</w:t>
      </w:r>
      <w:r>
        <w:rPr>
          <w:rFonts w:ascii="Times New Roman" w:hAnsi="Times New Roman" w:eastAsia="仿宋" w:cs="Times New Roman"/>
          <w:sz w:val="28"/>
          <w:szCs w:val="28"/>
        </w:rPr>
        <w:t>15,000.00</w:t>
      </w:r>
      <w:r>
        <w:rPr>
          <w:rFonts w:hint="eastAsia" w:ascii="Times New Roman" w:hAnsi="Times New Roman" w:eastAsia="仿宋" w:cs="Times New Roman"/>
          <w:sz w:val="28"/>
          <w:szCs w:val="28"/>
        </w:rPr>
        <w:t>元；</w:t>
      </w:r>
    </w:p>
    <w:p>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７、培训费</w:t>
      </w:r>
      <w:r>
        <w:rPr>
          <w:rFonts w:ascii="Times New Roman" w:hAnsi="Times New Roman" w:eastAsia="仿宋" w:cs="Times New Roman"/>
          <w:sz w:val="28"/>
          <w:szCs w:val="28"/>
        </w:rPr>
        <w:t>2,000.00</w:t>
      </w:r>
      <w:r>
        <w:rPr>
          <w:rFonts w:hint="eastAsia" w:ascii="Times New Roman" w:hAnsi="Times New Roman" w:eastAsia="仿宋" w:cs="Times New Roman"/>
          <w:sz w:val="28"/>
          <w:szCs w:val="28"/>
        </w:rPr>
        <w:t>元；</w:t>
      </w:r>
    </w:p>
    <w:p>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８、其他费用</w:t>
      </w:r>
      <w:r>
        <w:rPr>
          <w:rFonts w:ascii="Times New Roman" w:hAnsi="Times New Roman" w:eastAsia="仿宋" w:cs="Times New Roman"/>
          <w:sz w:val="28"/>
          <w:szCs w:val="28"/>
        </w:rPr>
        <w:t>5,944.26</w:t>
      </w:r>
      <w:r>
        <w:rPr>
          <w:rFonts w:hint="eastAsia" w:ascii="Times New Roman" w:hAnsi="Times New Roman" w:eastAsia="仿宋" w:cs="Times New Roman"/>
          <w:sz w:val="28"/>
          <w:szCs w:val="28"/>
        </w:rPr>
        <w:t>元。</w:t>
      </w:r>
    </w:p>
    <w:p>
      <w:pPr>
        <w:keepNext w:val="0"/>
        <w:keepLines w:val="0"/>
        <w:pageBreakBefore w:val="0"/>
        <w:widowControl w:val="0"/>
        <w:kinsoku/>
        <w:wordWrap/>
        <w:overflowPunct/>
        <w:topLinePunct w:val="0"/>
        <w:autoSpaceDE/>
        <w:autoSpaceDN/>
        <w:bidi w:val="0"/>
        <w:adjustRightInd/>
        <w:snapToGrid/>
        <w:spacing w:line="620" w:lineRule="exact"/>
        <w:ind w:right="0" w:rightChars="0" w:firstLine="562" w:firstLineChars="200"/>
        <w:textAlignment w:val="auto"/>
        <w:outlineLvl w:val="0"/>
        <w:rPr>
          <w:rFonts w:ascii="Times New Roman" w:hAnsi="Times New Roman" w:eastAsia="仿宋_GB2312" w:cs="Times New Roman"/>
          <w:sz w:val="28"/>
          <w:szCs w:val="28"/>
        </w:rPr>
      </w:pPr>
      <w:r>
        <w:rPr>
          <w:rFonts w:ascii="Times New Roman" w:hAnsi="Times New Roman" w:eastAsia="仿宋_GB2312" w:cs="Times New Roman"/>
          <w:b/>
          <w:sz w:val="28"/>
          <w:szCs w:val="28"/>
        </w:rPr>
        <w:t>七、累计结余情况（</w:t>
      </w:r>
      <w:r>
        <w:rPr>
          <w:rFonts w:hint="eastAsia" w:ascii="Times New Roman" w:hAnsi="Times New Roman" w:eastAsia="仿宋_GB2312" w:cs="Times New Roman"/>
          <w:b/>
          <w:sz w:val="28"/>
          <w:szCs w:val="28"/>
        </w:rPr>
        <w:t>2024年5月1日至2024年10月31日</w:t>
      </w:r>
      <w:r>
        <w:rPr>
          <w:rFonts w:ascii="Times New Roman" w:hAnsi="Times New Roman" w:eastAsia="仿宋_GB2312" w:cs="Times New Roman"/>
          <w:b/>
          <w:sz w:val="28"/>
          <w:szCs w:val="28"/>
        </w:rPr>
        <w:t>）</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自</w:t>
      </w:r>
      <w:r>
        <w:rPr>
          <w:rFonts w:hint="eastAsia" w:ascii="Times New Roman" w:hAnsi="Times New Roman" w:eastAsia="仿宋_GB2312" w:cs="Times New Roman"/>
          <w:sz w:val="28"/>
          <w:szCs w:val="28"/>
        </w:rPr>
        <w:t>2024年5月1日至2024年10月31日</w:t>
      </w:r>
      <w:r>
        <w:rPr>
          <w:rFonts w:ascii="Times New Roman" w:hAnsi="Times New Roman" w:eastAsia="仿宋_GB2312" w:cs="Times New Roman"/>
          <w:sz w:val="28"/>
          <w:szCs w:val="28"/>
        </w:rPr>
        <w:t>止，</w:t>
      </w:r>
      <w:r>
        <w:rPr>
          <w:rFonts w:hint="eastAsia" w:ascii="Times New Roman" w:hAnsi="Times New Roman" w:eastAsia="仿宋_GB2312" w:cs="Times New Roman"/>
          <w:sz w:val="28"/>
          <w:szCs w:val="28"/>
        </w:rPr>
        <w:t>沙湾社工站</w:t>
      </w:r>
      <w:r>
        <w:rPr>
          <w:rFonts w:ascii="Times New Roman" w:hAnsi="Times New Roman" w:eastAsia="仿宋_GB2312" w:cs="Times New Roman"/>
          <w:sz w:val="28"/>
          <w:szCs w:val="28"/>
        </w:rPr>
        <w:t>服务经费累计结余16,678.57元。具体如下：</w:t>
      </w:r>
    </w:p>
    <w:p>
      <w:pPr>
        <w:spacing w:line="620" w:lineRule="exact"/>
        <w:ind w:firstLine="560" w:firstLineChars="200"/>
        <w:rPr>
          <w:rFonts w:ascii="Times New Roman" w:hAnsi="Times New Roman" w:eastAsia="仿宋_GB2312" w:cs="Times New Roman"/>
          <w:spacing w:val="-4"/>
          <w:sz w:val="28"/>
          <w:szCs w:val="28"/>
        </w:rPr>
      </w:pPr>
      <w:r>
        <w:rPr>
          <w:rFonts w:hint="eastAsia" w:ascii="Times New Roman" w:hAnsi="Times New Roman" w:eastAsia="仿宋_GB2312" w:cs="Times New Roman"/>
          <w:sz w:val="28"/>
          <w:szCs w:val="28"/>
        </w:rPr>
        <w:t>2024年5月1日至2027年4月30日</w:t>
      </w:r>
      <w:r>
        <w:rPr>
          <w:rFonts w:ascii="Times New Roman" w:hAnsi="Times New Roman" w:eastAsia="仿宋_GB2312" w:cs="Times New Roman"/>
          <w:sz w:val="28"/>
          <w:szCs w:val="28"/>
        </w:rPr>
        <w:t>为</w:t>
      </w:r>
      <w:r>
        <w:rPr>
          <w:rFonts w:hint="eastAsia" w:ascii="Times New Roman" w:hAnsi="Times New Roman" w:eastAsia="仿宋_GB2312" w:cs="Times New Roman"/>
          <w:sz w:val="28"/>
          <w:szCs w:val="28"/>
        </w:rPr>
        <w:t>沙湾社工站</w:t>
      </w:r>
      <w:r>
        <w:rPr>
          <w:rFonts w:ascii="Times New Roman" w:hAnsi="Times New Roman" w:eastAsia="仿宋_GB2312" w:cs="Times New Roman"/>
          <w:sz w:val="28"/>
          <w:szCs w:val="28"/>
        </w:rPr>
        <w:t>的</w:t>
      </w:r>
      <w:r>
        <w:rPr>
          <w:rFonts w:hint="eastAsia" w:ascii="Times New Roman" w:hAnsi="Times New Roman" w:eastAsia="仿宋_GB2312" w:cs="Times New Roman"/>
          <w:sz w:val="28"/>
          <w:szCs w:val="28"/>
        </w:rPr>
        <w:t>三</w:t>
      </w:r>
      <w:r>
        <w:rPr>
          <w:rFonts w:ascii="Times New Roman" w:hAnsi="Times New Roman" w:eastAsia="仿宋_GB2312" w:cs="Times New Roman"/>
          <w:sz w:val="28"/>
          <w:szCs w:val="28"/>
        </w:rPr>
        <w:t>年服务周期，其中：</w:t>
      </w:r>
      <w:r>
        <w:rPr>
          <w:rFonts w:hint="eastAsia" w:ascii="Times New Roman" w:hAnsi="Times New Roman" w:eastAsia="仿宋_GB2312" w:cs="Times New Roman"/>
          <w:spacing w:val="-4"/>
          <w:sz w:val="28"/>
          <w:szCs w:val="28"/>
        </w:rPr>
        <w:t>本评估期</w:t>
      </w:r>
      <w:r>
        <w:rPr>
          <w:rFonts w:hint="eastAsia" w:ascii="Times New Roman" w:hAnsi="Times New Roman" w:eastAsia="仿宋_GB2312" w:cs="Times New Roman"/>
          <w:sz w:val="28"/>
          <w:szCs w:val="28"/>
        </w:rPr>
        <w:t>2024年5月1日至2024年10月31日</w:t>
      </w:r>
      <w:r>
        <w:rPr>
          <w:rFonts w:ascii="Times New Roman" w:hAnsi="Times New Roman" w:eastAsia="仿宋_GB2312" w:cs="Times New Roman"/>
          <w:spacing w:val="-4"/>
          <w:sz w:val="28"/>
          <w:szCs w:val="28"/>
        </w:rPr>
        <w:t>，结余资金</w:t>
      </w:r>
      <w:r>
        <w:rPr>
          <w:rFonts w:ascii="Times New Roman" w:hAnsi="Times New Roman" w:eastAsia="仿宋_GB2312" w:cs="Times New Roman"/>
          <w:sz w:val="28"/>
          <w:szCs w:val="28"/>
        </w:rPr>
        <w:t>16,678.57</w:t>
      </w:r>
      <w:r>
        <w:rPr>
          <w:rFonts w:ascii="Times New Roman" w:hAnsi="Times New Roman" w:eastAsia="仿宋_GB2312" w:cs="Times New Roman"/>
          <w:spacing w:val="-4"/>
          <w:sz w:val="28"/>
          <w:szCs w:val="28"/>
        </w:rPr>
        <w:t>元。</w:t>
      </w:r>
    </w:p>
    <w:p>
      <w:pPr>
        <w:keepNext w:val="0"/>
        <w:keepLines w:val="0"/>
        <w:pageBreakBefore w:val="0"/>
        <w:widowControl w:val="0"/>
        <w:kinsoku/>
        <w:wordWrap/>
        <w:overflowPunct/>
        <w:topLinePunct w:val="0"/>
        <w:autoSpaceDE/>
        <w:autoSpaceDN/>
        <w:bidi w:val="0"/>
        <w:adjustRightInd/>
        <w:snapToGrid/>
        <w:spacing w:line="620" w:lineRule="exact"/>
        <w:ind w:right="0" w:rightChars="0" w:firstLine="562" w:firstLineChars="200"/>
        <w:textAlignment w:val="auto"/>
        <w:outlineLvl w:val="0"/>
        <w:rPr>
          <w:rFonts w:ascii="Times New Roman" w:hAnsi="Times New Roman" w:eastAsia="仿宋" w:cs="Times New Roman"/>
          <w:b/>
          <w:bCs/>
          <w:color w:val="000000" w:themeColor="text1"/>
          <w:sz w:val="28"/>
          <w:szCs w:val="28"/>
          <w14:textFill>
            <w14:solidFill>
              <w14:schemeClr w14:val="tx1"/>
            </w14:solidFill>
          </w14:textFill>
        </w:rPr>
      </w:pPr>
      <w:r>
        <w:rPr>
          <w:rFonts w:hint="eastAsia" w:ascii="Times New Roman" w:hAnsi="Times New Roman" w:eastAsia="仿宋" w:cs="Times New Roman"/>
          <w:b/>
          <w:bCs/>
          <w:color w:val="000000" w:themeColor="text1"/>
          <w:sz w:val="28"/>
          <w:szCs w:val="28"/>
          <w14:textFill>
            <w14:solidFill>
              <w14:schemeClr w14:val="tx1"/>
            </w14:solidFill>
          </w14:textFill>
        </w:rPr>
        <w:t>八、存在问题</w:t>
      </w:r>
    </w:p>
    <w:p>
      <w:pPr>
        <w:spacing w:line="62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14:textFill>
            <w14:solidFill>
              <w14:schemeClr w14:val="tx1"/>
            </w14:solidFill>
          </w14:textFill>
        </w:rPr>
        <w:t>１、部分凭证附件社工签名日期早于入职时间。</w:t>
      </w:r>
    </w:p>
    <w:p>
      <w:pPr>
        <w:spacing w:line="62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_GB2312" w:cs="Times New Roman"/>
          <w:sz w:val="28"/>
          <w:szCs w:val="28"/>
        </w:rPr>
        <w:t>经审核发现，</w:t>
      </w:r>
      <w:r>
        <w:rPr>
          <w:rFonts w:hint="eastAsia" w:ascii="Times New Roman" w:hAnsi="Times New Roman" w:eastAsia="仿宋" w:cs="Times New Roman"/>
          <w:color w:val="000000" w:themeColor="text1"/>
          <w:sz w:val="28"/>
          <w:szCs w:val="28"/>
          <w14:textFill>
            <w14:solidFill>
              <w14:schemeClr w14:val="tx1"/>
            </w14:solidFill>
          </w14:textFill>
        </w:rPr>
        <w:t>以下凭证所附附件存在社工签名时间早于其在沙湾社工站入职时间的情况。</w:t>
      </w:r>
    </w:p>
    <w:tbl>
      <w:tblPr>
        <w:tblStyle w:val="9"/>
        <w:tblW w:w="92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4"/>
        <w:gridCol w:w="1152"/>
        <w:gridCol w:w="1002"/>
        <w:gridCol w:w="1638"/>
        <w:gridCol w:w="1118"/>
        <w:gridCol w:w="1921"/>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4" w:type="dxa"/>
            <w:vAlign w:val="center"/>
          </w:tcPr>
          <w:p>
            <w:pPr>
              <w:spacing w:line="240" w:lineRule="exact"/>
              <w:jc w:val="center"/>
              <w:rPr>
                <w:rFonts w:ascii="Times New Roman" w:hAnsi="Times New Roman" w:eastAsia="仿宋_GB2312"/>
                <w:b/>
                <w:color w:val="000000" w:themeColor="text1"/>
                <w:sz w:val="20"/>
                <w:szCs w:val="28"/>
                <w14:textFill>
                  <w14:solidFill>
                    <w14:schemeClr w14:val="tx1"/>
                  </w14:solidFill>
                </w14:textFill>
              </w:rPr>
            </w:pPr>
            <w:r>
              <w:rPr>
                <w:rFonts w:hint="eastAsia" w:ascii="Times New Roman" w:hAnsi="Times New Roman" w:eastAsia="仿宋_GB2312" w:cs="Times New Roman"/>
                <w:b/>
                <w:color w:val="000000" w:themeColor="text1"/>
                <w:sz w:val="20"/>
                <w:szCs w:val="20"/>
                <w14:textFill>
                  <w14:solidFill>
                    <w14:schemeClr w14:val="tx1"/>
                  </w14:solidFill>
                </w14:textFill>
              </w:rPr>
              <w:t>序号</w:t>
            </w:r>
          </w:p>
        </w:tc>
        <w:tc>
          <w:tcPr>
            <w:tcW w:w="1152" w:type="dxa"/>
            <w:vAlign w:val="center"/>
          </w:tcPr>
          <w:p>
            <w:pPr>
              <w:spacing w:line="240" w:lineRule="exact"/>
              <w:jc w:val="center"/>
              <w:rPr>
                <w:rFonts w:ascii="Times New Roman" w:hAnsi="Times New Roman" w:eastAsia="仿宋_GB2312"/>
                <w:b/>
                <w:color w:val="000000" w:themeColor="text1"/>
                <w:sz w:val="20"/>
                <w:szCs w:val="28"/>
                <w14:textFill>
                  <w14:solidFill>
                    <w14:schemeClr w14:val="tx1"/>
                  </w14:solidFill>
                </w14:textFill>
              </w:rPr>
            </w:pPr>
            <w:r>
              <w:rPr>
                <w:rFonts w:hint="eastAsia" w:ascii="Times New Roman" w:hAnsi="Times New Roman" w:eastAsia="仿宋_GB2312"/>
                <w:b/>
                <w:color w:val="000000" w:themeColor="text1"/>
                <w:sz w:val="20"/>
                <w14:textFill>
                  <w14:solidFill>
                    <w14:schemeClr w14:val="tx1"/>
                  </w14:solidFill>
                </w14:textFill>
              </w:rPr>
              <w:t xml:space="preserve">日 </w:t>
            </w:r>
            <w:r>
              <w:rPr>
                <w:rFonts w:ascii="Times New Roman" w:hAnsi="Times New Roman" w:eastAsia="仿宋_GB2312"/>
                <w:b/>
                <w:color w:val="000000" w:themeColor="text1"/>
                <w:sz w:val="20"/>
                <w14:textFill>
                  <w14:solidFill>
                    <w14:schemeClr w14:val="tx1"/>
                  </w14:solidFill>
                </w14:textFill>
              </w:rPr>
              <w:t xml:space="preserve"> </w:t>
            </w:r>
            <w:r>
              <w:rPr>
                <w:rFonts w:hint="eastAsia" w:ascii="Times New Roman" w:hAnsi="Times New Roman" w:eastAsia="仿宋_GB2312"/>
                <w:b/>
                <w:color w:val="000000" w:themeColor="text1"/>
                <w:sz w:val="20"/>
                <w14:textFill>
                  <w14:solidFill>
                    <w14:schemeClr w14:val="tx1"/>
                  </w14:solidFill>
                </w14:textFill>
              </w:rPr>
              <w:t>期</w:t>
            </w:r>
          </w:p>
        </w:tc>
        <w:tc>
          <w:tcPr>
            <w:tcW w:w="1002" w:type="dxa"/>
            <w:vAlign w:val="center"/>
          </w:tcPr>
          <w:p>
            <w:pPr>
              <w:spacing w:line="240" w:lineRule="exact"/>
              <w:jc w:val="center"/>
              <w:rPr>
                <w:rFonts w:ascii="Times New Roman" w:hAnsi="Times New Roman" w:eastAsia="仿宋_GB2312"/>
                <w:b/>
                <w:color w:val="000000" w:themeColor="text1"/>
                <w:sz w:val="20"/>
                <w:szCs w:val="28"/>
                <w14:textFill>
                  <w14:solidFill>
                    <w14:schemeClr w14:val="tx1"/>
                  </w14:solidFill>
                </w14:textFill>
              </w:rPr>
            </w:pPr>
            <w:r>
              <w:rPr>
                <w:rFonts w:hint="eastAsia" w:ascii="Times New Roman" w:hAnsi="Times New Roman" w:eastAsia="仿宋_GB2312"/>
                <w:b/>
                <w:color w:val="000000" w:themeColor="text1"/>
                <w:sz w:val="20"/>
                <w14:textFill>
                  <w14:solidFill>
                    <w14:schemeClr w14:val="tx1"/>
                  </w14:solidFill>
                </w14:textFill>
              </w:rPr>
              <w:t>凭证号</w:t>
            </w:r>
          </w:p>
        </w:tc>
        <w:tc>
          <w:tcPr>
            <w:tcW w:w="1638" w:type="dxa"/>
            <w:vAlign w:val="center"/>
          </w:tcPr>
          <w:p>
            <w:pPr>
              <w:spacing w:line="240" w:lineRule="exact"/>
              <w:jc w:val="center"/>
              <w:rPr>
                <w:rFonts w:ascii="Times New Roman" w:hAnsi="Times New Roman" w:eastAsia="仿宋_GB2312"/>
                <w:b/>
                <w:color w:val="000000" w:themeColor="text1"/>
                <w:sz w:val="20"/>
                <w:szCs w:val="28"/>
                <w14:textFill>
                  <w14:solidFill>
                    <w14:schemeClr w14:val="tx1"/>
                  </w14:solidFill>
                </w14:textFill>
              </w:rPr>
            </w:pPr>
            <w:r>
              <w:rPr>
                <w:rFonts w:hint="eastAsia" w:ascii="Times New Roman" w:hAnsi="Times New Roman" w:eastAsia="仿宋_GB2312"/>
                <w:b/>
                <w:color w:val="000000" w:themeColor="text1"/>
                <w:sz w:val="20"/>
                <w14:textFill>
                  <w14:solidFill>
                    <w14:schemeClr w14:val="tx1"/>
                  </w14:solidFill>
                </w14:textFill>
              </w:rPr>
              <w:t>摘　　　要</w:t>
            </w:r>
          </w:p>
        </w:tc>
        <w:tc>
          <w:tcPr>
            <w:tcW w:w="1118" w:type="dxa"/>
            <w:vAlign w:val="center"/>
          </w:tcPr>
          <w:p>
            <w:pPr>
              <w:spacing w:line="240" w:lineRule="exact"/>
              <w:jc w:val="center"/>
              <w:rPr>
                <w:rFonts w:ascii="Times New Roman" w:hAnsi="Times New Roman" w:eastAsia="仿宋_GB2312"/>
                <w:b/>
                <w:color w:val="000000" w:themeColor="text1"/>
                <w:sz w:val="20"/>
                <w:szCs w:val="28"/>
                <w14:textFill>
                  <w14:solidFill>
                    <w14:schemeClr w14:val="tx1"/>
                  </w14:solidFill>
                </w14:textFill>
              </w:rPr>
            </w:pPr>
            <w:r>
              <w:rPr>
                <w:rFonts w:hint="eastAsia" w:ascii="Times New Roman" w:hAnsi="Times New Roman" w:eastAsia="仿宋_GB2312"/>
                <w:b/>
                <w:color w:val="000000" w:themeColor="text1"/>
                <w:sz w:val="20"/>
                <w14:textFill>
                  <w14:solidFill>
                    <w14:schemeClr w14:val="tx1"/>
                  </w14:solidFill>
                </w14:textFill>
              </w:rPr>
              <w:t xml:space="preserve">金 </w:t>
            </w:r>
            <w:r>
              <w:rPr>
                <w:rFonts w:ascii="Times New Roman" w:hAnsi="Times New Roman" w:eastAsia="仿宋_GB2312"/>
                <w:b/>
                <w:color w:val="000000" w:themeColor="text1"/>
                <w:sz w:val="20"/>
                <w14:textFill>
                  <w14:solidFill>
                    <w14:schemeClr w14:val="tx1"/>
                  </w14:solidFill>
                </w14:textFill>
              </w:rPr>
              <w:t xml:space="preserve"> </w:t>
            </w:r>
            <w:r>
              <w:rPr>
                <w:rFonts w:hint="eastAsia" w:ascii="Times New Roman" w:hAnsi="Times New Roman" w:eastAsia="仿宋_GB2312"/>
                <w:b/>
                <w:color w:val="000000" w:themeColor="text1"/>
                <w:sz w:val="20"/>
                <w14:textFill>
                  <w14:solidFill>
                    <w14:schemeClr w14:val="tx1"/>
                  </w14:solidFill>
                </w14:textFill>
              </w:rPr>
              <w:t>额</w:t>
            </w:r>
          </w:p>
        </w:tc>
        <w:tc>
          <w:tcPr>
            <w:tcW w:w="1921" w:type="dxa"/>
            <w:vAlign w:val="center"/>
          </w:tcPr>
          <w:p>
            <w:pPr>
              <w:spacing w:line="240" w:lineRule="exact"/>
              <w:jc w:val="center"/>
              <w:rPr>
                <w:rFonts w:ascii="Times New Roman" w:hAnsi="Times New Roman" w:eastAsia="仿宋_GB2312"/>
                <w:b/>
                <w:color w:val="000000" w:themeColor="text1"/>
                <w:sz w:val="20"/>
                <w:szCs w:val="28"/>
                <w14:textFill>
                  <w14:solidFill>
                    <w14:schemeClr w14:val="tx1"/>
                  </w14:solidFill>
                </w14:textFill>
              </w:rPr>
            </w:pPr>
            <w:r>
              <w:rPr>
                <w:rFonts w:hint="eastAsia" w:ascii="Times New Roman" w:hAnsi="Times New Roman" w:eastAsia="仿宋_GB2312"/>
                <w:b/>
                <w:color w:val="000000" w:themeColor="text1"/>
                <w:sz w:val="20"/>
                <w:szCs w:val="28"/>
                <w14:textFill>
                  <w14:solidFill>
                    <w14:schemeClr w14:val="tx1"/>
                  </w14:solidFill>
                </w14:textFill>
              </w:rPr>
              <w:t>会议记录签到时间</w:t>
            </w:r>
          </w:p>
        </w:tc>
        <w:tc>
          <w:tcPr>
            <w:tcW w:w="1843" w:type="dxa"/>
            <w:vAlign w:val="center"/>
          </w:tcPr>
          <w:p>
            <w:pPr>
              <w:spacing w:line="240" w:lineRule="exact"/>
              <w:jc w:val="center"/>
              <w:rPr>
                <w:rFonts w:ascii="Times New Roman" w:hAnsi="Times New Roman" w:eastAsia="仿宋_GB2312"/>
                <w:b/>
                <w:color w:val="000000" w:themeColor="text1"/>
                <w:sz w:val="20"/>
                <w:szCs w:val="28"/>
                <w14:textFill>
                  <w14:solidFill>
                    <w14:schemeClr w14:val="tx1"/>
                  </w14:solidFill>
                </w14:textFill>
              </w:rPr>
            </w:pPr>
            <w:r>
              <w:rPr>
                <w:rFonts w:hint="eastAsia" w:ascii="Times New Roman" w:hAnsi="Times New Roman" w:eastAsia="仿宋_GB2312"/>
                <w:b/>
                <w:color w:val="000000" w:themeColor="text1"/>
                <w:sz w:val="20"/>
                <w:szCs w:val="28"/>
                <w14:textFill>
                  <w14:solidFill>
                    <w14:schemeClr w14:val="tx1"/>
                  </w14:solidFill>
                </w14:textFill>
              </w:rPr>
              <w:t>员工及其入职时间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4" w:type="dxa"/>
            <w:vAlign w:val="center"/>
          </w:tcPr>
          <w:p>
            <w:pPr>
              <w:spacing w:line="240" w:lineRule="exact"/>
              <w:jc w:val="center"/>
              <w:rPr>
                <w:rFonts w:ascii="Times New Roman" w:hAnsi="Times New Roman" w:eastAsia="仿宋_GB2312"/>
                <w:color w:val="000000" w:themeColor="text1"/>
                <w:sz w:val="20"/>
                <w:szCs w:val="28"/>
                <w14:textFill>
                  <w14:solidFill>
                    <w14:schemeClr w14:val="tx1"/>
                  </w14:solidFill>
                </w14:textFill>
              </w:rPr>
            </w:pPr>
            <w:r>
              <w:rPr>
                <w:rFonts w:ascii="Times New Roman" w:hAnsi="Times New Roman" w:eastAsia="仿宋_GB2312" w:cs="Times New Roman"/>
                <w:color w:val="000000" w:themeColor="text1"/>
                <w:sz w:val="20"/>
                <w:szCs w:val="20"/>
                <w14:textFill>
                  <w14:solidFill>
                    <w14:schemeClr w14:val="tx1"/>
                  </w14:solidFill>
                </w14:textFill>
              </w:rPr>
              <w:t>1</w:t>
            </w:r>
          </w:p>
        </w:tc>
        <w:tc>
          <w:tcPr>
            <w:tcW w:w="1152" w:type="dxa"/>
            <w:vAlign w:val="center"/>
          </w:tcPr>
          <w:p>
            <w:pPr>
              <w:spacing w:line="240" w:lineRule="exact"/>
              <w:jc w:val="center"/>
              <w:rPr>
                <w:rFonts w:ascii="Times New Roman" w:hAnsi="Times New Roman" w:eastAsia="仿宋_GB2312"/>
                <w:color w:val="000000" w:themeColor="text1"/>
                <w:sz w:val="20"/>
                <w14:textFill>
                  <w14:solidFill>
                    <w14:schemeClr w14:val="tx1"/>
                  </w14:solidFill>
                </w14:textFill>
              </w:rPr>
            </w:pPr>
            <w:r>
              <w:rPr>
                <w:rFonts w:ascii="Times New Roman" w:hAnsi="Times New Roman" w:eastAsia="仿宋_GB2312"/>
                <w:color w:val="000000" w:themeColor="text1"/>
                <w:sz w:val="20"/>
                <w14:textFill>
                  <w14:solidFill>
                    <w14:schemeClr w14:val="tx1"/>
                  </w14:solidFill>
                </w14:textFill>
              </w:rPr>
              <w:t>2024-05-31</w:t>
            </w:r>
          </w:p>
        </w:tc>
        <w:tc>
          <w:tcPr>
            <w:tcW w:w="1002" w:type="dxa"/>
            <w:vAlign w:val="center"/>
          </w:tcPr>
          <w:p>
            <w:pPr>
              <w:spacing w:line="240" w:lineRule="exact"/>
              <w:jc w:val="center"/>
              <w:rPr>
                <w:rFonts w:ascii="Times New Roman" w:hAnsi="Times New Roman" w:eastAsia="仿宋_GB2312"/>
                <w:color w:val="000000" w:themeColor="text1"/>
                <w:sz w:val="20"/>
                <w14:textFill>
                  <w14:solidFill>
                    <w14:schemeClr w14:val="tx1"/>
                  </w14:solidFill>
                </w14:textFill>
              </w:rPr>
            </w:pPr>
            <w:r>
              <w:rPr>
                <w:rFonts w:hint="eastAsia" w:ascii="Times New Roman" w:hAnsi="Times New Roman" w:eastAsia="仿宋_GB2312"/>
                <w:color w:val="000000" w:themeColor="text1"/>
                <w:sz w:val="20"/>
                <w14:textFill>
                  <w14:solidFill>
                    <w14:schemeClr w14:val="tx1"/>
                  </w14:solidFill>
                </w14:textFill>
              </w:rPr>
              <w:t>记-0085</w:t>
            </w:r>
          </w:p>
        </w:tc>
        <w:tc>
          <w:tcPr>
            <w:tcW w:w="1638" w:type="dxa"/>
            <w:vAlign w:val="center"/>
          </w:tcPr>
          <w:p>
            <w:pPr>
              <w:spacing w:line="240" w:lineRule="exact"/>
              <w:ind w:right="-67" w:rightChars="-32"/>
              <w:rPr>
                <w:rFonts w:ascii="Times New Roman" w:hAnsi="Times New Roman" w:eastAsia="仿宋_GB2312"/>
                <w:color w:val="000000" w:themeColor="text1"/>
                <w:sz w:val="20"/>
                <w14:textFill>
                  <w14:solidFill>
                    <w14:schemeClr w14:val="tx1"/>
                  </w14:solidFill>
                </w14:textFill>
              </w:rPr>
            </w:pPr>
            <w:r>
              <w:rPr>
                <w:rFonts w:hint="eastAsia" w:ascii="Times New Roman" w:hAnsi="Times New Roman" w:eastAsia="仿宋_GB2312"/>
                <w:color w:val="000000" w:themeColor="text1"/>
                <w:sz w:val="20"/>
                <w14:textFill>
                  <w14:solidFill>
                    <w14:schemeClr w14:val="tx1"/>
                  </w14:solidFill>
                </w14:textFill>
              </w:rPr>
              <w:t>沙湾社工-餐费</w:t>
            </w:r>
          </w:p>
        </w:tc>
        <w:tc>
          <w:tcPr>
            <w:tcW w:w="1118" w:type="dxa"/>
            <w:vAlign w:val="center"/>
          </w:tcPr>
          <w:p>
            <w:pPr>
              <w:spacing w:line="240" w:lineRule="exact"/>
              <w:jc w:val="right"/>
              <w:rPr>
                <w:rFonts w:ascii="Times New Roman" w:hAnsi="Times New Roman" w:eastAsia="仿宋_GB2312"/>
                <w:color w:val="000000" w:themeColor="text1"/>
                <w:sz w:val="20"/>
                <w:szCs w:val="21"/>
                <w14:textFill>
                  <w14:solidFill>
                    <w14:schemeClr w14:val="tx1"/>
                  </w14:solidFill>
                </w14:textFill>
              </w:rPr>
            </w:pPr>
            <w:r>
              <w:rPr>
                <w:rFonts w:ascii="Times New Roman" w:hAnsi="Times New Roman" w:eastAsia="仿宋_GB2312"/>
                <w:color w:val="000000" w:themeColor="text1"/>
                <w:sz w:val="20"/>
                <w:szCs w:val="21"/>
                <w14:textFill>
                  <w14:solidFill>
                    <w14:schemeClr w14:val="tx1"/>
                  </w14:solidFill>
                </w14:textFill>
              </w:rPr>
              <w:t>786.00</w:t>
            </w:r>
          </w:p>
        </w:tc>
        <w:tc>
          <w:tcPr>
            <w:tcW w:w="1921" w:type="dxa"/>
            <w:vAlign w:val="center"/>
          </w:tcPr>
          <w:p>
            <w:pPr>
              <w:spacing w:line="240" w:lineRule="exact"/>
              <w:jc w:val="center"/>
              <w:rPr>
                <w:rFonts w:ascii="Times New Roman" w:hAnsi="Times New Roman" w:eastAsia="仿宋_GB2312"/>
                <w:color w:val="000000" w:themeColor="text1"/>
                <w:sz w:val="20"/>
                <w:szCs w:val="28"/>
                <w14:textFill>
                  <w14:solidFill>
                    <w14:schemeClr w14:val="tx1"/>
                  </w14:solidFill>
                </w14:textFill>
              </w:rPr>
            </w:pPr>
            <w:r>
              <w:rPr>
                <w:rFonts w:hint="eastAsia" w:ascii="Times New Roman" w:hAnsi="Times New Roman" w:eastAsia="仿宋_GB2312"/>
                <w:color w:val="000000" w:themeColor="text1"/>
                <w:sz w:val="20"/>
                <w:szCs w:val="28"/>
                <w14:textFill>
                  <w14:solidFill>
                    <w14:schemeClr w14:val="tx1"/>
                  </w14:solidFill>
                </w14:textFill>
              </w:rPr>
              <w:t>2024-5-10</w:t>
            </w:r>
          </w:p>
        </w:tc>
        <w:tc>
          <w:tcPr>
            <w:tcW w:w="1843" w:type="dxa"/>
          </w:tcPr>
          <w:p>
            <w:pPr>
              <w:spacing w:line="240" w:lineRule="exact"/>
              <w:rPr>
                <w:rFonts w:ascii="Times New Roman" w:hAnsi="Times New Roman" w:eastAsia="仿宋_GB2312"/>
                <w:color w:val="000000" w:themeColor="text1"/>
                <w:sz w:val="20"/>
                <w:szCs w:val="28"/>
                <w14:textFill>
                  <w14:solidFill>
                    <w14:schemeClr w14:val="tx1"/>
                  </w14:solidFill>
                </w14:textFill>
              </w:rPr>
            </w:pPr>
            <w:r>
              <w:rPr>
                <w:rFonts w:hint="eastAsia" w:ascii="Times New Roman" w:hAnsi="Times New Roman" w:eastAsia="仿宋_GB2312"/>
                <w:color w:val="000000" w:themeColor="text1"/>
                <w:sz w:val="20"/>
                <w:szCs w:val="28"/>
                <w14:textFill>
                  <w14:solidFill>
                    <w14:schemeClr w14:val="tx1"/>
                  </w14:solidFill>
                </w14:textFill>
              </w:rPr>
              <w:t>梁宝莹于2024年5月14日入职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4" w:type="dxa"/>
            <w:vAlign w:val="center"/>
          </w:tcPr>
          <w:p>
            <w:pPr>
              <w:spacing w:line="240" w:lineRule="exact"/>
              <w:jc w:val="center"/>
              <w:rPr>
                <w:rFonts w:ascii="Times New Roman" w:hAnsi="Times New Roman" w:eastAsia="仿宋_GB2312"/>
                <w:color w:val="000000" w:themeColor="text1"/>
                <w:sz w:val="20"/>
                <w:szCs w:val="28"/>
                <w14:textFill>
                  <w14:solidFill>
                    <w14:schemeClr w14:val="tx1"/>
                  </w14:solidFill>
                </w14:textFill>
              </w:rPr>
            </w:pPr>
            <w:r>
              <w:rPr>
                <w:rFonts w:ascii="Times New Roman" w:hAnsi="Times New Roman" w:eastAsia="仿宋_GB2312" w:cs="Times New Roman"/>
                <w:color w:val="000000" w:themeColor="text1"/>
                <w:sz w:val="20"/>
                <w:szCs w:val="20"/>
                <w14:textFill>
                  <w14:solidFill>
                    <w14:schemeClr w14:val="tx1"/>
                  </w14:solidFill>
                </w14:textFill>
              </w:rPr>
              <w:t>2</w:t>
            </w:r>
          </w:p>
        </w:tc>
        <w:tc>
          <w:tcPr>
            <w:tcW w:w="1152" w:type="dxa"/>
            <w:vAlign w:val="center"/>
          </w:tcPr>
          <w:p>
            <w:pPr>
              <w:spacing w:line="240" w:lineRule="exact"/>
              <w:jc w:val="center"/>
              <w:rPr>
                <w:rFonts w:ascii="Times New Roman" w:hAnsi="Times New Roman" w:eastAsia="仿宋_GB2312"/>
                <w:color w:val="000000" w:themeColor="text1"/>
                <w:sz w:val="20"/>
                <w14:textFill>
                  <w14:solidFill>
                    <w14:schemeClr w14:val="tx1"/>
                  </w14:solidFill>
                </w14:textFill>
              </w:rPr>
            </w:pPr>
            <w:r>
              <w:rPr>
                <w:rFonts w:ascii="Times New Roman" w:hAnsi="Times New Roman" w:eastAsia="仿宋_GB2312"/>
                <w:color w:val="000000" w:themeColor="text1"/>
                <w:sz w:val="20"/>
                <w14:textFill>
                  <w14:solidFill>
                    <w14:schemeClr w14:val="tx1"/>
                  </w14:solidFill>
                </w14:textFill>
              </w:rPr>
              <w:t>2024-07-31</w:t>
            </w:r>
          </w:p>
        </w:tc>
        <w:tc>
          <w:tcPr>
            <w:tcW w:w="1002" w:type="dxa"/>
            <w:vAlign w:val="center"/>
          </w:tcPr>
          <w:p>
            <w:pPr>
              <w:spacing w:line="240" w:lineRule="exact"/>
              <w:jc w:val="center"/>
              <w:rPr>
                <w:rFonts w:ascii="Times New Roman" w:hAnsi="Times New Roman" w:eastAsia="仿宋_GB2312"/>
                <w:color w:val="000000" w:themeColor="text1"/>
                <w:sz w:val="20"/>
                <w14:textFill>
                  <w14:solidFill>
                    <w14:schemeClr w14:val="tx1"/>
                  </w14:solidFill>
                </w14:textFill>
              </w:rPr>
            </w:pPr>
            <w:r>
              <w:rPr>
                <w:rFonts w:hint="eastAsia" w:ascii="Times New Roman" w:hAnsi="Times New Roman" w:eastAsia="仿宋_GB2312"/>
                <w:color w:val="000000" w:themeColor="text1"/>
                <w:sz w:val="20"/>
                <w14:textFill>
                  <w14:solidFill>
                    <w14:schemeClr w14:val="tx1"/>
                  </w14:solidFill>
                </w14:textFill>
              </w:rPr>
              <w:t>记-0127</w:t>
            </w:r>
          </w:p>
        </w:tc>
        <w:tc>
          <w:tcPr>
            <w:tcW w:w="1638" w:type="dxa"/>
            <w:vAlign w:val="center"/>
          </w:tcPr>
          <w:p>
            <w:pPr>
              <w:spacing w:line="240" w:lineRule="exact"/>
              <w:rPr>
                <w:rFonts w:ascii="Times New Roman" w:hAnsi="Times New Roman" w:eastAsia="仿宋_GB2312"/>
                <w:color w:val="000000" w:themeColor="text1"/>
                <w:sz w:val="20"/>
                <w14:textFill>
                  <w14:solidFill>
                    <w14:schemeClr w14:val="tx1"/>
                  </w14:solidFill>
                </w14:textFill>
              </w:rPr>
            </w:pPr>
            <w:r>
              <w:rPr>
                <w:rFonts w:hint="eastAsia" w:ascii="Times New Roman" w:hAnsi="Times New Roman" w:eastAsia="仿宋_GB2312"/>
                <w:color w:val="000000" w:themeColor="text1"/>
                <w:sz w:val="20"/>
                <w14:textFill>
                  <w14:solidFill>
                    <w14:schemeClr w14:val="tx1"/>
                  </w14:solidFill>
                </w14:textFill>
              </w:rPr>
              <w:t>沙湾社工-餐费</w:t>
            </w:r>
          </w:p>
        </w:tc>
        <w:tc>
          <w:tcPr>
            <w:tcW w:w="1118" w:type="dxa"/>
            <w:vAlign w:val="center"/>
          </w:tcPr>
          <w:p>
            <w:pPr>
              <w:spacing w:line="240" w:lineRule="exact"/>
              <w:jc w:val="right"/>
              <w:rPr>
                <w:rFonts w:ascii="Times New Roman" w:hAnsi="Times New Roman" w:eastAsia="仿宋_GB2312"/>
                <w:color w:val="000000" w:themeColor="text1"/>
                <w:sz w:val="20"/>
                <w:szCs w:val="21"/>
                <w14:textFill>
                  <w14:solidFill>
                    <w14:schemeClr w14:val="tx1"/>
                  </w14:solidFill>
                </w14:textFill>
              </w:rPr>
            </w:pPr>
            <w:r>
              <w:rPr>
                <w:rFonts w:ascii="Times New Roman" w:hAnsi="Times New Roman" w:eastAsia="仿宋_GB2312"/>
                <w:color w:val="000000" w:themeColor="text1"/>
                <w:sz w:val="20"/>
                <w:szCs w:val="21"/>
                <w14:textFill>
                  <w14:solidFill>
                    <w14:schemeClr w14:val="tx1"/>
                  </w14:solidFill>
                </w14:textFill>
              </w:rPr>
              <w:t>1,240.00</w:t>
            </w:r>
          </w:p>
        </w:tc>
        <w:tc>
          <w:tcPr>
            <w:tcW w:w="1921" w:type="dxa"/>
            <w:vAlign w:val="center"/>
          </w:tcPr>
          <w:p>
            <w:pPr>
              <w:spacing w:line="240" w:lineRule="exact"/>
              <w:jc w:val="center"/>
              <w:rPr>
                <w:rFonts w:ascii="Times New Roman" w:hAnsi="Times New Roman" w:eastAsia="仿宋_GB2312"/>
                <w:color w:val="000000" w:themeColor="text1"/>
                <w:sz w:val="20"/>
                <w14:textFill>
                  <w14:solidFill>
                    <w14:schemeClr w14:val="tx1"/>
                  </w14:solidFill>
                </w14:textFill>
              </w:rPr>
            </w:pPr>
            <w:r>
              <w:rPr>
                <w:rFonts w:hint="eastAsia" w:ascii="Times New Roman" w:hAnsi="Times New Roman" w:eastAsia="仿宋_GB2312"/>
                <w:color w:val="000000" w:themeColor="text1"/>
                <w:sz w:val="20"/>
                <w14:textFill>
                  <w14:solidFill>
                    <w14:schemeClr w14:val="tx1"/>
                  </w14:solidFill>
                </w14:textFill>
              </w:rPr>
              <w:t>2024-6-19</w:t>
            </w:r>
          </w:p>
        </w:tc>
        <w:tc>
          <w:tcPr>
            <w:tcW w:w="1843" w:type="dxa"/>
          </w:tcPr>
          <w:p>
            <w:pPr>
              <w:spacing w:line="240" w:lineRule="exact"/>
              <w:rPr>
                <w:rFonts w:ascii="Times New Roman" w:hAnsi="Times New Roman" w:eastAsia="仿宋_GB2312"/>
                <w:color w:val="000000" w:themeColor="text1"/>
                <w:sz w:val="20"/>
                <w14:textFill>
                  <w14:solidFill>
                    <w14:schemeClr w14:val="tx1"/>
                  </w14:solidFill>
                </w14:textFill>
              </w:rPr>
            </w:pPr>
            <w:r>
              <w:rPr>
                <w:rFonts w:hint="eastAsia" w:ascii="Times New Roman" w:hAnsi="Times New Roman" w:eastAsia="仿宋_GB2312"/>
                <w:color w:val="000000" w:themeColor="text1"/>
                <w:sz w:val="20"/>
                <w14:textFill>
                  <w14:solidFill>
                    <w14:schemeClr w14:val="tx1"/>
                  </w14:solidFill>
                </w14:textFill>
              </w:rPr>
              <w:t>庾婉媚、温珺祉、罗鸿生于2024年8月24日入职</w:t>
            </w:r>
          </w:p>
        </w:tc>
      </w:tr>
    </w:tbl>
    <w:p>
      <w:pPr>
        <w:spacing w:line="62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14:textFill>
            <w14:solidFill>
              <w14:schemeClr w14:val="tx1"/>
            </w14:solidFill>
          </w14:textFill>
        </w:rPr>
        <w:t>建议严格按照承接机构制定的《财务管理内控制度》第二部分财务报销流程管理规定执行，对明显不符合逻辑的报销单据，财务部应拒绝报销。</w:t>
      </w:r>
    </w:p>
    <w:p>
      <w:pPr>
        <w:spacing w:line="62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14:textFill>
            <w14:solidFill>
              <w14:schemeClr w14:val="tx1"/>
            </w14:solidFill>
          </w14:textFill>
        </w:rPr>
        <w:t>２、个别社工兼任处理机构事务</w:t>
      </w:r>
    </w:p>
    <w:p>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经审核发现，</w:t>
      </w:r>
      <w:r>
        <w:rPr>
          <w:rFonts w:hint="eastAsia" w:ascii="Times New Roman" w:hAnsi="Times New Roman" w:eastAsia="仿宋" w:cs="Times New Roman"/>
          <w:color w:val="000000" w:themeColor="text1"/>
          <w:sz w:val="28"/>
          <w:szCs w:val="28"/>
          <w14:textFill>
            <w14:solidFill>
              <w14:schemeClr w14:val="tx1"/>
            </w14:solidFill>
          </w14:textFill>
        </w:rPr>
        <w:t>2024年10月</w:t>
      </w:r>
      <w:r>
        <w:rPr>
          <w:rFonts w:hint="eastAsia" w:ascii="Times New Roman" w:hAnsi="Times New Roman" w:eastAsia="仿宋" w:cs="Times New Roman"/>
          <w:color w:val="000000" w:themeColor="text1"/>
          <w:sz w:val="28"/>
          <w:szCs w:val="28"/>
          <w:lang w:eastAsia="zh-CN"/>
          <w14:textFill>
            <w14:solidFill>
              <w14:schemeClr w14:val="tx1"/>
            </w14:solidFill>
          </w14:textFill>
        </w:rPr>
        <w:t>的</w:t>
      </w:r>
      <w:r>
        <w:rPr>
          <w:rFonts w:hint="eastAsia" w:ascii="Times New Roman" w:hAnsi="Times New Roman" w:eastAsia="仿宋" w:cs="Times New Roman"/>
          <w:color w:val="000000" w:themeColor="text1"/>
          <w:sz w:val="28"/>
          <w:szCs w:val="28"/>
          <w14:textFill>
            <w14:solidFill>
              <w14:schemeClr w14:val="tx1"/>
            </w14:solidFill>
          </w14:textFill>
        </w:rPr>
        <w:t>34号凭证支付体检费4,190.00元，所附《和悦社工2024年度员工体检通知》中负责人为沙湾社工站社工庾婉媚。经询问，机构表示由于体检地点安排在番禺市桥，由该社工统筹体检事务。</w:t>
      </w:r>
      <w:r>
        <w:rPr>
          <w:rFonts w:hint="eastAsia" w:ascii="Times New Roman" w:hAnsi="Times New Roman" w:eastAsia="仿宋_GB2312" w:cs="Times New Roman"/>
          <w:sz w:val="28"/>
          <w:szCs w:val="28"/>
        </w:rPr>
        <w:t>建议严格按照《广州市社工服务站管理办法》（穗府办</w:t>
      </w:r>
      <w:r>
        <w:rPr>
          <w:rFonts w:hint="eastAsia" w:ascii="仿宋_GB2312" w:hAnsi="仿宋_GB2312" w:eastAsia="仿宋_GB2312" w:cs="仿宋_GB2312"/>
          <w:sz w:val="28"/>
          <w:szCs w:val="28"/>
        </w:rPr>
        <w:t>〔</w:t>
      </w:r>
      <w:r>
        <w:rPr>
          <w:rFonts w:hint="eastAsia" w:ascii="Times New Roman" w:hAnsi="Times New Roman" w:eastAsia="仿宋_GB2312" w:cs="Times New Roman"/>
          <w:sz w:val="28"/>
          <w:szCs w:val="28"/>
        </w:rPr>
        <w:t>2023</w:t>
      </w:r>
      <w:r>
        <w:rPr>
          <w:rFonts w:hint="eastAsia" w:ascii="仿宋_GB2312" w:hAnsi="仿宋_GB2312" w:eastAsia="仿宋_GB2312" w:cs="仿宋_GB2312"/>
          <w:sz w:val="28"/>
          <w:szCs w:val="28"/>
        </w:rPr>
        <w:t>〕</w:t>
      </w:r>
      <w:r>
        <w:rPr>
          <w:rFonts w:hint="eastAsia" w:ascii="Times New Roman" w:hAnsi="Times New Roman" w:eastAsia="仿宋_GB2312" w:cs="Times New Roman"/>
          <w:sz w:val="28"/>
          <w:szCs w:val="28"/>
        </w:rPr>
        <w:t>7号）的规定，做到社工专职专用。</w:t>
      </w:r>
    </w:p>
    <w:p>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３、培训费支出报销单据相互矛盾</w:t>
      </w:r>
    </w:p>
    <w:p>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_GB2312" w:cs="Times New Roman"/>
          <w:sz w:val="28"/>
          <w:szCs w:val="28"/>
        </w:rPr>
        <w:t>经审核发现，2024年5月10日甲方承接机构与乙方广州兴帆文化传播有限公司签订《培训合同》，合同约定：经双方同意，由乙方培训师为甲方提供1场新员工入职培训服务。经查阅后附会议记录、2024年5月</w:t>
      </w:r>
      <w:r>
        <w:rPr>
          <w:rFonts w:hint="eastAsia" w:ascii="Times New Roman" w:hAnsi="Times New Roman" w:eastAsia="仿宋_GB2312" w:cs="Times New Roman"/>
          <w:sz w:val="28"/>
          <w:szCs w:val="28"/>
          <w:lang w:eastAsia="zh-CN"/>
        </w:rPr>
        <w:t>的</w:t>
      </w:r>
      <w:r>
        <w:rPr>
          <w:rFonts w:hint="eastAsia" w:ascii="Times New Roman" w:hAnsi="Times New Roman" w:eastAsia="仿宋_GB2312" w:cs="Times New Roman"/>
          <w:sz w:val="28"/>
          <w:szCs w:val="28"/>
        </w:rPr>
        <w:t>29号凭证报销意外保险费2,000.00元及</w:t>
      </w:r>
      <w:r>
        <w:rPr>
          <w:rFonts w:hint="eastAsia" w:ascii="Times New Roman" w:hAnsi="Times New Roman" w:eastAsia="仿宋" w:cs="Times New Roman"/>
          <w:color w:val="000000" w:themeColor="text1"/>
          <w:sz w:val="28"/>
          <w:szCs w:val="28"/>
          <w14:textFill>
            <w14:solidFill>
              <w14:schemeClr w14:val="tx1"/>
            </w14:solidFill>
          </w14:textFill>
        </w:rPr>
        <w:t>2024年10月</w:t>
      </w:r>
      <w:r>
        <w:rPr>
          <w:rFonts w:hint="eastAsia" w:ascii="Times New Roman" w:hAnsi="Times New Roman" w:eastAsia="仿宋" w:cs="Times New Roman"/>
          <w:color w:val="000000" w:themeColor="text1"/>
          <w:sz w:val="28"/>
          <w:szCs w:val="28"/>
          <w:lang w:eastAsia="zh-CN"/>
          <w14:textFill>
            <w14:solidFill>
              <w14:schemeClr w14:val="tx1"/>
            </w14:solidFill>
          </w14:textFill>
        </w:rPr>
        <w:t>的</w:t>
      </w:r>
      <w:r>
        <w:rPr>
          <w:rFonts w:hint="eastAsia" w:ascii="Times New Roman" w:hAnsi="Times New Roman" w:eastAsia="仿宋" w:cs="Times New Roman"/>
          <w:color w:val="000000" w:themeColor="text1"/>
          <w:sz w:val="28"/>
          <w:szCs w:val="28"/>
          <w14:textFill>
            <w14:solidFill>
              <w14:schemeClr w14:val="tx1"/>
            </w14:solidFill>
          </w14:textFill>
        </w:rPr>
        <w:t>34号凭证报销体检费4,190.00元所附人员名单表明该讲师“伍彩意”为承接机构员工。建议严格按照承接机构制定的《财务管理内控制度》第二部分财务报销流程管理规定执行，对真实性存疑的报销单据，财务部应拒绝报销。</w:t>
      </w:r>
    </w:p>
    <w:p>
      <w:pPr>
        <w:keepNext w:val="0"/>
        <w:keepLines w:val="0"/>
        <w:pageBreakBefore w:val="0"/>
        <w:widowControl w:val="0"/>
        <w:kinsoku/>
        <w:wordWrap/>
        <w:overflowPunct/>
        <w:topLinePunct w:val="0"/>
        <w:autoSpaceDE/>
        <w:autoSpaceDN/>
        <w:bidi w:val="0"/>
        <w:adjustRightInd/>
        <w:snapToGrid/>
        <w:spacing w:line="660" w:lineRule="exact"/>
        <w:ind w:right="0" w:rightChars="0" w:firstLine="562" w:firstLineChars="200"/>
        <w:textAlignment w:val="auto"/>
        <w:outlineLvl w:val="0"/>
        <w:rPr>
          <w:rFonts w:ascii="Times New Roman" w:hAnsi="Times New Roman" w:eastAsia="仿宋" w:cs="Times New Roman"/>
          <w:b/>
          <w:sz w:val="28"/>
          <w:szCs w:val="28"/>
        </w:rPr>
      </w:pPr>
      <w:r>
        <w:rPr>
          <w:rFonts w:hint="eastAsia" w:ascii="Times New Roman" w:hAnsi="Times New Roman" w:eastAsia="仿宋" w:cs="Times New Roman"/>
          <w:b/>
          <w:sz w:val="28"/>
          <w:szCs w:val="28"/>
        </w:rPr>
        <w:t>九</w:t>
      </w:r>
      <w:r>
        <w:rPr>
          <w:rFonts w:ascii="Times New Roman" w:hAnsi="Times New Roman" w:eastAsia="仿宋" w:cs="Times New Roman"/>
          <w:b/>
          <w:sz w:val="28"/>
          <w:szCs w:val="28"/>
        </w:rPr>
        <w:t>、风险提示</w:t>
      </w:r>
    </w:p>
    <w:p>
      <w:pPr>
        <w:keepNext w:val="0"/>
        <w:keepLines w:val="0"/>
        <w:pageBreakBefore w:val="0"/>
        <w:widowControl w:val="0"/>
        <w:kinsoku/>
        <w:wordWrap/>
        <w:overflowPunct/>
        <w:topLinePunct w:val="0"/>
        <w:autoSpaceDE/>
        <w:autoSpaceDN/>
        <w:bidi w:val="0"/>
        <w:adjustRightInd/>
        <w:snapToGrid/>
        <w:spacing w:line="660" w:lineRule="exact"/>
        <w:ind w:right="-2" w:firstLine="560" w:firstLineChars="200"/>
        <w:textAlignment w:val="auto"/>
        <w:outlineLvl w:val="0"/>
        <w:rPr>
          <w:rFonts w:ascii="Times New Roman" w:hAnsi="Times New Roman" w:eastAsia="仿宋" w:cs="Times New Roman"/>
          <w:b/>
          <w:sz w:val="28"/>
          <w:szCs w:val="28"/>
        </w:rPr>
      </w:pPr>
      <w:r>
        <w:rPr>
          <w:rFonts w:ascii="Times New Roman" w:hAnsi="Times New Roman" w:eastAsia="仿宋" w:cs="Times New Roman"/>
          <w:sz w:val="28"/>
          <w:szCs w:val="28"/>
        </w:rPr>
        <w:t>《广州市社工服务站管理办法》（穗府办</w:t>
      </w:r>
      <w:r>
        <w:rPr>
          <w:rFonts w:hint="eastAsia" w:ascii="仿宋_GB2312" w:hAnsi="仿宋_GB2312" w:eastAsia="仿宋_GB2312" w:cs="仿宋_GB2312"/>
          <w:sz w:val="28"/>
          <w:szCs w:val="28"/>
        </w:rPr>
        <w:t>〔</w:t>
      </w:r>
      <w:r>
        <w:rPr>
          <w:rFonts w:ascii="Times New Roman" w:hAnsi="Times New Roman" w:eastAsia="仿宋" w:cs="Times New Roman"/>
          <w:sz w:val="28"/>
          <w:szCs w:val="28"/>
        </w:rPr>
        <w:t>2023</w:t>
      </w:r>
      <w:r>
        <w:rPr>
          <w:rFonts w:hint="eastAsia" w:ascii="仿宋_GB2312" w:hAnsi="仿宋_GB2312" w:eastAsia="仿宋_GB2312" w:cs="仿宋_GB2312"/>
          <w:sz w:val="28"/>
          <w:szCs w:val="28"/>
        </w:rPr>
        <w:t>〕</w:t>
      </w:r>
      <w:r>
        <w:rPr>
          <w:rFonts w:ascii="Times New Roman" w:hAnsi="Times New Roman" w:eastAsia="仿宋" w:cs="Times New Roman"/>
          <w:sz w:val="28"/>
          <w:szCs w:val="28"/>
        </w:rPr>
        <w:t>7号）第十八条规定，整体协议期人员费用应当不</w:t>
      </w:r>
      <w:bookmarkStart w:id="3" w:name="_GoBack"/>
      <w:bookmarkEnd w:id="3"/>
      <w:r>
        <w:rPr>
          <w:rFonts w:ascii="Times New Roman" w:hAnsi="Times New Roman" w:eastAsia="仿宋" w:cs="Times New Roman"/>
          <w:sz w:val="28"/>
          <w:szCs w:val="28"/>
        </w:rPr>
        <w:t>低于项目经费总额的80%。经评估，</w:t>
      </w:r>
      <w:r>
        <w:rPr>
          <w:rFonts w:hint="eastAsia" w:ascii="Times New Roman" w:hAnsi="Times New Roman" w:eastAsia="仿宋" w:cs="Times New Roman"/>
          <w:sz w:val="28"/>
          <w:szCs w:val="28"/>
        </w:rPr>
        <w:t>2024年5月1日至2024年10月31日</w:t>
      </w:r>
      <w:r>
        <w:rPr>
          <w:rFonts w:ascii="Times New Roman" w:hAnsi="Times New Roman" w:eastAsia="仿宋" w:cs="Times New Roman"/>
          <w:sz w:val="28"/>
          <w:szCs w:val="28"/>
        </w:rPr>
        <w:t>，在整体协议期间过半（6个月/</w:t>
      </w:r>
      <w:r>
        <w:rPr>
          <w:rFonts w:hint="eastAsia" w:ascii="Times New Roman" w:hAnsi="Times New Roman" w:eastAsia="仿宋" w:cs="Times New Roman"/>
          <w:sz w:val="28"/>
          <w:szCs w:val="28"/>
        </w:rPr>
        <w:t>12</w:t>
      </w:r>
      <w:r>
        <w:rPr>
          <w:rFonts w:ascii="Times New Roman" w:hAnsi="Times New Roman" w:eastAsia="仿宋" w:cs="Times New Roman"/>
          <w:sz w:val="28"/>
          <w:szCs w:val="28"/>
        </w:rPr>
        <w:t>个月）的情况下，</w:t>
      </w:r>
      <w:r>
        <w:rPr>
          <w:rFonts w:hint="eastAsia" w:ascii="Times New Roman" w:hAnsi="Times New Roman" w:eastAsia="仿宋" w:cs="Times New Roman"/>
          <w:color w:val="000000" w:themeColor="text1"/>
          <w:sz w:val="28"/>
          <w:szCs w:val="28"/>
          <w14:textFill>
            <w14:solidFill>
              <w14:schemeClr w14:val="tx1"/>
            </w14:solidFill>
          </w14:textFill>
        </w:rPr>
        <w:t>沙湾社工站</w:t>
      </w:r>
      <w:r>
        <w:rPr>
          <w:rFonts w:ascii="Times New Roman" w:hAnsi="Times New Roman" w:eastAsia="仿宋" w:cs="Times New Roman"/>
          <w:sz w:val="28"/>
          <w:szCs w:val="28"/>
        </w:rPr>
        <w:t>人员费用支出占整体协议期应收服务经费35.46%，建议严格控制支出项目和支付进度，保障人员费用按整体协议期间规定限额完成支付。</w:t>
      </w:r>
    </w:p>
    <w:p>
      <w:pPr>
        <w:keepNext w:val="0"/>
        <w:keepLines w:val="0"/>
        <w:pageBreakBefore w:val="0"/>
        <w:widowControl w:val="0"/>
        <w:kinsoku/>
        <w:wordWrap/>
        <w:overflowPunct/>
        <w:topLinePunct w:val="0"/>
        <w:autoSpaceDE/>
        <w:autoSpaceDN/>
        <w:bidi w:val="0"/>
        <w:adjustRightInd/>
        <w:snapToGrid/>
        <w:spacing w:line="660" w:lineRule="exact"/>
        <w:ind w:right="0" w:rightChars="0" w:firstLine="562" w:firstLineChars="200"/>
        <w:textAlignment w:val="auto"/>
        <w:outlineLvl w:val="0"/>
        <w:rPr>
          <w:rFonts w:ascii="Times New Roman" w:hAnsi="Times New Roman" w:eastAsia="仿宋_GB2312" w:cs="Times New Roman"/>
          <w:sz w:val="28"/>
          <w:szCs w:val="28"/>
        </w:rPr>
      </w:pPr>
      <w:r>
        <w:rPr>
          <w:rFonts w:hint="eastAsia" w:ascii="Times New Roman" w:hAnsi="Times New Roman" w:eastAsia="仿宋_GB2312" w:cs="Times New Roman"/>
          <w:b/>
          <w:sz w:val="28"/>
          <w:szCs w:val="28"/>
        </w:rPr>
        <w:t>十、评估结论</w:t>
      </w:r>
    </w:p>
    <w:p>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经上述审核评估，我们认为广州市番禺区沙湾街社工服务站本次财务评估等级为：合格。</w:t>
      </w:r>
    </w:p>
    <w:p>
      <w:pPr>
        <w:keepNext w:val="0"/>
        <w:keepLines w:val="0"/>
        <w:pageBreakBefore w:val="0"/>
        <w:widowControl w:val="0"/>
        <w:kinsoku/>
        <w:wordWrap/>
        <w:overflowPunct/>
        <w:topLinePunct w:val="0"/>
        <w:autoSpaceDE/>
        <w:autoSpaceDN/>
        <w:bidi w:val="0"/>
        <w:adjustRightInd/>
        <w:snapToGrid/>
        <w:spacing w:line="660" w:lineRule="exact"/>
        <w:ind w:right="0" w:rightChars="0" w:firstLine="562" w:firstLineChars="200"/>
        <w:textAlignment w:val="auto"/>
        <w:outlineLvl w:val="0"/>
        <w:rPr>
          <w:rFonts w:hint="eastAsia" w:ascii="Times New Roman" w:hAnsi="Times New Roman" w:eastAsia="仿宋_GB2312" w:cs="Times New Roman"/>
          <w:b/>
          <w:sz w:val="28"/>
          <w:szCs w:val="28"/>
        </w:rPr>
      </w:pPr>
      <w:r>
        <w:rPr>
          <w:rFonts w:hint="eastAsia" w:ascii="Times New Roman" w:hAnsi="Times New Roman" w:eastAsia="仿宋_GB2312" w:cs="Times New Roman"/>
          <w:b/>
          <w:sz w:val="28"/>
          <w:szCs w:val="28"/>
        </w:rPr>
        <w:t>十一、其他事项</w:t>
      </w:r>
    </w:p>
    <w:p>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ascii="Times New Roman" w:hAnsi="Times New Roman" w:eastAsia="仿宋" w:cs="Times New Roman"/>
          <w:sz w:val="28"/>
          <w:szCs w:val="28"/>
        </w:rPr>
      </w:pPr>
      <w:r>
        <w:rPr>
          <w:rFonts w:hint="eastAsia" w:ascii="Times New Roman" w:hAnsi="Times New Roman" w:eastAsia="仿宋" w:cs="Times New Roman"/>
          <w:color w:val="000000" w:themeColor="text1"/>
          <w:sz w:val="28"/>
          <w:szCs w:val="28"/>
          <w14:textFill>
            <w14:solidFill>
              <w14:schemeClr w14:val="tx1"/>
            </w14:solidFill>
          </w14:textFill>
        </w:rPr>
        <w:t>本报告仅供本次委托目的，即对沙湾社工站财务评估使用，本事务所及本注册会计师不对运用本报告于其他目的造成的经济后果负责。</w:t>
      </w:r>
    </w:p>
    <w:p>
      <w:pPr>
        <w:spacing w:line="600" w:lineRule="exact"/>
        <w:ind w:left="850" w:leftChars="405"/>
        <w:rPr>
          <w:rFonts w:ascii="Times New Roman" w:hAnsi="Times New Roman" w:eastAsia="仿宋_GB2312" w:cs="Times New Roman"/>
          <w:sz w:val="28"/>
          <w:szCs w:val="28"/>
        </w:rPr>
      </w:pPr>
    </w:p>
    <w:p>
      <w:pPr>
        <w:spacing w:line="600" w:lineRule="exact"/>
        <w:ind w:left="850" w:leftChars="405"/>
        <w:rPr>
          <w:rFonts w:ascii="Times New Roman" w:hAnsi="Times New Roman" w:eastAsia="仿宋_GB2312" w:cs="Times New Roman"/>
          <w:sz w:val="28"/>
          <w:szCs w:val="28"/>
        </w:rPr>
      </w:pPr>
    </w:p>
    <w:p>
      <w:pPr>
        <w:spacing w:line="600" w:lineRule="exact"/>
        <w:ind w:left="850" w:leftChars="405"/>
        <w:rPr>
          <w:rFonts w:ascii="Times New Roman" w:hAnsi="Times New Roman" w:eastAsia="仿宋_GB2312"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tcPr>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hint="eastAsia" w:ascii="Times New Roman" w:hAnsi="Times New Roman" w:eastAsia="华文新魏" w:cs="Times New Roman"/>
                <w:b/>
                <w:color w:val="000000" w:themeColor="text1"/>
                <w:sz w:val="30"/>
                <w14:textFill>
                  <w14:solidFill>
                    <w14:schemeClr w14:val="tx1"/>
                  </w14:solidFill>
                </w14:textFill>
              </w:rPr>
              <w:t>广州业勤会计师事务所有限公司</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hint="eastAsia" w:ascii="Times New Roman" w:hAnsi="Times New Roman" w:eastAsia="华文新魏" w:cs="Times New Roman"/>
                <w:b/>
                <w:color w:val="000000" w:themeColor="text1"/>
                <w:sz w:val="28"/>
                <w14:textFill>
                  <w14:solidFill>
                    <w14:schemeClr w14:val="tx1"/>
                  </w14:solidFill>
                </w14:textFill>
              </w:rPr>
              <w:t>广州</w:t>
            </w:r>
            <w:r>
              <w:rPr>
                <w:rFonts w:ascii="Times New Roman" w:hAnsi="Times New Roman" w:eastAsia="华文新魏" w:cs="Times New Roman"/>
                <w:b/>
                <w:color w:val="000000" w:themeColor="text1"/>
                <w:sz w:val="28"/>
                <w14:textFill>
                  <w14:solidFill>
                    <w14:schemeClr w14:val="tx1"/>
                  </w14:solidFill>
                </w14:textFill>
              </w:rPr>
              <w:t>·</w:t>
            </w:r>
            <w:r>
              <w:rPr>
                <w:rFonts w:hint="eastAsia" w:ascii="Times New Roman" w:hAnsi="Times New Roman" w:eastAsia="华文新魏" w:cs="Times New Roman"/>
                <w:b/>
                <w:color w:val="000000" w:themeColor="text1"/>
                <w:sz w:val="28"/>
                <w14:textFill>
                  <w14:solidFill>
                    <w14:schemeClr w14:val="tx1"/>
                  </w14:solidFill>
                </w14:textFill>
              </w:rPr>
              <w:t>番禺</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jc w:val="center"/>
              <w:rPr>
                <w:rFonts w:ascii="Times New Roman" w:hAnsi="Times New Roman" w:eastAsia="华文新魏" w:cs="Times New Roman"/>
                <w:sz w:val="28"/>
                <w:szCs w:val="28"/>
              </w:rPr>
            </w:pPr>
            <w:r>
              <w:rPr>
                <w:rFonts w:hint="eastAsia"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宋体" w:cs="Times New Roman"/>
                <w:b/>
                <w:color w:val="000000" w:themeColor="text1"/>
                <w:sz w:val="28"/>
                <w14:textFill>
                  <w14:solidFill>
                    <w14:schemeClr w14:val="tx1"/>
                  </w14:solidFill>
                </w14:textFill>
              </w:rPr>
              <w:t>〇</w:t>
            </w:r>
            <w:r>
              <w:rPr>
                <w:rFonts w:hint="eastAsia" w:ascii="Times New Roman" w:hAnsi="Times New Roman" w:eastAsia="华文新魏" w:cs="Times New Roman"/>
                <w:b/>
                <w:color w:val="000000" w:themeColor="text1"/>
                <w:sz w:val="28"/>
                <w14:textFill>
                  <w14:solidFill>
                    <w14:schemeClr w14:val="tx1"/>
                  </w14:solidFill>
                </w14:textFill>
              </w:rPr>
              <w:t>二四年十二月二十六日</w:t>
            </w:r>
          </w:p>
        </w:tc>
        <w:tc>
          <w:tcPr>
            <w:tcW w:w="246" w:type="dxa"/>
          </w:tcPr>
          <w:p>
            <w:pPr>
              <w:spacing w:line="560" w:lineRule="exact"/>
              <w:ind w:right="-6"/>
              <w:rPr>
                <w:rFonts w:ascii="Times New Roman" w:hAnsi="Times New Roman" w:eastAsia="华文新魏" w:cs="Times New Roman"/>
                <w:sz w:val="28"/>
                <w:szCs w:val="28"/>
              </w:rPr>
            </w:pPr>
          </w:p>
        </w:tc>
        <w:tc>
          <w:tcPr>
            <w:tcW w:w="4618" w:type="dxa"/>
          </w:tcPr>
          <w:p>
            <w:pPr>
              <w:spacing w:line="320" w:lineRule="exact"/>
              <w:rPr>
                <w:rFonts w:ascii="Times New Roman" w:hAnsi="Times New Roman" w:cs="Times New Roman"/>
                <w:b/>
                <w:color w:val="000000" w:themeColor="text1"/>
                <w:sz w:val="30"/>
                <w14:textFill>
                  <w14:solidFill>
                    <w14:schemeClr w14:val="tx1"/>
                  </w14:solidFill>
                </w14:textFill>
              </w:rPr>
            </w:pPr>
            <w:r>
              <w:rPr>
                <w:rFonts w:hint="eastAsia" w:ascii="Times New Roman" w:hAnsi="Times New Roman" w:eastAsia="华文新魏" w:cs="Times New Roman"/>
                <w:b/>
                <w:color w:val="000000" w:themeColor="text1"/>
                <w:sz w:val="28"/>
                <w14:textFill>
                  <w14:solidFill>
                    <w14:schemeClr w14:val="tx1"/>
                  </w14:solidFill>
                </w14:textFill>
              </w:rPr>
              <w:t>中国注册会计师</w:t>
            </w:r>
            <w:r>
              <w:rPr>
                <w:rFonts w:hint="eastAsia" w:ascii="Times New Roman" w:hAnsi="Times New Roman" w:cs="Times New Roman"/>
                <w:b/>
                <w:color w:val="000000" w:themeColor="text1"/>
                <w:sz w:val="30"/>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hint="eastAsia" w:ascii="Times New Roman" w:hAnsi="Times New Roman" w:eastAsia="仿宋" w:cs="Times New Roman"/>
                <w:b/>
                <w:color w:val="000000" w:themeColor="text1"/>
                <w:sz w:val="28"/>
                <w:szCs w:val="28"/>
                <w14:textFill>
                  <w14:solidFill>
                    <w14:schemeClr w14:val="tx1"/>
                  </w14:solidFill>
                </w14:textFill>
              </w:rPr>
              <w:t>（</w:t>
            </w:r>
            <w:r>
              <w:rPr>
                <w:rFonts w:hint="eastAsia" w:ascii="Times New Roman" w:hAnsi="Times New Roman" w:eastAsia="华文新魏" w:cs="Times New Roman"/>
                <w:b/>
                <w:color w:val="000000" w:themeColor="text1"/>
                <w:sz w:val="28"/>
                <w:szCs w:val="28"/>
                <w14:textFill>
                  <w14:solidFill>
                    <w14:schemeClr w14:val="tx1"/>
                  </w14:solidFill>
                </w14:textFill>
              </w:rPr>
              <w:t>项目负责人</w:t>
            </w:r>
            <w:r>
              <w:rPr>
                <w:rFonts w:hint="eastAsia" w:ascii="Times New Roman" w:hAnsi="Times New Roman" w:eastAsia="仿宋" w:cs="Times New Roman"/>
                <w:b/>
                <w:color w:val="000000" w:themeColor="text1"/>
                <w:sz w:val="28"/>
                <w:szCs w:val="28"/>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rPr>
                <w:rFonts w:ascii="Times New Roman" w:hAnsi="Times New Roman" w:eastAsia="华文新魏" w:cs="Times New Roman"/>
                <w:sz w:val="28"/>
                <w:szCs w:val="28"/>
              </w:rPr>
            </w:pPr>
            <w:r>
              <w:rPr>
                <w:rFonts w:hint="eastAsia" w:ascii="Times New Roman" w:hAnsi="Times New Roman" w:eastAsia="华文新魏" w:cs="Times New Roman"/>
                <w:b/>
                <w:color w:val="000000" w:themeColor="text1"/>
                <w:sz w:val="28"/>
                <w14:textFill>
                  <w14:solidFill>
                    <w14:schemeClr w14:val="tx1"/>
                  </w14:solidFill>
                </w14:textFill>
              </w:rPr>
              <w:t>中国注册会计师</w:t>
            </w:r>
            <w:r>
              <w:rPr>
                <w:rFonts w:hint="eastAsia" w:ascii="Times New Roman" w:hAnsi="Times New Roman" w:cs="Times New Roman"/>
                <w:b/>
                <w:color w:val="000000" w:themeColor="text1"/>
                <w:sz w:val="30"/>
                <w14:textFill>
                  <w14:solidFill>
                    <w14:schemeClr w14:val="tx1"/>
                  </w14:solidFill>
                </w14:textFill>
              </w:rPr>
              <w:t>：</w:t>
            </w:r>
          </w:p>
        </w:tc>
      </w:tr>
    </w:tbl>
    <w:p>
      <w:pPr>
        <w:spacing w:line="20" w:lineRule="exact"/>
        <w:rPr>
          <w:rFonts w:ascii="Times New Roman" w:hAnsi="Times New Roman" w:eastAsia="仿宋_GB2312" w:cs="Times New Roman"/>
          <w:sz w:val="28"/>
          <w:szCs w:val="28"/>
        </w:rPr>
      </w:pPr>
    </w:p>
    <w:sectPr>
      <w:footerReference r:id="rId3" w:type="default"/>
      <w:pgSz w:w="11906" w:h="16838"/>
      <w:pgMar w:top="1134" w:right="1134" w:bottom="1134" w:left="1418" w:header="851" w:footer="85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docPartObj>
        <w:docPartGallery w:val="autotext"/>
      </w:docPartObj>
    </w:sdtPr>
    <w:sdtContent>
      <w:p>
        <w:pPr>
          <w:pStyle w:val="5"/>
          <w:jc w:val="center"/>
        </w:pPr>
        <w:r>
          <w:fldChar w:fldCharType="begin"/>
        </w:r>
        <w:r>
          <w:instrText xml:space="preserve">PAGE   \* MERGEFORMAT</w:instrText>
        </w:r>
        <w:r>
          <w:fldChar w:fldCharType="separate"/>
        </w:r>
        <w:r>
          <w:rPr>
            <w:lang w:val="zh-CN"/>
          </w:rPr>
          <w:t>8</w:t>
        </w:r>
        <w: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AB3320A"/>
    <w:multiLevelType w:val="multilevel"/>
    <w:tmpl w:val="6AB3320A"/>
    <w:lvl w:ilvl="0" w:tentative="0">
      <w:start w:val="1"/>
      <w:numFmt w:val="ideographEnclosedCircle"/>
      <w:lvlText w:val="%1"/>
      <w:lvlJc w:val="left"/>
      <w:pPr>
        <w:ind w:left="920" w:hanging="360"/>
      </w:pPr>
      <w:rPr>
        <w:rFonts w:hint="default" w:eastAsia="仿宋"/>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1B43"/>
    <w:rsid w:val="0000408A"/>
    <w:rsid w:val="00011264"/>
    <w:rsid w:val="00024FF8"/>
    <w:rsid w:val="0002755A"/>
    <w:rsid w:val="00030802"/>
    <w:rsid w:val="000317CE"/>
    <w:rsid w:val="00032744"/>
    <w:rsid w:val="0003344C"/>
    <w:rsid w:val="0003532C"/>
    <w:rsid w:val="0003670A"/>
    <w:rsid w:val="00036864"/>
    <w:rsid w:val="00041B6A"/>
    <w:rsid w:val="00043872"/>
    <w:rsid w:val="0004445D"/>
    <w:rsid w:val="00055B05"/>
    <w:rsid w:val="000562C5"/>
    <w:rsid w:val="00056EE9"/>
    <w:rsid w:val="0006463F"/>
    <w:rsid w:val="00064B63"/>
    <w:rsid w:val="00065A6C"/>
    <w:rsid w:val="00071FB1"/>
    <w:rsid w:val="00073645"/>
    <w:rsid w:val="00085C32"/>
    <w:rsid w:val="00097DB9"/>
    <w:rsid w:val="000A4214"/>
    <w:rsid w:val="000A488D"/>
    <w:rsid w:val="000B22C3"/>
    <w:rsid w:val="000B5517"/>
    <w:rsid w:val="000B62CD"/>
    <w:rsid w:val="000C4FB6"/>
    <w:rsid w:val="000D31B5"/>
    <w:rsid w:val="000D65F3"/>
    <w:rsid w:val="000E00E1"/>
    <w:rsid w:val="000E047D"/>
    <w:rsid w:val="000E6D81"/>
    <w:rsid w:val="000F0011"/>
    <w:rsid w:val="000F0440"/>
    <w:rsid w:val="000F4F6B"/>
    <w:rsid w:val="000F7065"/>
    <w:rsid w:val="00101D5C"/>
    <w:rsid w:val="00102433"/>
    <w:rsid w:val="00104BA9"/>
    <w:rsid w:val="00110769"/>
    <w:rsid w:val="00112A99"/>
    <w:rsid w:val="0011480E"/>
    <w:rsid w:val="00121ED1"/>
    <w:rsid w:val="0012230B"/>
    <w:rsid w:val="00125BBC"/>
    <w:rsid w:val="00133E77"/>
    <w:rsid w:val="00135F6B"/>
    <w:rsid w:val="001370D5"/>
    <w:rsid w:val="00141B82"/>
    <w:rsid w:val="00141E48"/>
    <w:rsid w:val="0014748D"/>
    <w:rsid w:val="00147505"/>
    <w:rsid w:val="001522CB"/>
    <w:rsid w:val="001524AE"/>
    <w:rsid w:val="00157073"/>
    <w:rsid w:val="0015779A"/>
    <w:rsid w:val="0016124C"/>
    <w:rsid w:val="00161623"/>
    <w:rsid w:val="00164A86"/>
    <w:rsid w:val="0016508D"/>
    <w:rsid w:val="00171040"/>
    <w:rsid w:val="00172280"/>
    <w:rsid w:val="00172D3F"/>
    <w:rsid w:val="001839F4"/>
    <w:rsid w:val="00185C33"/>
    <w:rsid w:val="00191F3C"/>
    <w:rsid w:val="001973EB"/>
    <w:rsid w:val="001A0108"/>
    <w:rsid w:val="001A128C"/>
    <w:rsid w:val="001A70D8"/>
    <w:rsid w:val="001A795B"/>
    <w:rsid w:val="001B0C80"/>
    <w:rsid w:val="001B2890"/>
    <w:rsid w:val="001B2BB1"/>
    <w:rsid w:val="001C5BF2"/>
    <w:rsid w:val="001D0EB6"/>
    <w:rsid w:val="001D4873"/>
    <w:rsid w:val="001D4A1C"/>
    <w:rsid w:val="001E0431"/>
    <w:rsid w:val="001E2299"/>
    <w:rsid w:val="001E3968"/>
    <w:rsid w:val="001E6903"/>
    <w:rsid w:val="001E73AE"/>
    <w:rsid w:val="001F4AF2"/>
    <w:rsid w:val="001F6520"/>
    <w:rsid w:val="001F6681"/>
    <w:rsid w:val="001F72D5"/>
    <w:rsid w:val="00200AB0"/>
    <w:rsid w:val="00202633"/>
    <w:rsid w:val="00206736"/>
    <w:rsid w:val="002146CD"/>
    <w:rsid w:val="002166A8"/>
    <w:rsid w:val="002220DE"/>
    <w:rsid w:val="002243A8"/>
    <w:rsid w:val="00225676"/>
    <w:rsid w:val="00235BF3"/>
    <w:rsid w:val="00237B72"/>
    <w:rsid w:val="00243C5B"/>
    <w:rsid w:val="002454FC"/>
    <w:rsid w:val="00260FED"/>
    <w:rsid w:val="00262365"/>
    <w:rsid w:val="00262681"/>
    <w:rsid w:val="002626C2"/>
    <w:rsid w:val="002647B9"/>
    <w:rsid w:val="00265F2A"/>
    <w:rsid w:val="00266A11"/>
    <w:rsid w:val="00266CEA"/>
    <w:rsid w:val="00270C73"/>
    <w:rsid w:val="00271874"/>
    <w:rsid w:val="00273BCE"/>
    <w:rsid w:val="002845EB"/>
    <w:rsid w:val="00286B33"/>
    <w:rsid w:val="002A000C"/>
    <w:rsid w:val="002A46A4"/>
    <w:rsid w:val="002A7C06"/>
    <w:rsid w:val="002B0B68"/>
    <w:rsid w:val="002B37E5"/>
    <w:rsid w:val="002B4DAA"/>
    <w:rsid w:val="002B5A2A"/>
    <w:rsid w:val="002C6261"/>
    <w:rsid w:val="002C758E"/>
    <w:rsid w:val="002D38E9"/>
    <w:rsid w:val="002E0308"/>
    <w:rsid w:val="002E1BD7"/>
    <w:rsid w:val="002E1C51"/>
    <w:rsid w:val="002E4330"/>
    <w:rsid w:val="002E4CDF"/>
    <w:rsid w:val="0030480B"/>
    <w:rsid w:val="00306932"/>
    <w:rsid w:val="0030717C"/>
    <w:rsid w:val="00312000"/>
    <w:rsid w:val="00320181"/>
    <w:rsid w:val="0032080E"/>
    <w:rsid w:val="00323877"/>
    <w:rsid w:val="003318A3"/>
    <w:rsid w:val="00331C3E"/>
    <w:rsid w:val="00331E74"/>
    <w:rsid w:val="00341215"/>
    <w:rsid w:val="00344B95"/>
    <w:rsid w:val="00347270"/>
    <w:rsid w:val="00350683"/>
    <w:rsid w:val="00350CDA"/>
    <w:rsid w:val="0035269F"/>
    <w:rsid w:val="0036283E"/>
    <w:rsid w:val="00364099"/>
    <w:rsid w:val="00374A71"/>
    <w:rsid w:val="00387479"/>
    <w:rsid w:val="0039097A"/>
    <w:rsid w:val="003A1264"/>
    <w:rsid w:val="003A1903"/>
    <w:rsid w:val="003B2BC5"/>
    <w:rsid w:val="003B3AEB"/>
    <w:rsid w:val="003D0F2F"/>
    <w:rsid w:val="003D2D92"/>
    <w:rsid w:val="003E3835"/>
    <w:rsid w:val="003E56B4"/>
    <w:rsid w:val="003E667B"/>
    <w:rsid w:val="003E7C2B"/>
    <w:rsid w:val="003F0A6B"/>
    <w:rsid w:val="003F133D"/>
    <w:rsid w:val="003F2D93"/>
    <w:rsid w:val="003F6DF9"/>
    <w:rsid w:val="0040031D"/>
    <w:rsid w:val="00402EDC"/>
    <w:rsid w:val="00410E86"/>
    <w:rsid w:val="00410F0A"/>
    <w:rsid w:val="0041472D"/>
    <w:rsid w:val="00415C4F"/>
    <w:rsid w:val="00416C0A"/>
    <w:rsid w:val="004271E7"/>
    <w:rsid w:val="00427E8F"/>
    <w:rsid w:val="004356BB"/>
    <w:rsid w:val="00437061"/>
    <w:rsid w:val="00441B0C"/>
    <w:rsid w:val="00446547"/>
    <w:rsid w:val="00456A81"/>
    <w:rsid w:val="004639CE"/>
    <w:rsid w:val="00467F29"/>
    <w:rsid w:val="004727E9"/>
    <w:rsid w:val="00481251"/>
    <w:rsid w:val="004849B7"/>
    <w:rsid w:val="00491F7D"/>
    <w:rsid w:val="004953B7"/>
    <w:rsid w:val="00496247"/>
    <w:rsid w:val="004B2146"/>
    <w:rsid w:val="004B266C"/>
    <w:rsid w:val="004B69E8"/>
    <w:rsid w:val="004B7044"/>
    <w:rsid w:val="004C2255"/>
    <w:rsid w:val="004C265D"/>
    <w:rsid w:val="004D4949"/>
    <w:rsid w:val="004E2951"/>
    <w:rsid w:val="004F0B6D"/>
    <w:rsid w:val="004F1B7D"/>
    <w:rsid w:val="004F39D9"/>
    <w:rsid w:val="0050140C"/>
    <w:rsid w:val="00510E05"/>
    <w:rsid w:val="00513297"/>
    <w:rsid w:val="005147E9"/>
    <w:rsid w:val="00515AD3"/>
    <w:rsid w:val="00516189"/>
    <w:rsid w:val="00521B04"/>
    <w:rsid w:val="00525CAD"/>
    <w:rsid w:val="0052700D"/>
    <w:rsid w:val="005309EB"/>
    <w:rsid w:val="0053169B"/>
    <w:rsid w:val="00531F80"/>
    <w:rsid w:val="0053496B"/>
    <w:rsid w:val="005363DD"/>
    <w:rsid w:val="00541C5B"/>
    <w:rsid w:val="005442C3"/>
    <w:rsid w:val="0054626A"/>
    <w:rsid w:val="00546E36"/>
    <w:rsid w:val="00547ECA"/>
    <w:rsid w:val="00550D9E"/>
    <w:rsid w:val="005627A6"/>
    <w:rsid w:val="00563632"/>
    <w:rsid w:val="005708A7"/>
    <w:rsid w:val="00572760"/>
    <w:rsid w:val="00572BD3"/>
    <w:rsid w:val="0057312B"/>
    <w:rsid w:val="0057420A"/>
    <w:rsid w:val="00583524"/>
    <w:rsid w:val="00594D45"/>
    <w:rsid w:val="005A10C4"/>
    <w:rsid w:val="005B1BE8"/>
    <w:rsid w:val="005B6C76"/>
    <w:rsid w:val="005C0379"/>
    <w:rsid w:val="005C09AF"/>
    <w:rsid w:val="005C4C36"/>
    <w:rsid w:val="005C6036"/>
    <w:rsid w:val="005C7CB0"/>
    <w:rsid w:val="005D085A"/>
    <w:rsid w:val="005D2D76"/>
    <w:rsid w:val="005D65B4"/>
    <w:rsid w:val="005E06D8"/>
    <w:rsid w:val="005E0CFD"/>
    <w:rsid w:val="005E48DD"/>
    <w:rsid w:val="005E7018"/>
    <w:rsid w:val="005F06AB"/>
    <w:rsid w:val="005F164C"/>
    <w:rsid w:val="005F32C5"/>
    <w:rsid w:val="005F35CE"/>
    <w:rsid w:val="005F35D2"/>
    <w:rsid w:val="005F52F8"/>
    <w:rsid w:val="005F5FE2"/>
    <w:rsid w:val="005F6D4D"/>
    <w:rsid w:val="005F74CF"/>
    <w:rsid w:val="00602725"/>
    <w:rsid w:val="00602BB4"/>
    <w:rsid w:val="00610693"/>
    <w:rsid w:val="0061765F"/>
    <w:rsid w:val="00621104"/>
    <w:rsid w:val="0062346F"/>
    <w:rsid w:val="0062363B"/>
    <w:rsid w:val="00626813"/>
    <w:rsid w:val="00632C66"/>
    <w:rsid w:val="00633E4B"/>
    <w:rsid w:val="00637E1A"/>
    <w:rsid w:val="00653BBB"/>
    <w:rsid w:val="00655B2F"/>
    <w:rsid w:val="00671241"/>
    <w:rsid w:val="00674EA1"/>
    <w:rsid w:val="00675A60"/>
    <w:rsid w:val="00683341"/>
    <w:rsid w:val="00683D40"/>
    <w:rsid w:val="006845F1"/>
    <w:rsid w:val="00692956"/>
    <w:rsid w:val="00696135"/>
    <w:rsid w:val="006B0323"/>
    <w:rsid w:val="006B0BCE"/>
    <w:rsid w:val="006B67E2"/>
    <w:rsid w:val="006C49BA"/>
    <w:rsid w:val="006C4B01"/>
    <w:rsid w:val="006C5DC5"/>
    <w:rsid w:val="006C65EA"/>
    <w:rsid w:val="006C6E9B"/>
    <w:rsid w:val="006D0434"/>
    <w:rsid w:val="006D1CA1"/>
    <w:rsid w:val="006D4950"/>
    <w:rsid w:val="006E1815"/>
    <w:rsid w:val="006E21E8"/>
    <w:rsid w:val="006E3845"/>
    <w:rsid w:val="006E4926"/>
    <w:rsid w:val="006E7AF9"/>
    <w:rsid w:val="006F3914"/>
    <w:rsid w:val="006F3969"/>
    <w:rsid w:val="007032DF"/>
    <w:rsid w:val="0070572C"/>
    <w:rsid w:val="00710A61"/>
    <w:rsid w:val="007173BB"/>
    <w:rsid w:val="00720E80"/>
    <w:rsid w:val="00721CB2"/>
    <w:rsid w:val="007340D0"/>
    <w:rsid w:val="00736038"/>
    <w:rsid w:val="00742255"/>
    <w:rsid w:val="0074347B"/>
    <w:rsid w:val="00745A2F"/>
    <w:rsid w:val="00746038"/>
    <w:rsid w:val="0074619F"/>
    <w:rsid w:val="00746338"/>
    <w:rsid w:val="00747433"/>
    <w:rsid w:val="00750B74"/>
    <w:rsid w:val="0075737E"/>
    <w:rsid w:val="00767C0E"/>
    <w:rsid w:val="00771D21"/>
    <w:rsid w:val="007801B6"/>
    <w:rsid w:val="007926ED"/>
    <w:rsid w:val="007927E1"/>
    <w:rsid w:val="00792F81"/>
    <w:rsid w:val="007A3244"/>
    <w:rsid w:val="007A5A98"/>
    <w:rsid w:val="007A5F59"/>
    <w:rsid w:val="007B5343"/>
    <w:rsid w:val="007B7796"/>
    <w:rsid w:val="007B7949"/>
    <w:rsid w:val="007C2447"/>
    <w:rsid w:val="007C356F"/>
    <w:rsid w:val="007C5CCC"/>
    <w:rsid w:val="007C6683"/>
    <w:rsid w:val="007D695E"/>
    <w:rsid w:val="007D7166"/>
    <w:rsid w:val="007E2480"/>
    <w:rsid w:val="007F090D"/>
    <w:rsid w:val="00802451"/>
    <w:rsid w:val="0080471D"/>
    <w:rsid w:val="0080773B"/>
    <w:rsid w:val="00807BA7"/>
    <w:rsid w:val="00807BE3"/>
    <w:rsid w:val="00810A07"/>
    <w:rsid w:val="008174E2"/>
    <w:rsid w:val="00820025"/>
    <w:rsid w:val="0082062E"/>
    <w:rsid w:val="00822EFC"/>
    <w:rsid w:val="008246C5"/>
    <w:rsid w:val="00824AE7"/>
    <w:rsid w:val="008321FE"/>
    <w:rsid w:val="00847412"/>
    <w:rsid w:val="008475C0"/>
    <w:rsid w:val="00852D37"/>
    <w:rsid w:val="00854AAD"/>
    <w:rsid w:val="00855127"/>
    <w:rsid w:val="0085513B"/>
    <w:rsid w:val="00856263"/>
    <w:rsid w:val="00856883"/>
    <w:rsid w:val="0086051F"/>
    <w:rsid w:val="00862E66"/>
    <w:rsid w:val="00870E18"/>
    <w:rsid w:val="00871D9B"/>
    <w:rsid w:val="008760FC"/>
    <w:rsid w:val="00883C29"/>
    <w:rsid w:val="0088606E"/>
    <w:rsid w:val="008942DD"/>
    <w:rsid w:val="00895498"/>
    <w:rsid w:val="00896102"/>
    <w:rsid w:val="00897C30"/>
    <w:rsid w:val="00897D40"/>
    <w:rsid w:val="008A2A7D"/>
    <w:rsid w:val="008A5934"/>
    <w:rsid w:val="008A5ADF"/>
    <w:rsid w:val="008B601D"/>
    <w:rsid w:val="008B7568"/>
    <w:rsid w:val="008B7EF7"/>
    <w:rsid w:val="008C05A2"/>
    <w:rsid w:val="008C15F9"/>
    <w:rsid w:val="008C1E02"/>
    <w:rsid w:val="008C3543"/>
    <w:rsid w:val="008C56DE"/>
    <w:rsid w:val="008C7615"/>
    <w:rsid w:val="008C7B77"/>
    <w:rsid w:val="008D1DB3"/>
    <w:rsid w:val="008D477E"/>
    <w:rsid w:val="008D549A"/>
    <w:rsid w:val="008D5D9F"/>
    <w:rsid w:val="008E0B3B"/>
    <w:rsid w:val="008E4E20"/>
    <w:rsid w:val="008E6127"/>
    <w:rsid w:val="008F0DDF"/>
    <w:rsid w:val="009005D9"/>
    <w:rsid w:val="00903490"/>
    <w:rsid w:val="00905374"/>
    <w:rsid w:val="009064EB"/>
    <w:rsid w:val="00907484"/>
    <w:rsid w:val="009107C2"/>
    <w:rsid w:val="009160E4"/>
    <w:rsid w:val="00924FD5"/>
    <w:rsid w:val="00926A47"/>
    <w:rsid w:val="00930A80"/>
    <w:rsid w:val="00933CB6"/>
    <w:rsid w:val="009365DC"/>
    <w:rsid w:val="009367AD"/>
    <w:rsid w:val="0094095E"/>
    <w:rsid w:val="00940CE0"/>
    <w:rsid w:val="00942D24"/>
    <w:rsid w:val="00943A6F"/>
    <w:rsid w:val="0094449E"/>
    <w:rsid w:val="00951499"/>
    <w:rsid w:val="00952099"/>
    <w:rsid w:val="00953A03"/>
    <w:rsid w:val="00953A8A"/>
    <w:rsid w:val="0095423D"/>
    <w:rsid w:val="0095703D"/>
    <w:rsid w:val="00960F7D"/>
    <w:rsid w:val="009613FE"/>
    <w:rsid w:val="0096190D"/>
    <w:rsid w:val="009648B2"/>
    <w:rsid w:val="00967409"/>
    <w:rsid w:val="009759AE"/>
    <w:rsid w:val="00975FDD"/>
    <w:rsid w:val="009816F9"/>
    <w:rsid w:val="0099096A"/>
    <w:rsid w:val="0099451A"/>
    <w:rsid w:val="00997BCF"/>
    <w:rsid w:val="009A0C80"/>
    <w:rsid w:val="009A2387"/>
    <w:rsid w:val="009A2A9F"/>
    <w:rsid w:val="009A51D4"/>
    <w:rsid w:val="009A6388"/>
    <w:rsid w:val="009A7747"/>
    <w:rsid w:val="009C3790"/>
    <w:rsid w:val="009C3CCD"/>
    <w:rsid w:val="009C3DEA"/>
    <w:rsid w:val="009C42D0"/>
    <w:rsid w:val="009C6946"/>
    <w:rsid w:val="009D2645"/>
    <w:rsid w:val="009D44FC"/>
    <w:rsid w:val="009F45DF"/>
    <w:rsid w:val="009F4BAA"/>
    <w:rsid w:val="009F69AC"/>
    <w:rsid w:val="00A00785"/>
    <w:rsid w:val="00A02EAF"/>
    <w:rsid w:val="00A15DDD"/>
    <w:rsid w:val="00A21C64"/>
    <w:rsid w:val="00A25727"/>
    <w:rsid w:val="00A26351"/>
    <w:rsid w:val="00A31735"/>
    <w:rsid w:val="00A36BC8"/>
    <w:rsid w:val="00A411C8"/>
    <w:rsid w:val="00A42F36"/>
    <w:rsid w:val="00A43041"/>
    <w:rsid w:val="00A43D5E"/>
    <w:rsid w:val="00A44649"/>
    <w:rsid w:val="00A459DD"/>
    <w:rsid w:val="00A578BB"/>
    <w:rsid w:val="00A61E38"/>
    <w:rsid w:val="00A62367"/>
    <w:rsid w:val="00A66FCD"/>
    <w:rsid w:val="00A67BD5"/>
    <w:rsid w:val="00A67D24"/>
    <w:rsid w:val="00A74220"/>
    <w:rsid w:val="00A9361A"/>
    <w:rsid w:val="00A9437D"/>
    <w:rsid w:val="00A95270"/>
    <w:rsid w:val="00AA19DE"/>
    <w:rsid w:val="00AA275E"/>
    <w:rsid w:val="00AA681D"/>
    <w:rsid w:val="00AA784F"/>
    <w:rsid w:val="00AB0656"/>
    <w:rsid w:val="00AC58BD"/>
    <w:rsid w:val="00AC5C43"/>
    <w:rsid w:val="00AC65FD"/>
    <w:rsid w:val="00AD1E6B"/>
    <w:rsid w:val="00AD6EB8"/>
    <w:rsid w:val="00AD7854"/>
    <w:rsid w:val="00AE0DC0"/>
    <w:rsid w:val="00AE18D0"/>
    <w:rsid w:val="00AE285D"/>
    <w:rsid w:val="00AE3E25"/>
    <w:rsid w:val="00AE7B51"/>
    <w:rsid w:val="00AF0139"/>
    <w:rsid w:val="00AF23E9"/>
    <w:rsid w:val="00AF3EF7"/>
    <w:rsid w:val="00AF5169"/>
    <w:rsid w:val="00B00C74"/>
    <w:rsid w:val="00B04B9E"/>
    <w:rsid w:val="00B22BB9"/>
    <w:rsid w:val="00B27A0F"/>
    <w:rsid w:val="00B316D4"/>
    <w:rsid w:val="00B3292D"/>
    <w:rsid w:val="00B338AF"/>
    <w:rsid w:val="00B37757"/>
    <w:rsid w:val="00B406D2"/>
    <w:rsid w:val="00B41E70"/>
    <w:rsid w:val="00B45DD2"/>
    <w:rsid w:val="00B45FAC"/>
    <w:rsid w:val="00B47376"/>
    <w:rsid w:val="00B5273E"/>
    <w:rsid w:val="00B55A3F"/>
    <w:rsid w:val="00B61767"/>
    <w:rsid w:val="00B634BC"/>
    <w:rsid w:val="00B66EF3"/>
    <w:rsid w:val="00B71517"/>
    <w:rsid w:val="00B73D8A"/>
    <w:rsid w:val="00B74E6E"/>
    <w:rsid w:val="00B759DC"/>
    <w:rsid w:val="00B777DB"/>
    <w:rsid w:val="00B86605"/>
    <w:rsid w:val="00B9463E"/>
    <w:rsid w:val="00B94C44"/>
    <w:rsid w:val="00BA191A"/>
    <w:rsid w:val="00BA4475"/>
    <w:rsid w:val="00BB0FC4"/>
    <w:rsid w:val="00BB6453"/>
    <w:rsid w:val="00BC27F3"/>
    <w:rsid w:val="00BC46BE"/>
    <w:rsid w:val="00BC5DCE"/>
    <w:rsid w:val="00BC7ED9"/>
    <w:rsid w:val="00BD2F47"/>
    <w:rsid w:val="00BE22A5"/>
    <w:rsid w:val="00BE37CD"/>
    <w:rsid w:val="00BE4354"/>
    <w:rsid w:val="00BE4B22"/>
    <w:rsid w:val="00BE57EE"/>
    <w:rsid w:val="00BE62D2"/>
    <w:rsid w:val="00BF6B88"/>
    <w:rsid w:val="00BF6B8B"/>
    <w:rsid w:val="00BF78DA"/>
    <w:rsid w:val="00C02AF0"/>
    <w:rsid w:val="00C03042"/>
    <w:rsid w:val="00C033D6"/>
    <w:rsid w:val="00C067F2"/>
    <w:rsid w:val="00C10D35"/>
    <w:rsid w:val="00C12FF3"/>
    <w:rsid w:val="00C2086D"/>
    <w:rsid w:val="00C22583"/>
    <w:rsid w:val="00C23D3A"/>
    <w:rsid w:val="00C26635"/>
    <w:rsid w:val="00C26C87"/>
    <w:rsid w:val="00C31C10"/>
    <w:rsid w:val="00C35DDF"/>
    <w:rsid w:val="00C371F4"/>
    <w:rsid w:val="00C40FEB"/>
    <w:rsid w:val="00C41CDC"/>
    <w:rsid w:val="00C41DD8"/>
    <w:rsid w:val="00C4249A"/>
    <w:rsid w:val="00C45051"/>
    <w:rsid w:val="00C45339"/>
    <w:rsid w:val="00C46491"/>
    <w:rsid w:val="00C50F29"/>
    <w:rsid w:val="00C61FF5"/>
    <w:rsid w:val="00C7566B"/>
    <w:rsid w:val="00C81C71"/>
    <w:rsid w:val="00C827D2"/>
    <w:rsid w:val="00C83AFD"/>
    <w:rsid w:val="00C926AD"/>
    <w:rsid w:val="00CA39FD"/>
    <w:rsid w:val="00CA77C7"/>
    <w:rsid w:val="00CB0692"/>
    <w:rsid w:val="00CB6260"/>
    <w:rsid w:val="00CC094B"/>
    <w:rsid w:val="00CC7FE9"/>
    <w:rsid w:val="00CD0119"/>
    <w:rsid w:val="00CD0C4F"/>
    <w:rsid w:val="00CD2143"/>
    <w:rsid w:val="00CD3721"/>
    <w:rsid w:val="00CD408C"/>
    <w:rsid w:val="00CD5A9E"/>
    <w:rsid w:val="00CD5E58"/>
    <w:rsid w:val="00CD60B2"/>
    <w:rsid w:val="00CD62D5"/>
    <w:rsid w:val="00CE08B9"/>
    <w:rsid w:val="00CE3161"/>
    <w:rsid w:val="00CF19D8"/>
    <w:rsid w:val="00D024C8"/>
    <w:rsid w:val="00D0409C"/>
    <w:rsid w:val="00D0784F"/>
    <w:rsid w:val="00D10308"/>
    <w:rsid w:val="00D144A2"/>
    <w:rsid w:val="00D21D72"/>
    <w:rsid w:val="00D22C6A"/>
    <w:rsid w:val="00D24776"/>
    <w:rsid w:val="00D25827"/>
    <w:rsid w:val="00D275F8"/>
    <w:rsid w:val="00D27AAF"/>
    <w:rsid w:val="00D32131"/>
    <w:rsid w:val="00D32C3A"/>
    <w:rsid w:val="00D348FD"/>
    <w:rsid w:val="00D40ACE"/>
    <w:rsid w:val="00D44BFD"/>
    <w:rsid w:val="00D47C2A"/>
    <w:rsid w:val="00D51A02"/>
    <w:rsid w:val="00D548C5"/>
    <w:rsid w:val="00D60B61"/>
    <w:rsid w:val="00D752C9"/>
    <w:rsid w:val="00D76704"/>
    <w:rsid w:val="00D77A77"/>
    <w:rsid w:val="00D82197"/>
    <w:rsid w:val="00D86161"/>
    <w:rsid w:val="00D867E3"/>
    <w:rsid w:val="00D93807"/>
    <w:rsid w:val="00D945A2"/>
    <w:rsid w:val="00D97736"/>
    <w:rsid w:val="00DA02C1"/>
    <w:rsid w:val="00DA287A"/>
    <w:rsid w:val="00DB02C4"/>
    <w:rsid w:val="00DB384D"/>
    <w:rsid w:val="00DB7E20"/>
    <w:rsid w:val="00DD05F2"/>
    <w:rsid w:val="00DD1165"/>
    <w:rsid w:val="00DD354F"/>
    <w:rsid w:val="00DD4EA7"/>
    <w:rsid w:val="00DD6648"/>
    <w:rsid w:val="00DE2776"/>
    <w:rsid w:val="00DE38B1"/>
    <w:rsid w:val="00DE6350"/>
    <w:rsid w:val="00DE69C7"/>
    <w:rsid w:val="00DF02A5"/>
    <w:rsid w:val="00E03CD0"/>
    <w:rsid w:val="00E1694E"/>
    <w:rsid w:val="00E21B1D"/>
    <w:rsid w:val="00E22155"/>
    <w:rsid w:val="00E2471E"/>
    <w:rsid w:val="00E31E66"/>
    <w:rsid w:val="00E42764"/>
    <w:rsid w:val="00E50F22"/>
    <w:rsid w:val="00E52014"/>
    <w:rsid w:val="00E54144"/>
    <w:rsid w:val="00E56A70"/>
    <w:rsid w:val="00E57618"/>
    <w:rsid w:val="00E57C7F"/>
    <w:rsid w:val="00E61107"/>
    <w:rsid w:val="00E612B7"/>
    <w:rsid w:val="00E62820"/>
    <w:rsid w:val="00E70D75"/>
    <w:rsid w:val="00E72E37"/>
    <w:rsid w:val="00E75437"/>
    <w:rsid w:val="00E762BE"/>
    <w:rsid w:val="00E822DD"/>
    <w:rsid w:val="00E851CE"/>
    <w:rsid w:val="00E86E25"/>
    <w:rsid w:val="00EA0393"/>
    <w:rsid w:val="00EA08AE"/>
    <w:rsid w:val="00EA6F18"/>
    <w:rsid w:val="00EC0150"/>
    <w:rsid w:val="00EC2D44"/>
    <w:rsid w:val="00EC35AE"/>
    <w:rsid w:val="00EC54BC"/>
    <w:rsid w:val="00EC60F4"/>
    <w:rsid w:val="00ED03C6"/>
    <w:rsid w:val="00ED03D7"/>
    <w:rsid w:val="00ED40AB"/>
    <w:rsid w:val="00ED4543"/>
    <w:rsid w:val="00EE3F1D"/>
    <w:rsid w:val="00EE58C3"/>
    <w:rsid w:val="00EE6997"/>
    <w:rsid w:val="00EF35A0"/>
    <w:rsid w:val="00EF4280"/>
    <w:rsid w:val="00EF7ACF"/>
    <w:rsid w:val="00EF7D44"/>
    <w:rsid w:val="00F055B8"/>
    <w:rsid w:val="00F12621"/>
    <w:rsid w:val="00F14556"/>
    <w:rsid w:val="00F1624D"/>
    <w:rsid w:val="00F20D27"/>
    <w:rsid w:val="00F226C8"/>
    <w:rsid w:val="00F25686"/>
    <w:rsid w:val="00F25D1D"/>
    <w:rsid w:val="00F279E8"/>
    <w:rsid w:val="00F31B05"/>
    <w:rsid w:val="00F3345A"/>
    <w:rsid w:val="00F3637E"/>
    <w:rsid w:val="00F36B85"/>
    <w:rsid w:val="00F52AB6"/>
    <w:rsid w:val="00F537EB"/>
    <w:rsid w:val="00F5464D"/>
    <w:rsid w:val="00F549A2"/>
    <w:rsid w:val="00F61947"/>
    <w:rsid w:val="00F66AC5"/>
    <w:rsid w:val="00F73C1E"/>
    <w:rsid w:val="00F76E90"/>
    <w:rsid w:val="00F801CF"/>
    <w:rsid w:val="00F81739"/>
    <w:rsid w:val="00F82BD6"/>
    <w:rsid w:val="00F82D47"/>
    <w:rsid w:val="00F85590"/>
    <w:rsid w:val="00F87018"/>
    <w:rsid w:val="00F971D2"/>
    <w:rsid w:val="00FA1C78"/>
    <w:rsid w:val="00FB1E10"/>
    <w:rsid w:val="00FB6DAA"/>
    <w:rsid w:val="00FC147F"/>
    <w:rsid w:val="00FC4BF2"/>
    <w:rsid w:val="00FD3E88"/>
    <w:rsid w:val="00FD45C2"/>
    <w:rsid w:val="00FF0E1A"/>
    <w:rsid w:val="00FF2A48"/>
    <w:rsid w:val="0B8366F4"/>
    <w:rsid w:val="21FA308B"/>
    <w:rsid w:val="21FF4E64"/>
    <w:rsid w:val="2450357F"/>
    <w:rsid w:val="431301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Indent"/>
    <w:basedOn w:val="1"/>
    <w:link w:val="15"/>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9"/>
    <w:qFormat/>
    <w:uiPriority w:val="0"/>
    <w:rPr>
      <w:sz w:val="18"/>
      <w:szCs w:val="1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7"/>
    <w:qFormat/>
    <w:uiPriority w:val="0"/>
    <w:rPr>
      <w:b/>
      <w:bCs/>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paragraph" w:styleId="12">
    <w:name w:val="List Paragraph"/>
    <w:basedOn w:val="1"/>
    <w:qFormat/>
    <w:uiPriority w:val="99"/>
    <w:pPr>
      <w:ind w:firstLine="420" w:firstLineChars="200"/>
    </w:pPr>
  </w:style>
  <w:style w:type="character" w:customStyle="1" w:styleId="13">
    <w:name w:val="页眉 字符"/>
    <w:basedOn w:val="10"/>
    <w:link w:val="6"/>
    <w:qFormat/>
    <w:uiPriority w:val="99"/>
    <w:rPr>
      <w:rFonts w:asciiTheme="minorHAnsi" w:hAnsiTheme="minorHAnsi" w:eastAsiaTheme="minorEastAsia" w:cstheme="minorBidi"/>
      <w:kern w:val="2"/>
      <w:sz w:val="18"/>
      <w:szCs w:val="18"/>
    </w:rPr>
  </w:style>
  <w:style w:type="character" w:customStyle="1" w:styleId="14">
    <w:name w:val="页脚 字符"/>
    <w:basedOn w:val="10"/>
    <w:link w:val="5"/>
    <w:qFormat/>
    <w:uiPriority w:val="99"/>
    <w:rPr>
      <w:rFonts w:asciiTheme="minorHAnsi" w:hAnsiTheme="minorHAnsi" w:eastAsiaTheme="minorEastAsia" w:cstheme="minorBidi"/>
      <w:kern w:val="2"/>
      <w:sz w:val="18"/>
      <w:szCs w:val="18"/>
    </w:rPr>
  </w:style>
  <w:style w:type="character" w:customStyle="1" w:styleId="15">
    <w:name w:val="正文文本缩进 字符"/>
    <w:basedOn w:val="10"/>
    <w:link w:val="3"/>
    <w:qFormat/>
    <w:uiPriority w:val="0"/>
    <w:rPr>
      <w:kern w:val="2"/>
      <w:sz w:val="18"/>
      <w:szCs w:val="24"/>
    </w:rPr>
  </w:style>
  <w:style w:type="character" w:customStyle="1" w:styleId="16">
    <w:name w:val="批注文字 字符"/>
    <w:basedOn w:val="10"/>
    <w:link w:val="2"/>
    <w:qFormat/>
    <w:uiPriority w:val="0"/>
    <w:rPr>
      <w:rFonts w:asciiTheme="minorHAnsi" w:hAnsiTheme="minorHAnsi" w:eastAsiaTheme="minorEastAsia" w:cstheme="minorBidi"/>
      <w:kern w:val="2"/>
      <w:sz w:val="21"/>
      <w:szCs w:val="24"/>
    </w:rPr>
  </w:style>
  <w:style w:type="character" w:customStyle="1" w:styleId="17">
    <w:name w:val="批注主题 字符"/>
    <w:basedOn w:val="16"/>
    <w:link w:val="7"/>
    <w:qFormat/>
    <w:uiPriority w:val="0"/>
    <w:rPr>
      <w:rFonts w:asciiTheme="minorHAnsi" w:hAnsiTheme="minorHAnsi" w:eastAsiaTheme="minorEastAsia" w:cstheme="minorBidi"/>
      <w:b/>
      <w:bCs/>
      <w:kern w:val="2"/>
      <w:sz w:val="21"/>
      <w:szCs w:val="24"/>
    </w:rPr>
  </w:style>
  <w:style w:type="paragraph" w:customStyle="1" w:styleId="18">
    <w:name w:val="Revision"/>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9">
    <w:name w:val="批注框文本 字符"/>
    <w:basedOn w:val="10"/>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B8006E-DF7F-43FC-8A60-1CB1A6EF217F}">
  <ds:schemaRefs/>
</ds:datastoreItem>
</file>

<file path=docProps/app.xml><?xml version="1.0" encoding="utf-8"?>
<Properties xmlns="http://schemas.openxmlformats.org/officeDocument/2006/extended-properties" xmlns:vt="http://schemas.openxmlformats.org/officeDocument/2006/docPropsVTypes">
  <Template>Normal</Template>
  <Pages>9</Pages>
  <Words>4266</Words>
  <Characters>4907</Characters>
  <Lines>36</Lines>
  <Paragraphs>10</Paragraphs>
  <TotalTime>0</TotalTime>
  <ScaleCrop>false</ScaleCrop>
  <LinksUpToDate>false</LinksUpToDate>
  <CharactersWithSpaces>4916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2024-04-05T05:38:00Z</dcterms:created>
  <dc:creator>Dumpling</dc:creator>
  <cp:lastModifiedBy>Administrator</cp:lastModifiedBy>
  <cp:lastPrinted>2024-12-25T03:50:00Z</cp:lastPrinted>
  <dcterms:modified xsi:type="dcterms:W3CDTF">2025-01-09T07:30:13Z</dcterms:modified>
  <cp:revision>134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DBDAA557E3AB4E19815F85778EA03EFE</vt:lpwstr>
  </property>
  <property fmtid="{D5CDD505-2E9C-101B-9397-08002B2CF9AE}" pid="4" name="KSOTemplateDocerSaveRecord">
    <vt:lpwstr>eyJoZGlkIjoiMzdiZjQ4ZWM1MTI3NTM3YjI0ZDhkYmY1MGY3ZjEyOGQifQ==</vt:lpwstr>
  </property>
</Properties>
</file>