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q8yu+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A1VZ3b&#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NUpVNYAAAAIAQAADwAAAAAAAAABACAAAAAi&#10;AAAAZHJzL2Rvd25yZXYueG1sUEsBAhQAFAAAAAgAh07iQF/bISwMAgAABQQAAA4AAAAAAAAAAQAg&#10;AAAAJQEAAGRycy9lMm9Eb2MueG1sUEsFBgAAAAAGAAYAWQEAAKMFA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1OvvrYAAAACQEAAA8AAAAAAAAAAQAgAAAA&#10;IgAAAGRycy9kb3ducmV2LnhtbFBLAQIUABQAAAAIAIdO4kBHa1KQCwIAAAUEAAAOAAAAAAAAAAEA&#10;IAAAACcBAABkcnMvZTJvRG9jLnhtbFBLBQYAAAAABgAGAFkBAACkBQ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hint="eastAsia"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291</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关于对</w:t>
      </w:r>
      <w:r>
        <w:rPr>
          <w:rFonts w:hint="eastAsia" w:ascii="Times New Roman" w:hAnsi="Times New Roman" w:eastAsia="宋体" w:cs="Times New Roman"/>
          <w:b/>
          <w:sz w:val="30"/>
          <w:szCs w:val="30"/>
        </w:rPr>
        <w:t>广州市番禺区石壁街社工服务站</w:t>
      </w:r>
    </w:p>
    <w:p>
      <w:pPr>
        <w:spacing w:line="6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0"/>
          <w:szCs w:val="30"/>
        </w:rPr>
        <w:t>2024年4月16日至2024年10月15日</w:t>
      </w:r>
      <w:r>
        <w:rPr>
          <w:rFonts w:ascii="Times New Roman" w:hAnsi="Times New Roman" w:eastAsia="宋体" w:cs="Times New Roman"/>
          <w:b/>
          <w:sz w:val="30"/>
          <w:szCs w:val="30"/>
        </w:rPr>
        <w:t>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w:t>
      </w:r>
      <w:r>
        <w:rPr>
          <w:rFonts w:hint="eastAsia" w:ascii="Times New Roman" w:hAnsi="Times New Roman" w:eastAsia="仿宋_GB2312" w:cs="Times New Roman"/>
          <w:sz w:val="28"/>
          <w:szCs w:val="28"/>
        </w:rPr>
        <w:t>广州市番禺区石壁街社工服务站</w:t>
      </w:r>
      <w:r>
        <w:rPr>
          <w:rFonts w:ascii="Times New Roman" w:hAnsi="Times New Roman" w:eastAsia="仿宋_GB2312" w:cs="Times New Roman"/>
          <w:sz w:val="28"/>
          <w:szCs w:val="28"/>
        </w:rPr>
        <w:t>（以下简称</w:t>
      </w:r>
      <w:r>
        <w:rPr>
          <w:rFonts w:hint="eastAsia" w:ascii="Times New Roman" w:hAnsi="Times New Roman" w:eastAsia="仿宋_GB2312" w:cs="Times New Roman"/>
          <w:sz w:val="28"/>
          <w:szCs w:val="28"/>
        </w:rPr>
        <w:t>石壁社工站</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2024年4月16日至2024年10月15日</w:t>
      </w:r>
      <w:r>
        <w:rPr>
          <w:rFonts w:ascii="Times New Roman" w:hAnsi="Times New Roman" w:eastAsia="仿宋_GB2312" w:cs="Times New Roman"/>
          <w:sz w:val="28"/>
          <w:szCs w:val="28"/>
        </w:rPr>
        <w:t>财务管理情况进行财务评估。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石壁社工站及其承接机构的责任，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bookmarkStart w:id="2" w:name="_Hlk110794232"/>
      <w:bookmarkStart w:id="3" w:name="_Hlk151996488"/>
      <w:r>
        <w:rPr>
          <w:rFonts w:ascii="Times New Roman" w:hAnsi="Times New Roman" w:eastAsia="仿宋" w:cs="Times New Roman"/>
          <w:sz w:val="28"/>
          <w:szCs w:val="28"/>
        </w:rPr>
        <w:t>《广州市社工服务站管理办法》（穗府办</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ascii="Times New Roman" w:hAnsi="Times New Roman" w:eastAsia="仿宋" w:cs="Times New Roman"/>
          <w:sz w:val="28"/>
          <w:szCs w:val="28"/>
        </w:rPr>
        <w:t>7号）</w:t>
      </w:r>
      <w:bookmarkEnd w:id="2"/>
      <w:r>
        <w:rPr>
          <w:rFonts w:ascii="Times New Roman" w:hAnsi="Times New Roman" w:eastAsia="仿宋" w:cs="Times New Roman"/>
          <w:sz w:val="28"/>
          <w:szCs w:val="28"/>
        </w:rPr>
        <w:t>、《广州市</w:t>
      </w:r>
      <w:r>
        <w:rPr>
          <w:rFonts w:hint="eastAsia" w:ascii="Times New Roman" w:hAnsi="Times New Roman" w:eastAsia="仿宋" w:cs="Times New Roman"/>
          <w:sz w:val="28"/>
          <w:szCs w:val="28"/>
        </w:rPr>
        <w:t>社工站购买服务项目评估指标体系</w:t>
      </w:r>
      <w:r>
        <w:rPr>
          <w:rFonts w:ascii="Times New Roman" w:hAnsi="Times New Roman" w:eastAsia="仿宋" w:cs="Times New Roman"/>
          <w:sz w:val="28"/>
          <w:szCs w:val="28"/>
        </w:rPr>
        <w:t>》（穗民</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ascii="Times New Roman" w:hAnsi="Times New Roman" w:eastAsia="仿宋" w:cs="Times New Roman"/>
          <w:sz w:val="28"/>
          <w:szCs w:val="28"/>
        </w:rPr>
        <w:t>97号）</w:t>
      </w:r>
      <w:bookmarkEnd w:id="3"/>
      <w:r>
        <w:rPr>
          <w:rFonts w:ascii="Times New Roman" w:hAnsi="Times New Roman" w:eastAsia="仿宋" w:cs="Times New Roman"/>
          <w:sz w:val="28"/>
          <w:szCs w:val="28"/>
        </w:rPr>
        <w:t>及</w:t>
      </w:r>
      <w:r>
        <w:rPr>
          <w:rFonts w:hint="eastAsia" w:ascii="Times New Roman" w:hAnsi="Times New Roman" w:eastAsia="仿宋" w:cs="Times New Roman"/>
          <w:sz w:val="28"/>
          <w:szCs w:val="28"/>
        </w:rPr>
        <w:t>广州市番禺区人民政府石壁街道办事处</w:t>
      </w:r>
      <w:r>
        <w:rPr>
          <w:rFonts w:ascii="Times New Roman" w:hAnsi="Times New Roman" w:eastAsia="仿宋" w:cs="Times New Roman"/>
          <w:sz w:val="28"/>
          <w:szCs w:val="28"/>
        </w:rPr>
        <w:t>与社工服务站承接机构签订的购买服务协议中相关约定，对石壁社工站的财务管理情况进行审核，并出具财务评估报告。</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石壁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2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一、石壁社工站基本情况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承接机构名称：广州市番禺区正阳社会工作服务中心。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承接机构法定代表人：刘玉平。</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招标采购周期：20</w:t>
      </w:r>
      <w:r>
        <w:rPr>
          <w:rFonts w:hint="eastAsia" w:ascii="Times New Roman" w:hAnsi="Times New Roman" w:eastAsia="仿宋_GB2312" w:cs="Times New Roman"/>
          <w:sz w:val="28"/>
          <w:szCs w:val="28"/>
        </w:rPr>
        <w:t>24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16</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15</w:t>
      </w:r>
      <w:r>
        <w:rPr>
          <w:rFonts w:ascii="Times New Roman" w:hAnsi="Times New Roman" w:eastAsia="仿宋_GB2312" w:cs="Times New Roman"/>
          <w:sz w:val="28"/>
          <w:szCs w:val="28"/>
        </w:rPr>
        <w:t>日。</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w:t>
      </w:r>
      <w:r>
        <w:rPr>
          <w:rFonts w:hint="eastAsia" w:ascii="Times New Roman" w:hAnsi="Times New Roman" w:eastAsia="仿宋_GB2312" w:cs="Times New Roman"/>
          <w:sz w:val="28"/>
          <w:szCs w:val="28"/>
        </w:rPr>
        <w:t>2024年4月16日至2025年4月15日</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w:t>
      </w:r>
      <w:r>
        <w:rPr>
          <w:rFonts w:hint="eastAsia" w:ascii="Times New Roman" w:hAnsi="Times New Roman" w:eastAsia="仿宋_GB2312" w:cs="Times New Roman"/>
          <w:sz w:val="28"/>
          <w:szCs w:val="28"/>
        </w:rPr>
        <w:t>2024年4月16日至2025年4月15日</w:t>
      </w:r>
      <w:r>
        <w:rPr>
          <w:rFonts w:ascii="Times New Roman" w:hAnsi="Times New Roman" w:eastAsia="仿宋_GB2312" w:cs="Times New Roman"/>
          <w:sz w:val="28"/>
          <w:szCs w:val="28"/>
        </w:rPr>
        <w:t>日的服务经费总计2,400,000.00元</w:t>
      </w:r>
      <w:r>
        <w:rPr>
          <w:rFonts w:hint="eastAsia" w:ascii="Times New Roman" w:hAnsi="Times New Roman" w:eastAsia="仿宋_GB2312" w:cs="Times New Roman"/>
          <w:sz w:val="28"/>
          <w:szCs w:val="28"/>
        </w:rPr>
        <w:t>，分为三期拨付。其中：协议签订生效之日起30个工作日内拨付</w:t>
      </w:r>
      <w:r>
        <w:rPr>
          <w:rFonts w:ascii="Times New Roman" w:hAnsi="Times New Roman" w:eastAsia="仿宋_GB2312" w:cs="Times New Roman"/>
          <w:sz w:val="28"/>
          <w:szCs w:val="28"/>
        </w:rPr>
        <w:t>55%</w:t>
      </w:r>
      <w:r>
        <w:rPr>
          <w:rFonts w:hint="eastAsia" w:ascii="Times New Roman" w:hAnsi="Times New Roman" w:eastAsia="仿宋_GB2312" w:cs="Times New Roman"/>
          <w:sz w:val="28"/>
          <w:szCs w:val="28"/>
        </w:rPr>
        <w:t>即</w:t>
      </w:r>
      <w:r>
        <w:rPr>
          <w:rFonts w:ascii="Times New Roman" w:hAnsi="Times New Roman" w:eastAsia="仿宋_GB2312" w:cs="Times New Roman"/>
          <w:sz w:val="28"/>
          <w:szCs w:val="28"/>
        </w:rPr>
        <w:t>1,320,000.00</w:t>
      </w:r>
      <w:r>
        <w:rPr>
          <w:rFonts w:hint="eastAsia" w:ascii="Times New Roman" w:hAnsi="Times New Roman" w:eastAsia="仿宋_GB2312" w:cs="Times New Roman"/>
          <w:sz w:val="28"/>
          <w:szCs w:val="28"/>
        </w:rPr>
        <w:t>元，年度中期评估为合格及以上拨付</w:t>
      </w:r>
      <w:r>
        <w:rPr>
          <w:rFonts w:ascii="Times New Roman" w:hAnsi="Times New Roman" w:eastAsia="仿宋_GB2312" w:cs="Times New Roman"/>
          <w:sz w:val="28"/>
          <w:szCs w:val="28"/>
        </w:rPr>
        <w:t>40%</w:t>
      </w:r>
      <w:r>
        <w:rPr>
          <w:rFonts w:hint="eastAsia" w:ascii="Times New Roman" w:hAnsi="Times New Roman" w:eastAsia="仿宋_GB2312" w:cs="Times New Roman"/>
          <w:sz w:val="28"/>
          <w:szCs w:val="28"/>
        </w:rPr>
        <w:t>即</w:t>
      </w:r>
      <w:r>
        <w:rPr>
          <w:rFonts w:ascii="Times New Roman" w:hAnsi="Times New Roman" w:eastAsia="仿宋_GB2312" w:cs="Times New Roman"/>
          <w:sz w:val="28"/>
          <w:szCs w:val="28"/>
        </w:rPr>
        <w:t>960,000.00</w:t>
      </w:r>
      <w:r>
        <w:rPr>
          <w:rFonts w:hint="eastAsia" w:ascii="Times New Roman" w:hAnsi="Times New Roman" w:eastAsia="仿宋_GB2312" w:cs="Times New Roman"/>
          <w:sz w:val="28"/>
          <w:szCs w:val="28"/>
        </w:rPr>
        <w:t>元，年度末期评估为合格及以上的拨付</w:t>
      </w: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即</w:t>
      </w:r>
      <w:r>
        <w:rPr>
          <w:rFonts w:ascii="Times New Roman" w:hAnsi="Times New Roman" w:eastAsia="仿宋_GB2312" w:cs="Times New Roman"/>
          <w:sz w:val="28"/>
          <w:szCs w:val="28"/>
        </w:rPr>
        <w:t>120,000.00</w:t>
      </w:r>
      <w:r>
        <w:rPr>
          <w:rFonts w:hint="eastAsia" w:ascii="Times New Roman" w:hAnsi="Times New Roman" w:eastAsia="仿宋_GB2312" w:cs="Times New Roman"/>
          <w:sz w:val="28"/>
          <w:szCs w:val="28"/>
        </w:rPr>
        <w:t>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二、石壁社工站财务管理制度执行情况</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石壁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根据自身业务特点建立了《财务管理制度》</w:t>
      </w:r>
      <w:r>
        <w:rPr>
          <w:rFonts w:hint="eastAsia" w:ascii="Times New Roman" w:hAnsi="Times New Roman" w:eastAsia="仿宋" w:cs="Times New Roman"/>
          <w:sz w:val="28"/>
          <w:szCs w:val="28"/>
        </w:rPr>
        <w:t>《财务预决算制度》《费用报销及控制制度》《职位及薪酬制度》以及《财务问责制度》</w:t>
      </w:r>
      <w:r>
        <w:rPr>
          <w:rFonts w:ascii="Times New Roman" w:hAnsi="Times New Roman" w:eastAsia="仿宋" w:cs="Times New Roman"/>
          <w:sz w:val="28"/>
          <w:szCs w:val="28"/>
        </w:rPr>
        <w:t>等财务监管、风控制度。石壁社工站在实际工作中能按上述制度要求编制“</w:t>
      </w:r>
      <w:r>
        <w:rPr>
          <w:rFonts w:hint="eastAsia" w:ascii="Times New Roman" w:hAnsi="Times New Roman" w:eastAsia="仿宋" w:cs="Times New Roman"/>
          <w:sz w:val="28"/>
          <w:szCs w:val="28"/>
        </w:rPr>
        <w:t>社工站经费预算计划</w:t>
      </w:r>
      <w:r>
        <w:rPr>
          <w:rFonts w:ascii="Times New Roman" w:hAnsi="Times New Roman" w:eastAsia="仿宋" w:cs="Times New Roman"/>
          <w:sz w:val="28"/>
          <w:szCs w:val="28"/>
        </w:rPr>
        <w:t>”；在经费报销和预支申请等方面均能执行承接机构制度规</w:t>
      </w:r>
      <w:r>
        <w:rPr>
          <w:rFonts w:hint="eastAsia" w:ascii="Times New Roman" w:hAnsi="Times New Roman" w:eastAsia="仿宋" w:cs="Times New Roman"/>
          <w:sz w:val="28"/>
          <w:szCs w:val="28"/>
        </w:rPr>
        <w:t>定</w:t>
      </w:r>
      <w:r>
        <w:rPr>
          <w:rFonts w:ascii="Times New Roman" w:hAnsi="Times New Roman" w:eastAsia="仿宋" w:cs="Times New Roman"/>
          <w:sz w:val="28"/>
          <w:szCs w:val="28"/>
        </w:rPr>
        <w:t>的程序、权限。</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《资产管理制度》</w:t>
      </w:r>
      <w:r>
        <w:rPr>
          <w:rFonts w:ascii="Times New Roman" w:hAnsi="Times New Roman" w:eastAsia="仿宋" w:cs="Times New Roman"/>
          <w:sz w:val="28"/>
          <w:szCs w:val="28"/>
        </w:rPr>
        <w:t>，石壁社工站严格执行该项制度，并定期对固定资产进行盘点，详见本报告后附202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10</w:t>
      </w:r>
      <w:r>
        <w:rPr>
          <w:rFonts w:ascii="Times New Roman" w:hAnsi="Times New Roman" w:eastAsia="仿宋" w:cs="Times New Roman"/>
          <w:sz w:val="28"/>
          <w:szCs w:val="28"/>
        </w:rPr>
        <w:t>月3</w:t>
      </w:r>
      <w:r>
        <w:rPr>
          <w:rFonts w:hint="eastAsia" w:ascii="Times New Roman" w:hAnsi="Times New Roman" w:eastAsia="仿宋" w:cs="Times New Roman"/>
          <w:sz w:val="28"/>
          <w:szCs w:val="28"/>
        </w:rPr>
        <w:t>1</w:t>
      </w:r>
      <w:r>
        <w:rPr>
          <w:rFonts w:ascii="Times New Roman" w:hAnsi="Times New Roman" w:eastAsia="仿宋" w:cs="Times New Roman"/>
          <w:sz w:val="28"/>
          <w:szCs w:val="28"/>
        </w:rPr>
        <w:t>日固定资产明细表（详见附件）。</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bookmarkStart w:id="4" w:name="_Hlk110953931"/>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已按要求编制服务期内石壁社工站的</w:t>
      </w:r>
      <w:r>
        <w:rPr>
          <w:rFonts w:hint="eastAsia" w:ascii="Times New Roman" w:hAnsi="Times New Roman" w:eastAsia="仿宋" w:cs="Times New Roman"/>
          <w:sz w:val="28"/>
          <w:szCs w:val="28"/>
        </w:rPr>
        <w:t>财务自评报告</w:t>
      </w:r>
      <w:r>
        <w:rPr>
          <w:rFonts w:ascii="Times New Roman" w:hAnsi="Times New Roman" w:eastAsia="仿宋_GB2312" w:cs="Times New Roman"/>
          <w:sz w:val="28"/>
          <w:szCs w:val="28"/>
        </w:rPr>
        <w:t>；</w:t>
      </w:r>
      <w:bookmarkEnd w:id="4"/>
      <w:r>
        <w:rPr>
          <w:rFonts w:ascii="Times New Roman" w:hAnsi="Times New Roman" w:eastAsia="仿宋_GB2312" w:cs="Times New Roman"/>
          <w:sz w:val="28"/>
          <w:szCs w:val="28"/>
        </w:rPr>
        <w:t>中心202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年度财务报表已经</w:t>
      </w:r>
      <w:r>
        <w:rPr>
          <w:rFonts w:hint="eastAsia" w:ascii="Times New Roman" w:hAnsi="Times New Roman" w:eastAsia="仿宋_GB2312" w:cs="Times New Roman"/>
          <w:sz w:val="28"/>
          <w:szCs w:val="28"/>
        </w:rPr>
        <w:t>广东中煜会计师事务所（普通合伙）</w:t>
      </w:r>
      <w:r>
        <w:rPr>
          <w:rFonts w:ascii="Times New Roman" w:hAnsi="Times New Roman" w:eastAsia="仿宋_GB2312" w:cs="Times New Roman"/>
          <w:sz w:val="28"/>
          <w:szCs w:val="28"/>
        </w:rPr>
        <w:t>审计，并取得</w:t>
      </w:r>
      <w:r>
        <w:rPr>
          <w:rFonts w:hint="eastAsia" w:ascii="Times New Roman" w:hAnsi="Times New Roman" w:eastAsia="仿宋" w:cs="Times New Roman"/>
          <w:sz w:val="28"/>
          <w:szCs w:val="28"/>
        </w:rPr>
        <w:t>粤中煜审字[2024]1006号</w:t>
      </w:r>
      <w:r>
        <w:rPr>
          <w:rFonts w:ascii="Times New Roman" w:hAnsi="Times New Roman" w:eastAsia="仿宋_GB2312" w:cs="Times New Roman"/>
          <w:sz w:val="28"/>
          <w:szCs w:val="28"/>
        </w:rPr>
        <w:t>无保留意见审计报告</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3</w:t>
      </w:r>
      <w:r>
        <w:rPr>
          <w:rFonts w:ascii="Times New Roman" w:hAnsi="Times New Roman" w:eastAsia="仿宋" w:cs="Times New Roman"/>
          <w:sz w:val="28"/>
          <w:szCs w:val="28"/>
        </w:rPr>
        <w:t>年度企业所得税纳税情况已经</w:t>
      </w:r>
      <w:r>
        <w:rPr>
          <w:rFonts w:hint="eastAsia" w:ascii="Times New Roman" w:hAnsi="Times New Roman" w:eastAsia="仿宋_GB2312" w:cs="Times New Roman"/>
          <w:sz w:val="28"/>
          <w:szCs w:val="28"/>
        </w:rPr>
        <w:t>广州信德税务师事务所有限公司</w:t>
      </w:r>
      <w:r>
        <w:rPr>
          <w:rFonts w:ascii="Times New Roman" w:hAnsi="Times New Roman" w:eastAsia="仿宋_GB2312" w:cs="Times New Roman"/>
          <w:sz w:val="28"/>
          <w:szCs w:val="28"/>
        </w:rPr>
        <w:t>复核，并取得</w:t>
      </w:r>
      <w:r>
        <w:rPr>
          <w:rFonts w:hint="eastAsia" w:ascii="Times New Roman" w:hAnsi="Times New Roman" w:eastAsia="仿宋" w:cs="Times New Roman"/>
          <w:sz w:val="28"/>
          <w:szCs w:val="28"/>
        </w:rPr>
        <w:t>信德税鉴字[2024]第A045号</w:t>
      </w:r>
      <w:r>
        <w:rPr>
          <w:rFonts w:ascii="Times New Roman" w:hAnsi="Times New Roman" w:eastAsia="仿宋" w:cs="Times New Roman"/>
          <w:sz w:val="28"/>
          <w:szCs w:val="28"/>
        </w:rPr>
        <w:t>汇算清缴纳税调整报告</w:t>
      </w:r>
      <w:r>
        <w:rPr>
          <w:rFonts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三、石壁社工站人员配备情况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严格贯彻不相容职务分离原则，为</w:t>
      </w:r>
      <w:r>
        <w:rPr>
          <w:rFonts w:ascii="Times New Roman" w:hAnsi="Times New Roman" w:eastAsia="仿宋_GB2312" w:cs="Times New Roman"/>
          <w:sz w:val="28"/>
          <w:szCs w:val="28"/>
        </w:rPr>
        <w:t>配置财务人员2名，</w:t>
      </w:r>
      <w:r>
        <w:rPr>
          <w:rFonts w:ascii="Times New Roman" w:hAnsi="Times New Roman" w:eastAsia="仿宋" w:cs="Times New Roman"/>
          <w:sz w:val="28"/>
          <w:szCs w:val="28"/>
        </w:rPr>
        <w:t>分别担任会计、出纳岗位，负责</w:t>
      </w:r>
      <w:r>
        <w:rPr>
          <w:rFonts w:hint="eastAsia" w:ascii="Times New Roman" w:hAnsi="Times New Roman" w:eastAsia="仿宋" w:cs="Times New Roman"/>
          <w:sz w:val="28"/>
          <w:szCs w:val="28"/>
        </w:rPr>
        <w:t>包括</w:t>
      </w:r>
      <w:r>
        <w:rPr>
          <w:rFonts w:ascii="Times New Roman" w:hAnsi="Times New Roman" w:eastAsia="仿宋_GB2312" w:cs="Times New Roman"/>
          <w:sz w:val="28"/>
          <w:szCs w:val="28"/>
        </w:rPr>
        <w:t>石壁社工站</w:t>
      </w:r>
      <w:r>
        <w:rPr>
          <w:rFonts w:hint="eastAsia" w:ascii="Times New Roman" w:hAnsi="Times New Roman" w:eastAsia="仿宋_GB2312" w:cs="Times New Roman"/>
          <w:sz w:val="28"/>
          <w:szCs w:val="28"/>
        </w:rPr>
        <w:t>在内的中心</w:t>
      </w:r>
      <w:r>
        <w:rPr>
          <w:rFonts w:ascii="Times New Roman" w:hAnsi="Times New Roman" w:eastAsia="仿宋_GB2312" w:cs="Times New Roman"/>
          <w:sz w:val="28"/>
          <w:szCs w:val="28"/>
        </w:rPr>
        <w:t>财务工作</w:t>
      </w:r>
      <w:r>
        <w:rPr>
          <w:rFonts w:ascii="Times New Roman" w:hAnsi="Times New Roman" w:eastAsia="仿宋" w:cs="Times New Roman"/>
          <w:sz w:val="28"/>
          <w:szCs w:val="28"/>
        </w:rPr>
        <w:t>，其中主管会计吴燕已取得会计</w:t>
      </w:r>
      <w:r>
        <w:rPr>
          <w:rFonts w:hint="eastAsia" w:ascii="Times New Roman" w:hAnsi="Times New Roman" w:eastAsia="仿宋" w:cs="Times New Roman"/>
          <w:sz w:val="28"/>
          <w:szCs w:val="28"/>
        </w:rPr>
        <w:t>中</w:t>
      </w:r>
      <w:r>
        <w:rPr>
          <w:rFonts w:ascii="Times New Roman" w:hAnsi="Times New Roman" w:eastAsia="仿宋" w:cs="Times New Roman"/>
          <w:sz w:val="28"/>
          <w:szCs w:val="28"/>
        </w:rPr>
        <w:t>级专业技术资格证</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w:t>
      </w:r>
      <w:r>
        <w:rPr>
          <w:rFonts w:hint="eastAsia" w:ascii="Times New Roman" w:hAnsi="Times New Roman" w:eastAsia="仿宋" w:cs="Times New Roman"/>
          <w:sz w:val="28"/>
          <w:szCs w:val="28"/>
        </w:rPr>
        <w:t>李淑娟</w:t>
      </w:r>
      <w:r>
        <w:rPr>
          <w:rFonts w:ascii="Times New Roman" w:hAnsi="Times New Roman" w:eastAsia="仿宋" w:cs="Times New Roman"/>
          <w:sz w:val="28"/>
          <w:szCs w:val="28"/>
        </w:rPr>
        <w:t>均已完成202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5" w:name="_Hlk110958106"/>
      <w:r>
        <w:rPr>
          <w:rFonts w:ascii="Times New Roman" w:hAnsi="Times New Roman" w:eastAsia="仿宋" w:cs="Times New Roman"/>
          <w:sz w:val="28"/>
          <w:szCs w:val="28"/>
        </w:rPr>
        <w:t>符合要求</w:t>
      </w:r>
      <w:bookmarkEnd w:id="5"/>
      <w:r>
        <w:rPr>
          <w:rFonts w:ascii="Times New Roman" w:hAnsi="Times New Roman" w:eastAsia="仿宋"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四、石壁社工站服务经费支出情况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hint="eastAsia" w:ascii="Times New Roman" w:hAnsi="Times New Roman" w:eastAsia="仿宋_GB2312" w:cs="Times New Roman"/>
          <w:sz w:val="28"/>
          <w:szCs w:val="28"/>
        </w:rPr>
        <w:t>根据《广州市社工服务站管理办法》（穗府办</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7号）、《广州市社工站购买服务项目评估指标体系》（穗民</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97号）等相关规定，结合实际情况</w:t>
      </w:r>
      <w:r>
        <w:rPr>
          <w:rFonts w:ascii="Times New Roman" w:hAnsi="Times New Roman" w:eastAsia="仿宋_GB2312" w:cs="Times New Roman"/>
          <w:sz w:val="28"/>
          <w:szCs w:val="28"/>
        </w:rPr>
        <w:t>建立</w:t>
      </w:r>
      <w:r>
        <w:rPr>
          <w:rFonts w:hint="eastAsia" w:ascii="Times New Roman" w:hAnsi="Times New Roman" w:eastAsia="仿宋_GB2312" w:cs="Times New Roman"/>
          <w:sz w:val="28"/>
          <w:szCs w:val="28"/>
        </w:rPr>
        <w:t>了《财务管理制度》、《费用报销及控制制度》，明确了</w:t>
      </w:r>
      <w:r>
        <w:rPr>
          <w:rFonts w:ascii="Times New Roman" w:hAnsi="Times New Roman" w:eastAsia="仿宋_GB2312" w:cs="Times New Roman"/>
          <w:sz w:val="28"/>
          <w:szCs w:val="28"/>
        </w:rPr>
        <w:t>财务经费支出的审核程序</w:t>
      </w:r>
      <w:r>
        <w:rPr>
          <w:rFonts w:hint="eastAsia" w:ascii="Times New Roman" w:hAnsi="Times New Roman" w:eastAsia="仿宋_GB2312" w:cs="Times New Roman"/>
          <w:sz w:val="28"/>
          <w:szCs w:val="28"/>
        </w:rPr>
        <w:t>及支出</w:t>
      </w:r>
      <w:r>
        <w:rPr>
          <w:rFonts w:ascii="Times New Roman" w:hAnsi="Times New Roman" w:eastAsia="仿宋_GB2312" w:cs="Times New Roman"/>
          <w:sz w:val="28"/>
          <w:szCs w:val="28"/>
        </w:rPr>
        <w:t>权限。制度规定：机构经费审批权限，原则上由各相关部门（项目）负责人预先审核，后经总干事统一审批方可执行，总干事经费审批权限≤5,000.00元；大于5,000.00元的经费支出需总干事报请理事长审批后方可执行。</w:t>
      </w:r>
      <w:r>
        <w:rPr>
          <w:rFonts w:hint="eastAsia" w:ascii="Times New Roman" w:hAnsi="Times New Roman" w:eastAsia="仿宋_GB2312" w:cs="Times New Roman"/>
          <w:sz w:val="28"/>
          <w:szCs w:val="28"/>
        </w:rPr>
        <w:t>本评估期内</w:t>
      </w:r>
      <w:r>
        <w:rPr>
          <w:rFonts w:ascii="Times New Roman" w:hAnsi="Times New Roman" w:eastAsia="仿宋_GB2312" w:cs="Times New Roman"/>
          <w:sz w:val="28"/>
          <w:szCs w:val="28"/>
        </w:rPr>
        <w:t>石壁社工站</w:t>
      </w:r>
      <w:r>
        <w:rPr>
          <w:rFonts w:hint="eastAsia" w:ascii="Times New Roman" w:hAnsi="Times New Roman" w:eastAsia="仿宋_GB2312" w:cs="Times New Roman"/>
          <w:sz w:val="28"/>
          <w:szCs w:val="28"/>
        </w:rPr>
        <w:t>经费支出具体情况如下：</w:t>
      </w:r>
    </w:p>
    <w:p>
      <w:pPr>
        <w:pStyle w:val="11"/>
        <w:numPr>
          <w:ilvl w:val="0"/>
          <w:numId w:val="1"/>
        </w:numPr>
        <w:spacing w:line="570" w:lineRule="exact"/>
        <w:ind w:right="-6" w:rightChars="-3"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财务支出的合规性</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石壁社工站经费使用的范围、比例基本能按《</w:t>
      </w:r>
      <w:r>
        <w:rPr>
          <w:rFonts w:hint="eastAsia" w:ascii="Times New Roman" w:hAnsi="Times New Roman" w:eastAsia="仿宋_GB2312" w:cs="Times New Roman"/>
          <w:sz w:val="28"/>
          <w:szCs w:val="28"/>
        </w:rPr>
        <w:t>广州市社工服务站管理办法</w:t>
      </w:r>
      <w:r>
        <w:rPr>
          <w:rFonts w:ascii="Times New Roman" w:hAnsi="Times New Roman" w:eastAsia="仿宋_GB2312" w:cs="Times New Roman"/>
          <w:sz w:val="28"/>
          <w:szCs w:val="28"/>
        </w:rPr>
        <w:t>》有关规定执行。石壁社工站每年有制定“</w:t>
      </w:r>
      <w:r>
        <w:rPr>
          <w:rFonts w:hint="eastAsia" w:ascii="Times New Roman" w:hAnsi="Times New Roman" w:eastAsia="仿宋" w:cs="Times New Roman"/>
          <w:sz w:val="28"/>
          <w:szCs w:val="28"/>
        </w:rPr>
        <w:t>社工站经费预算计划</w:t>
      </w:r>
      <w:r>
        <w:rPr>
          <w:rFonts w:ascii="Times New Roman" w:hAnsi="Times New Roman" w:eastAsia="仿宋_GB2312" w:cs="Times New Roman"/>
          <w:sz w:val="28"/>
          <w:szCs w:val="28"/>
        </w:rPr>
        <w:t>”，明确规划了协议期内的收入和支出预算计划，经费支出预算表基本能符合《民间非营利组织会计制度》和</w:t>
      </w:r>
      <w:r>
        <w:rPr>
          <w:rFonts w:hint="eastAsia" w:ascii="Times New Roman" w:hAnsi="Times New Roman" w:eastAsia="仿宋_GB2312" w:cs="Times New Roman"/>
          <w:sz w:val="28"/>
          <w:szCs w:val="28"/>
        </w:rPr>
        <w:t>广州市番禺区人民政府石壁街道办事处</w:t>
      </w:r>
      <w:r>
        <w:rPr>
          <w:rFonts w:ascii="Times New Roman" w:hAnsi="Times New Roman" w:eastAsia="仿宋_GB2312" w:cs="Times New Roman"/>
          <w:sz w:val="28"/>
          <w:szCs w:val="28"/>
        </w:rPr>
        <w:t>与社工服务站承接机构签订的购买服务协议中人员费用、服务质量保障费用和运营管理费用规定的使用范围，活动经费预算表有机构理事会负责人签名确认。</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经审核，石壁社工站财务支出的事由、票据、标准基本合理。石壁社工站有经费预算程序，财务支出根据经费预算计划执行、基本能按预算标准支出，并有财务支出票据。</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经审核，石壁社工站能按承接机构广州市番禺区正阳社会工作服务中心财务制度规定的审批权限进行审批。经费支出</w:t>
      </w:r>
      <w:r>
        <w:rPr>
          <w:rFonts w:hint="eastAsia" w:ascii="Times New Roman" w:hAnsi="Times New Roman" w:eastAsia="仿宋_GB2312" w:cs="Times New Roman"/>
          <w:sz w:val="28"/>
          <w:szCs w:val="28"/>
        </w:rPr>
        <w:t>均有</w:t>
      </w:r>
      <w:r>
        <w:rPr>
          <w:rFonts w:ascii="Times New Roman" w:hAnsi="Times New Roman" w:eastAsia="仿宋_GB2312" w:cs="Times New Roman"/>
          <w:sz w:val="28"/>
          <w:szCs w:val="28"/>
        </w:rPr>
        <w:t>经办人、证明人、审核人签名。</w:t>
      </w:r>
    </w:p>
    <w:p>
      <w:pPr>
        <w:spacing w:line="61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经审核，承接机构广州市番禺区正阳社会工作服务中心已建立财务支出管理的监控机制，并在石壁社工站得到较规范执行。</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、承接机构广州市番禺区正阳社会工作服务中心能按规定开设银行基本账户，按规定对该石壁社工站开设银行一般账户</w:t>
      </w:r>
      <w:r>
        <w:rPr>
          <w:rFonts w:hint="eastAsia" w:ascii="Times New Roman" w:hAnsi="Times New Roman" w:eastAsia="仿宋_GB2312" w:cs="Times New Roman"/>
          <w:sz w:val="28"/>
          <w:szCs w:val="28"/>
        </w:rPr>
        <w:t>（专户），日常财务支出采用专户支付和基本户代付后专户转回结合的方式。</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、为确保政府购买服务经费用于指定用途，承接机构广州市番禺区正阳社会工作服务中心有定期向购买方提交石壁社工站服务经费使用情况报告，对经费预算及使用情况作比对分析。</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58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石壁社工站财务支出票据、凭证填制较完整，账目设置、票据管理较规范。</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五、石壁社工站会计核算情况</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石壁社工站会计科目设置合理，所有服务业务均编制了记账凭证、登记了明细分类账簿和总账，核算做到账册、账账、账表相符，编制了会计报表，并符合相关会计制度独立核算。</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经审核，承接机构广州市番禺区正阳社会工作服务中心对承接的石壁社工站政府购买服务资金的服务经费支出，能按要求做到分项目核算。</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80" w:lineRule="exact"/>
        <w:ind w:firstLine="552"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经审核，承接机构广州市番禺区正阳社会工作服务中心对承接的石壁社工站政府购买服务资金的服务经费支出，能按要求做到领域服务经费分开归集。</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2024年4月16日至2024年10月15日</w:t>
      </w:r>
      <w:r>
        <w:rPr>
          <w:rFonts w:eastAsia="仿宋"/>
          <w:sz w:val="28"/>
          <w:szCs w:val="28"/>
        </w:rPr>
        <w:t>期间（以下简称本评估期）</w:t>
      </w:r>
      <w:r>
        <w:rPr>
          <w:rFonts w:hint="eastAsia" w:eastAsia="仿宋"/>
          <w:sz w:val="28"/>
          <w:szCs w:val="28"/>
        </w:rPr>
        <w:t>，</w:t>
      </w:r>
      <w:r>
        <w:rPr>
          <w:rFonts w:ascii="Times New Roman" w:hAnsi="Times New Roman" w:eastAsia="仿宋_GB2312" w:cs="Times New Roman"/>
          <w:sz w:val="28"/>
          <w:szCs w:val="28"/>
        </w:rPr>
        <w:t>石壁社工站收到本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6" w:name="_Hlk110687493"/>
      <w:r>
        <w:rPr>
          <w:rFonts w:ascii="Times New Roman" w:hAnsi="Times New Roman" w:eastAsia="仿宋_GB2312" w:cs="Times New Roman"/>
          <w:sz w:val="28"/>
          <w:szCs w:val="28"/>
        </w:rPr>
        <w:t>经费</w:t>
      </w:r>
      <w:bookmarkEnd w:id="6"/>
      <w:r>
        <w:rPr>
          <w:rFonts w:ascii="Times New Roman" w:hAnsi="Times New Roman" w:eastAsia="仿宋_GB2312" w:cs="Times New Roman"/>
          <w:sz w:val="28"/>
          <w:szCs w:val="28"/>
        </w:rPr>
        <w:t>1,320,000.00元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归属于本评估期的服务经费支出累计1,077,852.46元，</w:t>
      </w:r>
      <w:bookmarkStart w:id="7" w:name="_Hlk110687647"/>
      <w:r>
        <w:rPr>
          <w:rFonts w:hint="eastAsia" w:ascii="Times New Roman" w:hAnsi="Times New Roman" w:eastAsia="仿宋_GB2312" w:cs="Times New Roman"/>
          <w:sz w:val="28"/>
          <w:szCs w:val="28"/>
        </w:rPr>
        <w:t>其中2024年4月~2024年10月支付</w:t>
      </w:r>
      <w:r>
        <w:rPr>
          <w:rFonts w:ascii="Times New Roman" w:hAnsi="Times New Roman" w:eastAsia="仿宋_GB2312" w:cs="Times New Roman"/>
          <w:sz w:val="28"/>
          <w:szCs w:val="28"/>
        </w:rPr>
        <w:t>1,014,065.32</w:t>
      </w:r>
      <w:r>
        <w:rPr>
          <w:rFonts w:hint="eastAsia" w:ascii="Times New Roman" w:hAnsi="Times New Roman" w:eastAsia="仿宋_GB2312" w:cs="Times New Roman"/>
          <w:sz w:val="28"/>
          <w:szCs w:val="28"/>
        </w:rPr>
        <w:t>元，2024年11月支付</w:t>
      </w:r>
      <w:r>
        <w:rPr>
          <w:rFonts w:ascii="Times New Roman" w:hAnsi="Times New Roman" w:eastAsia="仿宋_GB2312" w:cs="Times New Roman"/>
          <w:sz w:val="28"/>
          <w:szCs w:val="28"/>
        </w:rPr>
        <w:t>63,787.14</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本评估期结余金额242,147.54元</w:t>
      </w:r>
      <w:bookmarkEnd w:id="7"/>
      <w:r>
        <w:rPr>
          <w:rFonts w:ascii="Times New Roman" w:hAnsi="Times New Roman" w:eastAsia="仿宋_GB2312" w:cs="Times New Roman"/>
          <w:sz w:val="28"/>
          <w:szCs w:val="28"/>
        </w:rPr>
        <w:t>，占实际拨入经费的18.34%。</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经评估，本评估期用于</w:t>
      </w:r>
      <w:r>
        <w:rPr>
          <w:rFonts w:ascii="Times New Roman" w:hAnsi="Times New Roman" w:eastAsia="仿宋_GB2312" w:cs="Times New Roman"/>
          <w:sz w:val="28"/>
          <w:szCs w:val="28"/>
        </w:rPr>
        <w:t>石壁社工站</w:t>
      </w:r>
      <w:r>
        <w:rPr>
          <w:rFonts w:hint="eastAsia" w:ascii="Times New Roman" w:hAnsi="Times New Roman" w:eastAsia="仿宋_GB2312" w:cs="Times New Roman"/>
          <w:sz w:val="28"/>
          <w:szCs w:val="28"/>
        </w:rPr>
        <w:t>的人员费用支出占本协议期应收服务总经费的</w:t>
      </w:r>
      <w:r>
        <w:rPr>
          <w:rFonts w:ascii="Times New Roman" w:hAnsi="Times New Roman" w:eastAsia="仿宋_GB2312" w:cs="Times New Roman"/>
          <w:sz w:val="28"/>
          <w:szCs w:val="28"/>
        </w:rPr>
        <w:t>35.85%</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44.81%</w:t>
      </w:r>
      <w:r>
        <w:rPr>
          <w:rFonts w:hint="eastAsia" w:ascii="Times New Roman" w:hAnsi="Times New Roman" w:eastAsia="仿宋_GB2312" w:cs="Times New Roman"/>
          <w:sz w:val="28"/>
          <w:szCs w:val="28"/>
        </w:rPr>
        <w:t>；服务质量保障费用及运营管理费用占本协议期应收服务总经费的</w:t>
      </w:r>
      <w:r>
        <w:rPr>
          <w:rFonts w:ascii="Times New Roman" w:hAnsi="Times New Roman" w:eastAsia="仿宋_GB2312" w:cs="Times New Roman"/>
          <w:sz w:val="28"/>
          <w:szCs w:val="28"/>
        </w:rPr>
        <w:t>9.06%</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45.31%</w:t>
      </w:r>
      <w:r>
        <w:rPr>
          <w:rFonts w:hint="eastAsia" w:ascii="Times New Roman" w:hAnsi="Times New Roman" w:eastAsia="仿宋_GB2312" w:cs="Times New Roman"/>
          <w:sz w:val="28"/>
          <w:szCs w:val="28"/>
        </w:rPr>
        <w:t>，具体经费支出情况如下：</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㈠用于人员费用支出860,383.38元，占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35.85%</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服务总经费的65.18%，（具体人员发放明细详见附件）。其中：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、工资总额支出685,000.41元；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、五险金支出143,477.97元；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、公积金支出31,905.00元</w:t>
      </w:r>
      <w:r>
        <w:rPr>
          <w:rFonts w:hint="eastAsia" w:ascii="Times New Roman" w:hAnsi="Times New Roman" w:eastAsia="仿宋_GB2312" w:cs="Times New Roman"/>
          <w:sz w:val="28"/>
          <w:szCs w:val="28"/>
        </w:rPr>
        <w:t>。</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㈡用于服务质量保障费用的支出合计105,589.37元，占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4.40%</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服务总经费的8.00%，其中：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、专业支持的支出7,245.58元，占本评估期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服务总经费的0.55%。</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sz w:val="28"/>
          <w:szCs w:val="28"/>
        </w:rPr>
        <w:t>社工服务领域培训费支出</w:t>
      </w:r>
      <w:r>
        <w:rPr>
          <w:rFonts w:ascii="Times New Roman" w:hAnsi="Times New Roman" w:eastAsia="仿宋_GB2312" w:cs="Times New Roman"/>
          <w:sz w:val="28"/>
          <w:szCs w:val="28"/>
        </w:rPr>
        <w:t>7,245.58元</w:t>
      </w:r>
      <w:r>
        <w:rPr>
          <w:rFonts w:hint="eastAsia" w:ascii="Times New Roman" w:hAnsi="Times New Roman" w:eastAsia="仿宋_GB2312"/>
          <w:sz w:val="28"/>
          <w:szCs w:val="28"/>
        </w:rPr>
        <w:t>，其中：按比例支付仁爱堂</w:t>
      </w:r>
      <w:r>
        <w:rPr>
          <w:rFonts w:ascii="Times New Roman" w:hAnsi="Times New Roman" w:eastAsia="仿宋_GB2312"/>
          <w:sz w:val="28"/>
          <w:szCs w:val="28"/>
        </w:rPr>
        <w:t>YES</w:t>
      </w:r>
      <w:r>
        <w:rPr>
          <w:rFonts w:hint="eastAsia" w:ascii="Times New Roman" w:hAnsi="Times New Roman" w:eastAsia="仿宋_GB2312"/>
          <w:sz w:val="28"/>
          <w:szCs w:val="28"/>
        </w:rPr>
        <w:t>培训学院“认知障碍症长者服务系列”培训费</w:t>
      </w:r>
      <w:r>
        <w:rPr>
          <w:rFonts w:ascii="Times New Roman" w:hAnsi="Times New Roman" w:eastAsia="仿宋_GB2312"/>
          <w:sz w:val="28"/>
          <w:szCs w:val="28"/>
        </w:rPr>
        <w:t>5,228.98</w:t>
      </w:r>
      <w:r>
        <w:rPr>
          <w:rFonts w:hint="eastAsia" w:ascii="Times New Roman" w:hAnsi="Times New Roman" w:eastAsia="仿宋_GB2312"/>
          <w:sz w:val="28"/>
          <w:szCs w:val="28"/>
        </w:rPr>
        <w:t>元，该项支出总额</w:t>
      </w:r>
      <w:r>
        <w:rPr>
          <w:rFonts w:ascii="Times New Roman" w:hAnsi="Times New Roman" w:eastAsia="仿宋_GB2312"/>
          <w:sz w:val="28"/>
          <w:szCs w:val="28"/>
        </w:rPr>
        <w:t>30,000.00</w:t>
      </w:r>
      <w:r>
        <w:rPr>
          <w:rFonts w:hint="eastAsia" w:ascii="Times New Roman" w:hAnsi="Times New Roman" w:eastAsia="仿宋_GB2312"/>
          <w:sz w:val="28"/>
          <w:szCs w:val="28"/>
        </w:rPr>
        <w:t>元（</w:t>
      </w:r>
      <w:r>
        <w:rPr>
          <w:rFonts w:ascii="Times New Roman" w:hAnsi="Times New Roman" w:eastAsia="仿宋_GB2312"/>
          <w:sz w:val="28"/>
          <w:szCs w:val="28"/>
        </w:rPr>
        <w:t>202</w:t>
      </w:r>
      <w:r>
        <w:rPr>
          <w:rFonts w:hint="eastAsia" w:ascii="Times New Roman" w:hAnsi="Times New Roman" w:eastAsia="仿宋_GB2312"/>
          <w:sz w:val="28"/>
          <w:szCs w:val="28"/>
        </w:rPr>
        <w:t>4年7月1</w:t>
      </w:r>
      <w:r>
        <w:rPr>
          <w:rFonts w:ascii="Times New Roman" w:hAnsi="Times New Roman" w:eastAsia="仿宋_GB2312"/>
          <w:sz w:val="28"/>
          <w:szCs w:val="28"/>
        </w:rPr>
        <w:t>#</w:t>
      </w:r>
      <w:r>
        <w:rPr>
          <w:rFonts w:hint="eastAsia" w:ascii="Times New Roman" w:hAnsi="Times New Roman" w:eastAsia="仿宋_GB2312"/>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、用于开展与专业服务和活动的支出6,016.07元，占本评估期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服务总经费的0.46%。</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服务和活动物料</w:t>
      </w:r>
      <w:r>
        <w:rPr>
          <w:rFonts w:ascii="Times New Roman" w:hAnsi="Times New Roman" w:eastAsia="仿宋_GB2312" w:cs="Times New Roman"/>
          <w:sz w:val="28"/>
          <w:szCs w:val="28"/>
        </w:rPr>
        <w:t>支出1,698.07元；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支出4,287.00元</w:t>
      </w:r>
      <w:r>
        <w:rPr>
          <w:rFonts w:hint="eastAsia" w:ascii="Times New Roman" w:hAnsi="Times New Roman" w:eastAsia="仿宋_GB2312" w:cs="Times New Roman"/>
          <w:sz w:val="28"/>
          <w:szCs w:val="28"/>
        </w:rPr>
        <w:t>，其中：按比例分摊广州正阳帆布包定制费</w:t>
      </w:r>
      <w:r>
        <w:rPr>
          <w:rFonts w:ascii="Times New Roman" w:hAnsi="Times New Roman" w:eastAsia="仿宋_GB2312" w:cs="Times New Roman"/>
          <w:sz w:val="28"/>
          <w:szCs w:val="28"/>
        </w:rPr>
        <w:t>1,170.00</w:t>
      </w:r>
      <w:r>
        <w:rPr>
          <w:rFonts w:hint="eastAsia" w:ascii="Times New Roman" w:hAnsi="Times New Roman" w:eastAsia="仿宋_GB2312" w:cs="Times New Roman"/>
          <w:sz w:val="28"/>
          <w:szCs w:val="28"/>
        </w:rPr>
        <w:t>元，该项支出总额</w:t>
      </w:r>
      <w:r>
        <w:rPr>
          <w:rFonts w:ascii="Times New Roman" w:hAnsi="Times New Roman" w:eastAsia="仿宋_GB2312" w:cs="Times New Roman"/>
          <w:sz w:val="28"/>
          <w:szCs w:val="28"/>
        </w:rPr>
        <w:t>7,800.00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2024</w:t>
      </w:r>
      <w:r>
        <w:rPr>
          <w:rFonts w:hint="eastAsia" w:ascii="Times New Roman" w:hAnsi="Times New Roman" w:eastAsia="仿宋_GB2312" w:cs="Times New Roman"/>
          <w:sz w:val="28"/>
          <w:szCs w:val="28"/>
        </w:rPr>
        <w:t>年</w:t>
      </w: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月</w:t>
      </w:r>
      <w:r>
        <w:rPr>
          <w:rFonts w:ascii="Times New Roman" w:hAnsi="Times New Roman" w:eastAsia="仿宋_GB2312" w:cs="Times New Roman"/>
          <w:sz w:val="28"/>
          <w:szCs w:val="28"/>
        </w:rPr>
        <w:t>21#</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⑶交通费支出</w:t>
      </w:r>
      <w:r>
        <w:rPr>
          <w:rFonts w:ascii="Times New Roman" w:hAnsi="Times New Roman" w:eastAsia="仿宋_GB2312" w:cs="Times New Roman"/>
          <w:sz w:val="28"/>
          <w:szCs w:val="28"/>
        </w:rPr>
        <w:t>31.00</w:t>
      </w:r>
      <w:r>
        <w:rPr>
          <w:rFonts w:hint="eastAsia"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、用于日常办公费用支出13,212.04元，占本评估期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服务总经费的1.00%。</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办公费耗材支出4,695.18元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 xml:space="preserve"> </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电信</w:t>
      </w:r>
      <w:r>
        <w:rPr>
          <w:rFonts w:ascii="Times New Roman" w:hAnsi="Times New Roman" w:eastAsia="仿宋_GB2312" w:cs="Times New Roman"/>
          <w:sz w:val="28"/>
          <w:szCs w:val="28"/>
        </w:rPr>
        <w:t>费支出6,247.62元；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ascii="Times New Roman" w:hAnsi="Times New Roman" w:eastAsia="仿宋_GB2312" w:cs="Times New Roman"/>
          <w:sz w:val="28"/>
          <w:szCs w:val="28"/>
        </w:rPr>
        <w:t>水电费支出800.00元；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⑷</w:t>
      </w:r>
      <w:r>
        <w:rPr>
          <w:rFonts w:ascii="Times New Roman" w:hAnsi="Times New Roman" w:eastAsia="仿宋_GB2312" w:cs="Times New Roman"/>
          <w:sz w:val="28"/>
          <w:szCs w:val="28"/>
        </w:rPr>
        <w:t>折旧费支出828.66元；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cs="宋体"/>
          <w:sz w:val="28"/>
          <w:szCs w:val="28"/>
        </w:rPr>
        <w:t>⑸</w:t>
      </w:r>
      <w:r>
        <w:rPr>
          <w:rFonts w:hint="eastAsia" w:ascii="Times New Roman" w:hAnsi="Times New Roman" w:eastAsia="仿宋_GB2312" w:cs="Times New Roman"/>
          <w:sz w:val="28"/>
          <w:szCs w:val="28"/>
        </w:rPr>
        <w:t>银行手续费支出</w:t>
      </w:r>
      <w:r>
        <w:rPr>
          <w:rFonts w:ascii="Times New Roman" w:hAnsi="Times New Roman" w:eastAsia="仿宋_GB2312" w:cs="Times New Roman"/>
          <w:sz w:val="28"/>
          <w:szCs w:val="28"/>
        </w:rPr>
        <w:t>640.58</w:t>
      </w:r>
      <w:r>
        <w:rPr>
          <w:rFonts w:hint="eastAsia" w:ascii="Times New Roman" w:hAnsi="Times New Roman" w:eastAsia="仿宋_GB2312" w:cs="Times New Roman"/>
          <w:sz w:val="28"/>
          <w:szCs w:val="28"/>
        </w:rPr>
        <w:t>元</w:t>
      </w:r>
      <w:bookmarkStart w:id="8" w:name="_Hlk116635588"/>
      <w:r>
        <w:rPr>
          <w:rFonts w:hint="eastAsia" w:ascii="Times New Roman" w:hAnsi="Times New Roman" w:eastAsia="仿宋_GB2312" w:cs="Times New Roman"/>
          <w:sz w:val="28"/>
          <w:szCs w:val="28"/>
        </w:rPr>
        <w:t>。</w:t>
      </w:r>
      <w:bookmarkEnd w:id="8"/>
    </w:p>
    <w:p>
      <w:pPr>
        <w:spacing w:line="61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４</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支出79,115.68元，占本评估期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服务总经费的5.99%。</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㈢用于运营管理费用支出111,879.71元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4.66%</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服务总经费的8.48%。其中：</w:t>
      </w:r>
    </w:p>
    <w:p>
      <w:pPr>
        <w:spacing w:line="61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w:t>
      </w:r>
      <w:r>
        <w:rPr>
          <w:rFonts w:ascii="Times New Roman" w:hAnsi="Times New Roman" w:eastAsia="仿宋_GB2312" w:cs="Times New Roman"/>
          <w:sz w:val="28"/>
          <w:szCs w:val="28"/>
        </w:rPr>
        <w:t>费支出24,752.48元；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、分摊机构人员工资56,974.19元；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、分摊机构人员社保4,895.14元；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、分摊机构人员公积金1,150.50元；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、分摊机构费用10,649.32元；</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６、</w:t>
      </w:r>
      <w:r>
        <w:rPr>
          <w:rFonts w:hint="eastAsia" w:ascii="Times New Roman" w:hAnsi="Times New Roman" w:eastAsia="仿宋_GB2312" w:cs="Times New Roman"/>
          <w:sz w:val="28"/>
          <w:szCs w:val="28"/>
        </w:rPr>
        <w:t>工会经费支出</w:t>
      </w:r>
      <w:r>
        <w:rPr>
          <w:rFonts w:ascii="Times New Roman" w:hAnsi="Times New Roman" w:eastAsia="仿宋_GB2312" w:cs="Times New Roman"/>
          <w:sz w:val="28"/>
          <w:szCs w:val="28"/>
        </w:rPr>
        <w:t>13,458.08元</w:t>
      </w:r>
      <w:r>
        <w:rPr>
          <w:rFonts w:hint="eastAsia" w:ascii="Times New Roman" w:hAnsi="Times New Roman" w:eastAsia="仿宋_GB2312" w:cs="Times New Roman"/>
          <w:sz w:val="28"/>
          <w:szCs w:val="28"/>
        </w:rPr>
        <w:t>。</w:t>
      </w:r>
    </w:p>
    <w:p>
      <w:pPr>
        <w:spacing w:line="61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七、前期经费收、支、结余变化情况</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经评估，截至2024年10月15日，协议期2023年4月16日至2024年4月15日的结余资金发生变动，具体情况如下：</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经评估，本评估期内收到该协议期服务经费</w:t>
      </w:r>
      <w:r>
        <w:rPr>
          <w:rFonts w:ascii="Times New Roman" w:hAnsi="Times New Roman" w:eastAsia="仿宋_GB2312" w:cs="Times New Roman"/>
          <w:sz w:val="28"/>
          <w:szCs w:val="28"/>
        </w:rPr>
        <w:t>120,000.00</w:t>
      </w:r>
      <w:r>
        <w:rPr>
          <w:rFonts w:hint="eastAsia" w:ascii="Times New Roman" w:hAnsi="Times New Roman" w:eastAsia="仿宋_GB2312" w:cs="Times New Roman"/>
          <w:sz w:val="28"/>
          <w:szCs w:val="28"/>
        </w:rPr>
        <w:t>元（截至2024年10月15日，累计已收到该协议期政府采购服务经费</w:t>
      </w:r>
      <w:r>
        <w:rPr>
          <w:rFonts w:ascii="Times New Roman" w:hAnsi="Times New Roman" w:eastAsia="仿宋_GB2312" w:cs="Times New Roman"/>
          <w:sz w:val="28"/>
          <w:szCs w:val="28"/>
        </w:rPr>
        <w:t>2,400,000.00</w:t>
      </w:r>
      <w:r>
        <w:rPr>
          <w:rFonts w:hint="eastAsia" w:ascii="Times New Roman" w:hAnsi="Times New Roman" w:eastAsia="仿宋_GB2312" w:cs="Times New Roman"/>
          <w:sz w:val="28"/>
          <w:szCs w:val="28"/>
        </w:rPr>
        <w:t>元；支付归属于该协议期的支出</w:t>
      </w:r>
      <w:r>
        <w:rPr>
          <w:rFonts w:ascii="Times New Roman" w:hAnsi="Times New Roman" w:eastAsia="仿宋_GB2312" w:cs="Times New Roman"/>
          <w:sz w:val="28"/>
          <w:szCs w:val="28"/>
        </w:rPr>
        <w:t>1,250.27</w:t>
      </w:r>
      <w:r>
        <w:rPr>
          <w:rFonts w:hint="eastAsia" w:ascii="Times New Roman" w:hAnsi="Times New Roman" w:eastAsia="仿宋_GB2312" w:cs="Times New Roman"/>
          <w:sz w:val="28"/>
          <w:szCs w:val="28"/>
        </w:rPr>
        <w:t>元，为“日常办公费用－水电费”支出。</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调整后，该协议期累计收到服务经费</w:t>
      </w:r>
      <w:r>
        <w:rPr>
          <w:rFonts w:ascii="Times New Roman" w:hAnsi="Times New Roman" w:eastAsia="仿宋_GB2312" w:cs="Times New Roman"/>
          <w:sz w:val="28"/>
          <w:szCs w:val="28"/>
        </w:rPr>
        <w:t>2,400,000.00</w:t>
      </w:r>
      <w:r>
        <w:rPr>
          <w:rFonts w:hint="eastAsia" w:ascii="Times New Roman" w:hAnsi="Times New Roman" w:eastAsia="仿宋_GB2312" w:cs="Times New Roman"/>
          <w:sz w:val="28"/>
          <w:szCs w:val="28"/>
        </w:rPr>
        <w:t>元，累计支出</w:t>
      </w:r>
      <w:r>
        <w:rPr>
          <w:rFonts w:ascii="Times New Roman" w:hAnsi="Times New Roman" w:eastAsia="仿宋_GB2312" w:cs="Times New Roman"/>
          <w:sz w:val="28"/>
          <w:szCs w:val="28"/>
        </w:rPr>
        <w:t>2,548,836.05</w:t>
      </w:r>
      <w:r>
        <w:rPr>
          <w:rFonts w:hint="eastAsia" w:ascii="Times New Roman" w:hAnsi="Times New Roman" w:eastAsia="仿宋_GB2312" w:cs="Times New Roman"/>
          <w:sz w:val="28"/>
          <w:szCs w:val="28"/>
        </w:rPr>
        <w:t>元，结余资金</w:t>
      </w:r>
      <w:r>
        <w:rPr>
          <w:rFonts w:ascii="Times New Roman" w:hAnsi="Times New Roman" w:eastAsia="仿宋_GB2312" w:cs="Times New Roman"/>
          <w:sz w:val="28"/>
          <w:szCs w:val="28"/>
        </w:rPr>
        <w:t>-148,836.05</w:t>
      </w:r>
      <w:r>
        <w:rPr>
          <w:rFonts w:hint="eastAsia" w:ascii="Times New Roman" w:hAnsi="Times New Roman" w:eastAsia="仿宋_GB2312" w:cs="Times New Roman"/>
          <w:sz w:val="28"/>
          <w:szCs w:val="28"/>
        </w:rPr>
        <w:t>。该协议期人员费用支出占服务总经费的</w:t>
      </w:r>
      <w:r>
        <w:rPr>
          <w:rFonts w:ascii="Times New Roman" w:hAnsi="Times New Roman" w:eastAsia="仿宋_GB2312" w:cs="Times New Roman"/>
          <w:sz w:val="28"/>
          <w:szCs w:val="28"/>
        </w:rPr>
        <w:t>86.65%</w:t>
      </w:r>
      <w:r>
        <w:rPr>
          <w:rFonts w:hint="eastAsia" w:ascii="Times New Roman" w:hAnsi="Times New Roman" w:eastAsia="仿宋_GB2312" w:cs="Times New Roman"/>
          <w:sz w:val="28"/>
          <w:szCs w:val="28"/>
        </w:rPr>
        <w:t>，服务质量保障费用及运营管理费用支出占服务总经费的</w:t>
      </w:r>
      <w:r>
        <w:rPr>
          <w:rFonts w:ascii="Times New Roman" w:hAnsi="Times New Roman" w:eastAsia="仿宋_GB2312" w:cs="Times New Roman"/>
          <w:sz w:val="28"/>
          <w:szCs w:val="28"/>
        </w:rPr>
        <w:t>19.55%</w:t>
      </w:r>
      <w:r>
        <w:rPr>
          <w:rFonts w:hint="eastAsia" w:ascii="Times New Roman" w:hAnsi="Times New Roman" w:eastAsia="仿宋_GB2312" w:cs="Times New Roman"/>
          <w:sz w:val="28"/>
          <w:szCs w:val="28"/>
        </w:rPr>
        <w:t>，其中运营管理费用支出占服务总经费的</w:t>
      </w:r>
      <w:r>
        <w:rPr>
          <w:rFonts w:ascii="Times New Roman" w:hAnsi="Times New Roman" w:eastAsia="仿宋_GB2312" w:cs="Times New Roman"/>
          <w:sz w:val="28"/>
          <w:szCs w:val="28"/>
        </w:rPr>
        <w:t>7.70%</w:t>
      </w:r>
      <w:r>
        <w:rPr>
          <w:rFonts w:hint="eastAsia" w:ascii="Times New Roman" w:hAnsi="Times New Roman" w:eastAsia="仿宋_GB2312" w:cs="Times New Roman"/>
          <w:sz w:val="28"/>
          <w:szCs w:val="28"/>
        </w:rPr>
        <w:t>。</w:t>
      </w:r>
    </w:p>
    <w:p>
      <w:pPr>
        <w:spacing w:line="61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2019年4月16日—2024年10月15日</w:t>
      </w:r>
      <w:r>
        <w:rPr>
          <w:rFonts w:ascii="Times New Roman" w:hAnsi="Times New Roman" w:eastAsia="仿宋_GB2312" w:cs="Times New Roman"/>
          <w:b/>
          <w:sz w:val="28"/>
          <w:szCs w:val="28"/>
        </w:rPr>
        <w:t>）</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根据“业会专审[202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113</w:t>
      </w:r>
      <w:r>
        <w:rPr>
          <w:rFonts w:ascii="Times New Roman" w:hAnsi="Times New Roman" w:eastAsia="仿宋_GB2312" w:cs="Times New Roman"/>
          <w:sz w:val="28"/>
          <w:szCs w:val="28"/>
        </w:rPr>
        <w:t>号”财务管理情况评估报告并结合本次</w:t>
      </w:r>
      <w:r>
        <w:rPr>
          <w:rFonts w:hint="eastAsia" w:ascii="Times New Roman" w:hAnsi="Times New Roman" w:eastAsia="仿宋_GB2312" w:cs="Times New Roman"/>
          <w:sz w:val="28"/>
          <w:szCs w:val="28"/>
        </w:rPr>
        <w:t>2024年4月16日至2024年10月15日</w:t>
      </w:r>
      <w:r>
        <w:rPr>
          <w:rFonts w:ascii="Times New Roman" w:hAnsi="Times New Roman" w:eastAsia="仿宋_GB2312" w:cs="Times New Roman"/>
          <w:sz w:val="28"/>
          <w:szCs w:val="28"/>
        </w:rPr>
        <w:t>财务管理评估情况，</w:t>
      </w:r>
      <w:r>
        <w:rPr>
          <w:rFonts w:hint="eastAsia" w:ascii="Times New Roman" w:hAnsi="Times New Roman" w:eastAsia="仿宋_GB2312" w:cs="Times New Roman"/>
          <w:sz w:val="28"/>
          <w:szCs w:val="28"/>
        </w:rPr>
        <w:t>自2019年4月16日至2024年10月15日止</w:t>
      </w:r>
      <w:r>
        <w:rPr>
          <w:rFonts w:ascii="Times New Roman" w:hAnsi="Times New Roman" w:eastAsia="仿宋_GB2312" w:cs="Times New Roman"/>
          <w:sz w:val="28"/>
          <w:szCs w:val="28"/>
        </w:rPr>
        <w:t>，石壁社工站服务经费累计结余498,539.31元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具体每期结余情况如下：</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w:t>
      </w:r>
      <w:r>
        <w:rPr>
          <w:rFonts w:hint="eastAsia" w:ascii="Times New Roman" w:hAnsi="Times New Roman" w:eastAsia="仿宋_GB2312" w:cs="Times New Roman"/>
          <w:sz w:val="28"/>
          <w:szCs w:val="28"/>
        </w:rPr>
        <w:t>2019年4月16日至2024年4月15日为石壁社工站（家综）的五年服务周期，结余资金</w:t>
      </w:r>
      <w:r>
        <w:rPr>
          <w:rFonts w:ascii="Times New Roman" w:hAnsi="Times New Roman" w:eastAsia="仿宋_GB2312" w:cs="Times New Roman"/>
          <w:sz w:val="28"/>
          <w:szCs w:val="28"/>
        </w:rPr>
        <w:t>256,391.77</w:t>
      </w:r>
      <w:r>
        <w:rPr>
          <w:rFonts w:hint="eastAsia" w:ascii="Times New Roman" w:hAnsi="Times New Roman" w:eastAsia="仿宋_GB2312" w:cs="Times New Roman"/>
          <w:sz w:val="28"/>
          <w:szCs w:val="28"/>
        </w:rPr>
        <w:t>元，其中：</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第一年协议期2019年4月16日至2020年4月15日，结余资金290,932.54元。</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第二年协议期2020年4月16日至2021年4月15日，结余资金57,012.86元。</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第三年协议期2021年4月16日至2022年4月15日，结余资金-19,625.70元。</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第四年协议期2022年4月16日至2023年4月15日，结余金额76,908.12元。</w:t>
      </w:r>
      <w:r>
        <w:rPr>
          <w:rFonts w:hint="eastAsia" w:ascii="Times New Roman" w:hAnsi="Times New Roman" w:eastAsia="仿宋_GB2312" w:cs="Times New Roman"/>
          <w:spacing w:val="-10"/>
          <w:sz w:val="28"/>
          <w:szCs w:val="28"/>
        </w:rPr>
        <w:t>该协议期</w:t>
      </w:r>
      <w:bookmarkStart w:id="9" w:name="_Hlk110957820"/>
      <w:r>
        <w:rPr>
          <w:rFonts w:hint="eastAsia" w:ascii="Times New Roman" w:hAnsi="Times New Roman" w:eastAsia="仿宋_GB2312" w:cs="Times New Roman"/>
          <w:spacing w:val="-10"/>
          <w:sz w:val="28"/>
          <w:szCs w:val="28"/>
        </w:rPr>
        <w:t>石壁</w:t>
      </w:r>
      <w:r>
        <w:rPr>
          <w:rFonts w:hint="eastAsia" w:ascii="Times New Roman" w:hAnsi="Times New Roman" w:eastAsia="仿宋_GB2312"/>
          <w:sz w:val="28"/>
          <w:szCs w:val="28"/>
        </w:rPr>
        <w:t>社工站人员费用及服务质量保障费用支出占服务总经费的</w:t>
      </w:r>
      <w:bookmarkEnd w:id="9"/>
      <w:r>
        <w:rPr>
          <w:rFonts w:ascii="Times New Roman" w:hAnsi="Times New Roman" w:eastAsia="仿宋_GB2312"/>
          <w:sz w:val="28"/>
          <w:szCs w:val="28"/>
        </w:rPr>
        <w:t>82.85%</w:t>
      </w:r>
      <w:r>
        <w:rPr>
          <w:rFonts w:hint="eastAsia" w:ascii="Times New Roman" w:hAnsi="Times New Roman" w:eastAsia="仿宋_GB2312"/>
          <w:sz w:val="28"/>
          <w:szCs w:val="28"/>
        </w:rPr>
        <w:t>（其中：人员费用支出占</w:t>
      </w:r>
      <w:r>
        <w:rPr>
          <w:rFonts w:ascii="Times New Roman" w:hAnsi="Times New Roman" w:eastAsia="仿宋_GB2312"/>
          <w:sz w:val="28"/>
          <w:szCs w:val="28"/>
        </w:rPr>
        <w:t>72.95%</w:t>
      </w:r>
      <w:r>
        <w:rPr>
          <w:rFonts w:hint="eastAsia" w:ascii="Times New Roman" w:hAnsi="Times New Roman" w:eastAsia="仿宋_GB2312"/>
          <w:sz w:val="28"/>
          <w:szCs w:val="28"/>
        </w:rPr>
        <w:t>），未达项目经费总额的85%</w:t>
      </w:r>
      <w:r>
        <w:rPr>
          <w:rFonts w:hint="eastAsia" w:ascii="Times New Roman" w:hAnsi="Times New Roman" w:eastAsia="仿宋_GB2312" w:cs="Times New Roman"/>
          <w:spacing w:val="-10"/>
          <w:sz w:val="28"/>
          <w:szCs w:val="28"/>
        </w:rPr>
        <w:t>。</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第五年协议期</w:t>
      </w:r>
      <w:bookmarkStart w:id="10" w:name="_Hlk183983153"/>
      <w:r>
        <w:rPr>
          <w:rFonts w:hint="eastAsia" w:ascii="Times New Roman" w:hAnsi="Times New Roman" w:eastAsia="仿宋_GB2312" w:cs="Times New Roman"/>
          <w:sz w:val="28"/>
          <w:szCs w:val="28"/>
        </w:rPr>
        <w:t>2023年4月16日至2024年4月15日</w:t>
      </w:r>
      <w:bookmarkEnd w:id="10"/>
      <w:r>
        <w:rPr>
          <w:rFonts w:hint="eastAsia" w:ascii="Times New Roman" w:hAnsi="Times New Roman" w:eastAsia="仿宋_GB2312" w:cs="Times New Roman"/>
          <w:sz w:val="28"/>
          <w:szCs w:val="28"/>
        </w:rPr>
        <w:t>，结余金额</w:t>
      </w:r>
      <w:r>
        <w:rPr>
          <w:rFonts w:ascii="Times New Roman" w:hAnsi="Times New Roman" w:eastAsia="仿宋_GB2312" w:cs="Times New Roman"/>
          <w:sz w:val="28"/>
          <w:szCs w:val="28"/>
        </w:rPr>
        <w:t>-148,836.05</w:t>
      </w:r>
      <w:r>
        <w:rPr>
          <w:rFonts w:hint="eastAsia" w:ascii="Times New Roman" w:hAnsi="Times New Roman" w:eastAsia="仿宋_GB2312" w:cs="Times New Roman"/>
          <w:sz w:val="28"/>
          <w:szCs w:val="28"/>
        </w:rPr>
        <w:t>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㈡石壁社工站</w:t>
      </w:r>
      <w:r>
        <w:rPr>
          <w:rFonts w:hint="eastAsia" w:ascii="Times New Roman" w:hAnsi="Times New Roman" w:eastAsia="仿宋_GB2312" w:cs="Times New Roman"/>
          <w:sz w:val="28"/>
          <w:szCs w:val="28"/>
        </w:rPr>
        <w:t>2024年4月16日至2027年4月15日为石壁社工站的三年服务周期，其中：</w:t>
      </w:r>
    </w:p>
    <w:p>
      <w:pPr>
        <w:spacing w:line="57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本评估期2024年4月16日至2024年10月15日，结余资金</w:t>
      </w:r>
      <w:r>
        <w:rPr>
          <w:rFonts w:ascii="Times New Roman" w:hAnsi="Times New Roman" w:eastAsia="仿宋_GB2312" w:cs="Times New Roman"/>
          <w:spacing w:val="-6"/>
          <w:sz w:val="28"/>
          <w:szCs w:val="28"/>
        </w:rPr>
        <w:t>242,147.54</w:t>
      </w:r>
      <w:r>
        <w:rPr>
          <w:rFonts w:hint="eastAsia" w:ascii="Times New Roman" w:hAnsi="Times New Roman" w:eastAsia="仿宋_GB2312" w:cs="Times New Roman"/>
          <w:spacing w:val="-6"/>
          <w:sz w:val="28"/>
          <w:szCs w:val="28"/>
        </w:rPr>
        <w:t>元。</w:t>
      </w:r>
    </w:p>
    <w:p>
      <w:pPr>
        <w:spacing w:line="570" w:lineRule="exact"/>
        <w:rPr>
          <w:rFonts w:ascii="Times New Roman" w:hAnsi="Times New Roman" w:eastAsia="仿宋_GB2312" w:cs="Times New Roman"/>
          <w:b/>
          <w:spacing w:val="-6"/>
          <w:sz w:val="28"/>
          <w:szCs w:val="28"/>
        </w:rPr>
      </w:pPr>
      <w:r>
        <w:rPr>
          <w:rFonts w:hint="eastAsia" w:ascii="Times New Roman" w:hAnsi="Times New Roman" w:eastAsia="仿宋_GB2312" w:cs="Times New Roman"/>
          <w:b/>
          <w:spacing w:val="-6"/>
          <w:sz w:val="28"/>
          <w:szCs w:val="28"/>
        </w:rPr>
        <w:t>九、风险提示</w:t>
      </w:r>
    </w:p>
    <w:p>
      <w:pPr>
        <w:spacing w:line="570" w:lineRule="exact"/>
        <w:ind w:firstLine="536" w:firstLineChars="200"/>
        <w:rPr>
          <w:rFonts w:ascii="Times New Roman" w:hAnsi="Times New Roman" w:eastAsia="仿宋_GB2312" w:cs="Times New Roman"/>
          <w:b/>
          <w:spacing w:val="-6"/>
          <w:sz w:val="28"/>
          <w:szCs w:val="28"/>
        </w:rPr>
      </w:pPr>
      <w:r>
        <w:rPr>
          <w:rFonts w:hint="eastAsia" w:ascii="Times New Roman" w:hAnsi="Times New Roman" w:eastAsia="仿宋_GB2312" w:cs="Times New Roman"/>
          <w:spacing w:val="-6"/>
          <w:sz w:val="28"/>
          <w:szCs w:val="28"/>
        </w:rPr>
        <w:t>《广州市社工服务站管理办法》（穗府办</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ascii="Times New Roman" w:hAnsi="Times New Roman" w:eastAsia="仿宋_GB2312" w:cs="Times New Roman"/>
          <w:spacing w:val="-6"/>
          <w:sz w:val="28"/>
          <w:szCs w:val="28"/>
        </w:rPr>
        <w:t>7</w:t>
      </w:r>
      <w:r>
        <w:rPr>
          <w:rFonts w:hint="eastAsia" w:ascii="Times New Roman" w:hAnsi="Times New Roman" w:eastAsia="仿宋_GB2312" w:cs="Times New Roman"/>
          <w:spacing w:val="-6"/>
          <w:sz w:val="28"/>
          <w:szCs w:val="28"/>
        </w:rPr>
        <w:t>号）第十八条规定，整体协议期人员费用应当不低于项目经费总额的</w:t>
      </w:r>
      <w:r>
        <w:rPr>
          <w:rFonts w:ascii="Times New Roman" w:hAnsi="Times New Roman" w:eastAsia="仿宋_GB2312" w:cs="Times New Roman"/>
          <w:spacing w:val="-6"/>
          <w:sz w:val="28"/>
          <w:szCs w:val="28"/>
        </w:rPr>
        <w:t>80%</w:t>
      </w:r>
      <w:r>
        <w:rPr>
          <w:rFonts w:hint="eastAsia" w:ascii="Times New Roman" w:hAnsi="Times New Roman" w:eastAsia="仿宋_GB2312" w:cs="Times New Roman"/>
          <w:spacing w:val="-6"/>
          <w:sz w:val="28"/>
          <w:szCs w:val="28"/>
        </w:rPr>
        <w:t>。经评估，2024年4月16日至2024年10月15日，在整体协议期间过半（</w:t>
      </w:r>
      <w:r>
        <w:rPr>
          <w:rFonts w:ascii="Times New Roman" w:hAnsi="Times New Roman" w:eastAsia="仿宋_GB2312" w:cs="Times New Roman"/>
          <w:spacing w:val="-6"/>
          <w:sz w:val="28"/>
          <w:szCs w:val="28"/>
        </w:rPr>
        <w:t>6</w:t>
      </w:r>
      <w:r>
        <w:rPr>
          <w:rFonts w:hint="eastAsia" w:ascii="Times New Roman" w:hAnsi="Times New Roman" w:eastAsia="仿宋_GB2312" w:cs="Times New Roman"/>
          <w:spacing w:val="-6"/>
          <w:sz w:val="28"/>
          <w:szCs w:val="28"/>
        </w:rPr>
        <w:t>个月</w:t>
      </w:r>
      <w:r>
        <w:rPr>
          <w:rFonts w:ascii="Times New Roman" w:hAnsi="Times New Roman" w:eastAsia="仿宋_GB2312" w:cs="Times New Roman"/>
          <w:spacing w:val="-6"/>
          <w:sz w:val="28"/>
          <w:szCs w:val="28"/>
        </w:rPr>
        <w:t>/12</w:t>
      </w:r>
      <w:r>
        <w:rPr>
          <w:rFonts w:hint="eastAsia" w:ascii="Times New Roman" w:hAnsi="Times New Roman" w:eastAsia="仿宋_GB2312" w:cs="Times New Roman"/>
          <w:spacing w:val="-6"/>
          <w:sz w:val="28"/>
          <w:szCs w:val="28"/>
        </w:rPr>
        <w:t>个月）的情况下，</w:t>
      </w:r>
      <w:r>
        <w:rPr>
          <w:rFonts w:ascii="Times New Roman" w:hAnsi="Times New Roman" w:eastAsia="仿宋_GB2312" w:cs="Times New Roman"/>
          <w:sz w:val="28"/>
          <w:szCs w:val="28"/>
        </w:rPr>
        <w:t>石壁社工站</w:t>
      </w:r>
      <w:r>
        <w:rPr>
          <w:rFonts w:hint="eastAsia" w:ascii="Times New Roman" w:hAnsi="Times New Roman" w:eastAsia="仿宋_GB2312" w:cs="Times New Roman"/>
          <w:spacing w:val="-6"/>
          <w:sz w:val="28"/>
          <w:szCs w:val="28"/>
        </w:rPr>
        <w:t>人员费用支出占整体协议期应收服务经费</w:t>
      </w:r>
      <w:r>
        <w:rPr>
          <w:rFonts w:ascii="Times New Roman" w:hAnsi="Times New Roman" w:eastAsia="仿宋_GB2312" w:cs="Times New Roman"/>
          <w:spacing w:val="-6"/>
          <w:sz w:val="28"/>
          <w:szCs w:val="28"/>
        </w:rPr>
        <w:t>35.85%</w:t>
      </w:r>
      <w:r>
        <w:rPr>
          <w:rFonts w:hint="eastAsia" w:ascii="Times New Roman" w:hAnsi="Times New Roman" w:eastAsia="仿宋_GB2312" w:cs="Times New Roman"/>
          <w:spacing w:val="-6"/>
          <w:sz w:val="28"/>
          <w:szCs w:val="28"/>
        </w:rPr>
        <w:t>，建议严格控制支出项目和支付进度，保障人员费用按整体协议期间规定限额完成支付。</w:t>
      </w:r>
    </w:p>
    <w:p>
      <w:pPr>
        <w:spacing w:line="570" w:lineRule="exact"/>
        <w:ind w:right="-569" w:rightChars="-271"/>
        <w:outlineLvl w:val="0"/>
        <w:rPr>
          <w:rFonts w:ascii="Times New Roman" w:hAnsi="Times New Roman" w:eastAsia="仿宋_GB2312" w:cs="Times New Roman"/>
          <w:b/>
          <w:bCs/>
          <w:sz w:val="28"/>
          <w:szCs w:val="28"/>
        </w:rPr>
      </w:pPr>
      <w:r>
        <w:rPr>
          <w:rFonts w:hint="eastAsia" w:ascii="Times New Roman" w:hAnsi="Times New Roman" w:eastAsia="仿宋_GB2312" w:cs="Times New Roman"/>
          <w:b/>
          <w:sz w:val="28"/>
          <w:szCs w:val="28"/>
        </w:rPr>
        <w:t>十</w:t>
      </w:r>
      <w:r>
        <w:rPr>
          <w:rFonts w:hint="eastAsia" w:ascii="Times New Roman" w:hAnsi="Times New Roman" w:eastAsia="仿宋_GB2312" w:cs="Times New Roman"/>
          <w:b/>
          <w:bCs/>
          <w:sz w:val="28"/>
          <w:szCs w:val="28"/>
        </w:rPr>
        <w:t>、</w:t>
      </w:r>
      <w:r>
        <w:rPr>
          <w:rFonts w:ascii="Times New Roman" w:hAnsi="Times New Roman" w:eastAsia="仿宋_GB2312" w:cs="Times New Roman"/>
          <w:b/>
          <w:bCs/>
          <w:sz w:val="28"/>
          <w:szCs w:val="28"/>
        </w:rPr>
        <w:t>评估结论</w:t>
      </w:r>
    </w:p>
    <w:p>
      <w:pPr>
        <w:spacing w:line="57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广州市番禺区石壁街社工服务站</w:t>
      </w:r>
      <w:r>
        <w:rPr>
          <w:rFonts w:ascii="Times New Roman" w:hAnsi="Times New Roman" w:eastAsia="仿宋_GB2312" w:cs="Times New Roman"/>
          <w:sz w:val="28"/>
          <w:szCs w:val="28"/>
        </w:rPr>
        <w:t>本次财务评估等级为：合格。</w:t>
      </w:r>
    </w:p>
    <w:p>
      <w:pPr>
        <w:spacing w:line="57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十一</w:t>
      </w:r>
      <w:r>
        <w:rPr>
          <w:rFonts w:ascii="Times New Roman" w:hAnsi="Times New Roman" w:eastAsia="仿宋_GB2312" w:cs="Times New Roman"/>
          <w:b/>
          <w:sz w:val="28"/>
          <w:szCs w:val="28"/>
        </w:rPr>
        <w:t>、其他事项</w:t>
      </w:r>
    </w:p>
    <w:p>
      <w:pPr>
        <w:spacing w:line="57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本报告仅供本次委托目的，即对石壁社工站财务评估使用，本事务所及本注册会计师不对运用本报告于其他目的造成的经济后果负责。</w:t>
      </w:r>
    </w:p>
    <w:p>
      <w:pPr>
        <w:spacing w:line="570" w:lineRule="exact"/>
        <w:ind w:firstLine="560" w:firstLineChars="200"/>
        <w:rPr>
          <w:rFonts w:ascii="Times New Roman" w:hAnsi="Times New Roman" w:eastAsia="仿宋" w:cs="Times New Roman"/>
          <w:sz w:val="28"/>
          <w:szCs w:val="28"/>
        </w:rPr>
      </w:pPr>
    </w:p>
    <w:p>
      <w:pPr>
        <w:spacing w:line="600" w:lineRule="exact"/>
        <w:ind w:left="850" w:leftChars="405"/>
        <w:rPr>
          <w:rFonts w:ascii="Times New Roman" w:hAnsi="Times New Roman" w:eastAsia="仿宋_GB2312" w:cs="Times New Roman"/>
          <w:sz w:val="28"/>
          <w:szCs w:val="28"/>
        </w:rPr>
      </w:pPr>
      <w:bookmarkStart w:id="11" w:name="_GoBack"/>
      <w:bookmarkEnd w:id="11"/>
    </w:p>
    <w:p>
      <w:pPr>
        <w:spacing w:line="600" w:lineRule="exact"/>
        <w:ind w:left="850" w:leftChars="405"/>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十二</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6C3DB6"/>
    <w:multiLevelType w:val="multilevel"/>
    <w:tmpl w:val="106C3DB6"/>
    <w:lvl w:ilvl="0" w:tentative="0">
      <w:start w:val="1"/>
      <w:numFmt w:val="ideographEnclosedCircle"/>
      <w:lvlText w:val="%1"/>
      <w:lvlJc w:val="left"/>
      <w:pPr>
        <w:ind w:left="920" w:hanging="360"/>
      </w:pPr>
      <w:rPr>
        <w:rFonts w:hint="default" w:ascii="仿宋" w:hAnsi="仿宋" w:eastAsia="仿宋"/>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47B"/>
    <w:rsid w:val="00001862"/>
    <w:rsid w:val="0000408A"/>
    <w:rsid w:val="00006800"/>
    <w:rsid w:val="00011010"/>
    <w:rsid w:val="00011264"/>
    <w:rsid w:val="000222C6"/>
    <w:rsid w:val="0002755A"/>
    <w:rsid w:val="000317CE"/>
    <w:rsid w:val="00041B6A"/>
    <w:rsid w:val="00043872"/>
    <w:rsid w:val="000456F4"/>
    <w:rsid w:val="00055B05"/>
    <w:rsid w:val="0006463F"/>
    <w:rsid w:val="00064B63"/>
    <w:rsid w:val="00065A6C"/>
    <w:rsid w:val="00071FB1"/>
    <w:rsid w:val="00086152"/>
    <w:rsid w:val="00097DB9"/>
    <w:rsid w:val="000B0008"/>
    <w:rsid w:val="000B5517"/>
    <w:rsid w:val="000B62CD"/>
    <w:rsid w:val="000C62F1"/>
    <w:rsid w:val="000C7A2A"/>
    <w:rsid w:val="000D1628"/>
    <w:rsid w:val="000E0E6A"/>
    <w:rsid w:val="000F0440"/>
    <w:rsid w:val="00102433"/>
    <w:rsid w:val="00110769"/>
    <w:rsid w:val="0012230B"/>
    <w:rsid w:val="001255E6"/>
    <w:rsid w:val="00133E77"/>
    <w:rsid w:val="001370D5"/>
    <w:rsid w:val="00141B82"/>
    <w:rsid w:val="001514FA"/>
    <w:rsid w:val="001524AE"/>
    <w:rsid w:val="0015779A"/>
    <w:rsid w:val="0016124C"/>
    <w:rsid w:val="00164A86"/>
    <w:rsid w:val="0016508D"/>
    <w:rsid w:val="00171040"/>
    <w:rsid w:val="00172280"/>
    <w:rsid w:val="0017382F"/>
    <w:rsid w:val="001839F4"/>
    <w:rsid w:val="001841AC"/>
    <w:rsid w:val="00185C33"/>
    <w:rsid w:val="00187A76"/>
    <w:rsid w:val="00191F3C"/>
    <w:rsid w:val="00193C33"/>
    <w:rsid w:val="001973EB"/>
    <w:rsid w:val="001A70D8"/>
    <w:rsid w:val="001A795B"/>
    <w:rsid w:val="001B0C80"/>
    <w:rsid w:val="001C1641"/>
    <w:rsid w:val="001D272C"/>
    <w:rsid w:val="001D2991"/>
    <w:rsid w:val="001E0431"/>
    <w:rsid w:val="001E2299"/>
    <w:rsid w:val="001E58E0"/>
    <w:rsid w:val="001E6903"/>
    <w:rsid w:val="001F6520"/>
    <w:rsid w:val="00200AB0"/>
    <w:rsid w:val="002046F9"/>
    <w:rsid w:val="0021171D"/>
    <w:rsid w:val="002146CD"/>
    <w:rsid w:val="00225676"/>
    <w:rsid w:val="00237B72"/>
    <w:rsid w:val="00262365"/>
    <w:rsid w:val="002626C2"/>
    <w:rsid w:val="00265F2A"/>
    <w:rsid w:val="00273696"/>
    <w:rsid w:val="00273BCE"/>
    <w:rsid w:val="002868E8"/>
    <w:rsid w:val="00290A8E"/>
    <w:rsid w:val="002A000C"/>
    <w:rsid w:val="002A1692"/>
    <w:rsid w:val="002A7C06"/>
    <w:rsid w:val="002C6261"/>
    <w:rsid w:val="002E00A9"/>
    <w:rsid w:val="002E0308"/>
    <w:rsid w:val="002E1BD7"/>
    <w:rsid w:val="002E4330"/>
    <w:rsid w:val="002E6686"/>
    <w:rsid w:val="002F2461"/>
    <w:rsid w:val="002F43BA"/>
    <w:rsid w:val="0030480B"/>
    <w:rsid w:val="00304ECF"/>
    <w:rsid w:val="0030717C"/>
    <w:rsid w:val="003113FB"/>
    <w:rsid w:val="00312000"/>
    <w:rsid w:val="003134DE"/>
    <w:rsid w:val="00323877"/>
    <w:rsid w:val="003314C0"/>
    <w:rsid w:val="003318A3"/>
    <w:rsid w:val="00331E35"/>
    <w:rsid w:val="00331E74"/>
    <w:rsid w:val="00341CAB"/>
    <w:rsid w:val="00344B95"/>
    <w:rsid w:val="00352068"/>
    <w:rsid w:val="0035269F"/>
    <w:rsid w:val="003627BA"/>
    <w:rsid w:val="0036444F"/>
    <w:rsid w:val="00364F01"/>
    <w:rsid w:val="00367140"/>
    <w:rsid w:val="00367BDD"/>
    <w:rsid w:val="00374A71"/>
    <w:rsid w:val="0037533C"/>
    <w:rsid w:val="0037741F"/>
    <w:rsid w:val="00387479"/>
    <w:rsid w:val="0039097A"/>
    <w:rsid w:val="00391295"/>
    <w:rsid w:val="003966BC"/>
    <w:rsid w:val="003A154F"/>
    <w:rsid w:val="003C19D1"/>
    <w:rsid w:val="003C5C85"/>
    <w:rsid w:val="003D2799"/>
    <w:rsid w:val="003E49EB"/>
    <w:rsid w:val="003E56B4"/>
    <w:rsid w:val="003F2D93"/>
    <w:rsid w:val="003F5F49"/>
    <w:rsid w:val="00415C4F"/>
    <w:rsid w:val="00417C33"/>
    <w:rsid w:val="00433012"/>
    <w:rsid w:val="004356BB"/>
    <w:rsid w:val="00441B0C"/>
    <w:rsid w:val="00446547"/>
    <w:rsid w:val="00446F4C"/>
    <w:rsid w:val="00456A81"/>
    <w:rsid w:val="00467250"/>
    <w:rsid w:val="00467D14"/>
    <w:rsid w:val="00467F29"/>
    <w:rsid w:val="004727E9"/>
    <w:rsid w:val="00473792"/>
    <w:rsid w:val="00474D25"/>
    <w:rsid w:val="00481251"/>
    <w:rsid w:val="00486EC6"/>
    <w:rsid w:val="004919B0"/>
    <w:rsid w:val="004B2146"/>
    <w:rsid w:val="004B266C"/>
    <w:rsid w:val="004B2C79"/>
    <w:rsid w:val="004B69E8"/>
    <w:rsid w:val="004B7044"/>
    <w:rsid w:val="004C2255"/>
    <w:rsid w:val="004C6CE1"/>
    <w:rsid w:val="004D6846"/>
    <w:rsid w:val="004E2951"/>
    <w:rsid w:val="0050140C"/>
    <w:rsid w:val="005030FC"/>
    <w:rsid w:val="00505189"/>
    <w:rsid w:val="0050530B"/>
    <w:rsid w:val="005107EC"/>
    <w:rsid w:val="00510E05"/>
    <w:rsid w:val="00516189"/>
    <w:rsid w:val="00521B04"/>
    <w:rsid w:val="00525CAD"/>
    <w:rsid w:val="0052700D"/>
    <w:rsid w:val="0053650F"/>
    <w:rsid w:val="005442C3"/>
    <w:rsid w:val="0054626A"/>
    <w:rsid w:val="00546E36"/>
    <w:rsid w:val="00550D9E"/>
    <w:rsid w:val="00553BCA"/>
    <w:rsid w:val="00556E7C"/>
    <w:rsid w:val="00563632"/>
    <w:rsid w:val="005708A7"/>
    <w:rsid w:val="00572760"/>
    <w:rsid w:val="0057312B"/>
    <w:rsid w:val="00583524"/>
    <w:rsid w:val="005855F9"/>
    <w:rsid w:val="00590D9F"/>
    <w:rsid w:val="00594D45"/>
    <w:rsid w:val="005978DA"/>
    <w:rsid w:val="005B1BE8"/>
    <w:rsid w:val="005C6036"/>
    <w:rsid w:val="005C6C0F"/>
    <w:rsid w:val="005C7CB0"/>
    <w:rsid w:val="005D1ADD"/>
    <w:rsid w:val="005E06D8"/>
    <w:rsid w:val="005E1468"/>
    <w:rsid w:val="005E48DD"/>
    <w:rsid w:val="005F164C"/>
    <w:rsid w:val="005F25B7"/>
    <w:rsid w:val="005F35CE"/>
    <w:rsid w:val="005F4B47"/>
    <w:rsid w:val="005F52F8"/>
    <w:rsid w:val="005F5FE2"/>
    <w:rsid w:val="005F6D4D"/>
    <w:rsid w:val="005F74CF"/>
    <w:rsid w:val="00602725"/>
    <w:rsid w:val="00610693"/>
    <w:rsid w:val="00613CD6"/>
    <w:rsid w:val="00615782"/>
    <w:rsid w:val="00625937"/>
    <w:rsid w:val="00632C66"/>
    <w:rsid w:val="006335C1"/>
    <w:rsid w:val="00636218"/>
    <w:rsid w:val="00641694"/>
    <w:rsid w:val="00641CFD"/>
    <w:rsid w:val="006450A8"/>
    <w:rsid w:val="00655B2F"/>
    <w:rsid w:val="00675A60"/>
    <w:rsid w:val="00682678"/>
    <w:rsid w:val="00683341"/>
    <w:rsid w:val="006845F1"/>
    <w:rsid w:val="00692A32"/>
    <w:rsid w:val="00692F38"/>
    <w:rsid w:val="0069342F"/>
    <w:rsid w:val="00696135"/>
    <w:rsid w:val="006B0BCE"/>
    <w:rsid w:val="006B4CE5"/>
    <w:rsid w:val="006B51FD"/>
    <w:rsid w:val="006C489D"/>
    <w:rsid w:val="006C5DF6"/>
    <w:rsid w:val="006D0434"/>
    <w:rsid w:val="006D31DD"/>
    <w:rsid w:val="006D4950"/>
    <w:rsid w:val="006E21E8"/>
    <w:rsid w:val="006E4926"/>
    <w:rsid w:val="006F3914"/>
    <w:rsid w:val="006F7DCB"/>
    <w:rsid w:val="007032DF"/>
    <w:rsid w:val="00703AFF"/>
    <w:rsid w:val="0070572C"/>
    <w:rsid w:val="00710A61"/>
    <w:rsid w:val="007173BB"/>
    <w:rsid w:val="00720737"/>
    <w:rsid w:val="007340D0"/>
    <w:rsid w:val="0073489C"/>
    <w:rsid w:val="007348B3"/>
    <w:rsid w:val="0073697E"/>
    <w:rsid w:val="0074347B"/>
    <w:rsid w:val="00745A2F"/>
    <w:rsid w:val="00746338"/>
    <w:rsid w:val="00747433"/>
    <w:rsid w:val="0075737E"/>
    <w:rsid w:val="00771D21"/>
    <w:rsid w:val="007730AC"/>
    <w:rsid w:val="00774A27"/>
    <w:rsid w:val="007827B3"/>
    <w:rsid w:val="00790BD6"/>
    <w:rsid w:val="007926ED"/>
    <w:rsid w:val="007927E1"/>
    <w:rsid w:val="007A047D"/>
    <w:rsid w:val="007A5A98"/>
    <w:rsid w:val="007B5343"/>
    <w:rsid w:val="007B7796"/>
    <w:rsid w:val="007D7166"/>
    <w:rsid w:val="007E00FC"/>
    <w:rsid w:val="007E372B"/>
    <w:rsid w:val="0080471D"/>
    <w:rsid w:val="00804C2D"/>
    <w:rsid w:val="00807BA7"/>
    <w:rsid w:val="00807BE3"/>
    <w:rsid w:val="00810A07"/>
    <w:rsid w:val="00824AE7"/>
    <w:rsid w:val="008321FE"/>
    <w:rsid w:val="00833576"/>
    <w:rsid w:val="008443BD"/>
    <w:rsid w:val="00846A06"/>
    <w:rsid w:val="00852D37"/>
    <w:rsid w:val="008548A1"/>
    <w:rsid w:val="00855127"/>
    <w:rsid w:val="00856883"/>
    <w:rsid w:val="0086051F"/>
    <w:rsid w:val="00876894"/>
    <w:rsid w:val="00883C29"/>
    <w:rsid w:val="00883F3E"/>
    <w:rsid w:val="00885EC2"/>
    <w:rsid w:val="00886570"/>
    <w:rsid w:val="008942DD"/>
    <w:rsid w:val="00896102"/>
    <w:rsid w:val="00897C30"/>
    <w:rsid w:val="00897D40"/>
    <w:rsid w:val="008A2A7D"/>
    <w:rsid w:val="008A5ADF"/>
    <w:rsid w:val="008B7EF7"/>
    <w:rsid w:val="008C3543"/>
    <w:rsid w:val="008C56DE"/>
    <w:rsid w:val="008C7615"/>
    <w:rsid w:val="008C7B77"/>
    <w:rsid w:val="008D477E"/>
    <w:rsid w:val="008D549A"/>
    <w:rsid w:val="008D6EC1"/>
    <w:rsid w:val="008E6127"/>
    <w:rsid w:val="008F0960"/>
    <w:rsid w:val="009005D9"/>
    <w:rsid w:val="00903490"/>
    <w:rsid w:val="00905374"/>
    <w:rsid w:val="009064EB"/>
    <w:rsid w:val="0090676E"/>
    <w:rsid w:val="0091586D"/>
    <w:rsid w:val="00926A47"/>
    <w:rsid w:val="00933CB6"/>
    <w:rsid w:val="009367AD"/>
    <w:rsid w:val="009439B4"/>
    <w:rsid w:val="0094449E"/>
    <w:rsid w:val="00952099"/>
    <w:rsid w:val="00952FD5"/>
    <w:rsid w:val="00953A03"/>
    <w:rsid w:val="0095423D"/>
    <w:rsid w:val="00954BA9"/>
    <w:rsid w:val="0095703D"/>
    <w:rsid w:val="009613FE"/>
    <w:rsid w:val="0096190D"/>
    <w:rsid w:val="009759AE"/>
    <w:rsid w:val="009923A1"/>
    <w:rsid w:val="00993572"/>
    <w:rsid w:val="0099451A"/>
    <w:rsid w:val="00996FF2"/>
    <w:rsid w:val="00997BCF"/>
    <w:rsid w:val="009A0C80"/>
    <w:rsid w:val="009A2387"/>
    <w:rsid w:val="009A7747"/>
    <w:rsid w:val="009B574E"/>
    <w:rsid w:val="009B7204"/>
    <w:rsid w:val="009C3790"/>
    <w:rsid w:val="009C5083"/>
    <w:rsid w:val="009C6074"/>
    <w:rsid w:val="009C6946"/>
    <w:rsid w:val="00A02EAF"/>
    <w:rsid w:val="00A15DDD"/>
    <w:rsid w:val="00A21C64"/>
    <w:rsid w:val="00A26AE8"/>
    <w:rsid w:val="00A411A4"/>
    <w:rsid w:val="00A411C8"/>
    <w:rsid w:val="00A43D5E"/>
    <w:rsid w:val="00A44649"/>
    <w:rsid w:val="00A5538A"/>
    <w:rsid w:val="00A62856"/>
    <w:rsid w:val="00A67D24"/>
    <w:rsid w:val="00A9361A"/>
    <w:rsid w:val="00A94714"/>
    <w:rsid w:val="00AA275E"/>
    <w:rsid w:val="00AA681D"/>
    <w:rsid w:val="00AC53AB"/>
    <w:rsid w:val="00AC58BD"/>
    <w:rsid w:val="00AC65FD"/>
    <w:rsid w:val="00AD7854"/>
    <w:rsid w:val="00AE18D0"/>
    <w:rsid w:val="00AE258D"/>
    <w:rsid w:val="00AE285D"/>
    <w:rsid w:val="00AE3E25"/>
    <w:rsid w:val="00AF0139"/>
    <w:rsid w:val="00AF7E6A"/>
    <w:rsid w:val="00B00D13"/>
    <w:rsid w:val="00B05B50"/>
    <w:rsid w:val="00B21BD7"/>
    <w:rsid w:val="00B27A0F"/>
    <w:rsid w:val="00B31529"/>
    <w:rsid w:val="00B3292D"/>
    <w:rsid w:val="00B41E70"/>
    <w:rsid w:val="00B45DD2"/>
    <w:rsid w:val="00B45FAC"/>
    <w:rsid w:val="00B47376"/>
    <w:rsid w:val="00B47C23"/>
    <w:rsid w:val="00B55A3F"/>
    <w:rsid w:val="00B61767"/>
    <w:rsid w:val="00B63132"/>
    <w:rsid w:val="00B634BC"/>
    <w:rsid w:val="00B63E4B"/>
    <w:rsid w:val="00B66EF3"/>
    <w:rsid w:val="00B67620"/>
    <w:rsid w:val="00B73D8A"/>
    <w:rsid w:val="00B77275"/>
    <w:rsid w:val="00B86605"/>
    <w:rsid w:val="00B94C44"/>
    <w:rsid w:val="00BA4475"/>
    <w:rsid w:val="00BA44ED"/>
    <w:rsid w:val="00BC27F3"/>
    <w:rsid w:val="00BC46BE"/>
    <w:rsid w:val="00BC7ED9"/>
    <w:rsid w:val="00BD2F47"/>
    <w:rsid w:val="00BD57BB"/>
    <w:rsid w:val="00BD6113"/>
    <w:rsid w:val="00BD68EF"/>
    <w:rsid w:val="00BE0C0E"/>
    <w:rsid w:val="00BE22A5"/>
    <w:rsid w:val="00BE37CD"/>
    <w:rsid w:val="00BE4354"/>
    <w:rsid w:val="00BE4B22"/>
    <w:rsid w:val="00BE6E97"/>
    <w:rsid w:val="00BF09E9"/>
    <w:rsid w:val="00C0211C"/>
    <w:rsid w:val="00C03042"/>
    <w:rsid w:val="00C033D6"/>
    <w:rsid w:val="00C10D35"/>
    <w:rsid w:val="00C2086D"/>
    <w:rsid w:val="00C22583"/>
    <w:rsid w:val="00C30E9A"/>
    <w:rsid w:val="00C36F86"/>
    <w:rsid w:val="00C41DD8"/>
    <w:rsid w:val="00C46491"/>
    <w:rsid w:val="00C50F29"/>
    <w:rsid w:val="00C617D2"/>
    <w:rsid w:val="00C802F7"/>
    <w:rsid w:val="00C81C71"/>
    <w:rsid w:val="00C859B4"/>
    <w:rsid w:val="00C97ADE"/>
    <w:rsid w:val="00CC094B"/>
    <w:rsid w:val="00CC24D1"/>
    <w:rsid w:val="00CC7FE9"/>
    <w:rsid w:val="00CD1FA3"/>
    <w:rsid w:val="00CD2143"/>
    <w:rsid w:val="00CD408C"/>
    <w:rsid w:val="00CD60B2"/>
    <w:rsid w:val="00CD62D5"/>
    <w:rsid w:val="00CE08B9"/>
    <w:rsid w:val="00CF688E"/>
    <w:rsid w:val="00D0409C"/>
    <w:rsid w:val="00D10308"/>
    <w:rsid w:val="00D122D8"/>
    <w:rsid w:val="00D144A2"/>
    <w:rsid w:val="00D20F7F"/>
    <w:rsid w:val="00D21D72"/>
    <w:rsid w:val="00D22C6A"/>
    <w:rsid w:val="00D24776"/>
    <w:rsid w:val="00D275F8"/>
    <w:rsid w:val="00D32C3A"/>
    <w:rsid w:val="00D348FD"/>
    <w:rsid w:val="00D3535F"/>
    <w:rsid w:val="00D40ACE"/>
    <w:rsid w:val="00D41BF1"/>
    <w:rsid w:val="00D41E95"/>
    <w:rsid w:val="00D428F3"/>
    <w:rsid w:val="00D43F41"/>
    <w:rsid w:val="00D44BFD"/>
    <w:rsid w:val="00D47C2A"/>
    <w:rsid w:val="00D51A02"/>
    <w:rsid w:val="00D752C9"/>
    <w:rsid w:val="00D76704"/>
    <w:rsid w:val="00D82197"/>
    <w:rsid w:val="00D86161"/>
    <w:rsid w:val="00D867E3"/>
    <w:rsid w:val="00D93807"/>
    <w:rsid w:val="00D945A2"/>
    <w:rsid w:val="00D97736"/>
    <w:rsid w:val="00DA6E0C"/>
    <w:rsid w:val="00DA734D"/>
    <w:rsid w:val="00DA7CF1"/>
    <w:rsid w:val="00DB02C4"/>
    <w:rsid w:val="00DD1039"/>
    <w:rsid w:val="00DD1165"/>
    <w:rsid w:val="00DD4EA7"/>
    <w:rsid w:val="00DE2776"/>
    <w:rsid w:val="00DE38B1"/>
    <w:rsid w:val="00DE69C7"/>
    <w:rsid w:val="00E1694E"/>
    <w:rsid w:val="00E21B1D"/>
    <w:rsid w:val="00E2471E"/>
    <w:rsid w:val="00E27762"/>
    <w:rsid w:val="00E31E66"/>
    <w:rsid w:val="00E34F14"/>
    <w:rsid w:val="00E370F4"/>
    <w:rsid w:val="00E42764"/>
    <w:rsid w:val="00E53F9C"/>
    <w:rsid w:val="00E54144"/>
    <w:rsid w:val="00E57618"/>
    <w:rsid w:val="00E57C7F"/>
    <w:rsid w:val="00E70D75"/>
    <w:rsid w:val="00E728DD"/>
    <w:rsid w:val="00E72E37"/>
    <w:rsid w:val="00E804DC"/>
    <w:rsid w:val="00E81B1E"/>
    <w:rsid w:val="00E86E25"/>
    <w:rsid w:val="00EA27B9"/>
    <w:rsid w:val="00EA6F18"/>
    <w:rsid w:val="00EC0150"/>
    <w:rsid w:val="00EC0A2B"/>
    <w:rsid w:val="00EC54BC"/>
    <w:rsid w:val="00EC6F93"/>
    <w:rsid w:val="00EC7651"/>
    <w:rsid w:val="00ED03C6"/>
    <w:rsid w:val="00ED03D7"/>
    <w:rsid w:val="00ED5017"/>
    <w:rsid w:val="00ED55AD"/>
    <w:rsid w:val="00EF005A"/>
    <w:rsid w:val="00EF28A5"/>
    <w:rsid w:val="00EF35A0"/>
    <w:rsid w:val="00EF6B55"/>
    <w:rsid w:val="00EF7ACF"/>
    <w:rsid w:val="00F055B8"/>
    <w:rsid w:val="00F07270"/>
    <w:rsid w:val="00F07276"/>
    <w:rsid w:val="00F12621"/>
    <w:rsid w:val="00F14556"/>
    <w:rsid w:val="00F1624D"/>
    <w:rsid w:val="00F1758F"/>
    <w:rsid w:val="00F2266F"/>
    <w:rsid w:val="00F25686"/>
    <w:rsid w:val="00F279E8"/>
    <w:rsid w:val="00F31B05"/>
    <w:rsid w:val="00F36B85"/>
    <w:rsid w:val="00F46D22"/>
    <w:rsid w:val="00F549A2"/>
    <w:rsid w:val="00F66AC5"/>
    <w:rsid w:val="00F755E2"/>
    <w:rsid w:val="00F779B6"/>
    <w:rsid w:val="00F801CF"/>
    <w:rsid w:val="00F82D47"/>
    <w:rsid w:val="00F852C5"/>
    <w:rsid w:val="00F86314"/>
    <w:rsid w:val="00F92DD8"/>
    <w:rsid w:val="00F94BE0"/>
    <w:rsid w:val="00FA1C78"/>
    <w:rsid w:val="00FB3AFF"/>
    <w:rsid w:val="00FB6DAA"/>
    <w:rsid w:val="00FC3FE6"/>
    <w:rsid w:val="00FC7A2B"/>
    <w:rsid w:val="00FD3E88"/>
    <w:rsid w:val="00FD45C2"/>
    <w:rsid w:val="00FE21FE"/>
    <w:rsid w:val="00FE3173"/>
    <w:rsid w:val="00FE6811"/>
    <w:rsid w:val="00FF0E1A"/>
    <w:rsid w:val="00FF5841"/>
    <w:rsid w:val="1575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semiHidden="0" w:name="annotation text"/>
    <w:lsdException w:unhideWhenUsed="0" w:uiPriority="99"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iPriority w:val="0"/>
    <w:pPr>
      <w:jc w:val="left"/>
    </w:pPr>
  </w:style>
  <w:style w:type="paragraph" w:styleId="3">
    <w:name w:val="Body Text Indent"/>
    <w:basedOn w:val="1"/>
    <w:link w:val="14"/>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uiPriority w:val="0"/>
    <w:rPr>
      <w:sz w:val="18"/>
      <w:szCs w:val="18"/>
    </w:rPr>
  </w:style>
  <w:style w:type="paragraph" w:styleId="5">
    <w:name w:val="footer"/>
    <w:basedOn w:val="1"/>
    <w:link w:val="13"/>
    <w:uiPriority w:val="99"/>
    <w:pPr>
      <w:tabs>
        <w:tab w:val="center" w:pos="4153"/>
        <w:tab w:val="right" w:pos="8306"/>
      </w:tabs>
      <w:snapToGrid w:val="0"/>
      <w:jc w:val="left"/>
    </w:pPr>
    <w:rPr>
      <w:sz w:val="18"/>
      <w:szCs w:val="18"/>
    </w:rPr>
  </w:style>
  <w:style w:type="paragraph" w:styleId="6">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uiPriority w:val="0"/>
    <w:rPr>
      <w:b/>
      <w:bCs/>
    </w:rPr>
  </w:style>
  <w:style w:type="character" w:styleId="10">
    <w:name w:val="annotation reference"/>
    <w:basedOn w:val="9"/>
    <w:uiPriority w:val="0"/>
    <w:rPr>
      <w:sz w:val="21"/>
      <w:szCs w:val="21"/>
    </w:rPr>
  </w:style>
  <w:style w:type="paragraph" w:styleId="11">
    <w:name w:val="List Paragraph"/>
    <w:basedOn w:val="1"/>
    <w:uiPriority w:val="99"/>
    <w:pPr>
      <w:ind w:firstLine="420" w:firstLineChars="200"/>
    </w:pPr>
  </w:style>
  <w:style w:type="character" w:customStyle="1" w:styleId="12">
    <w:name w:val="页眉 字符"/>
    <w:basedOn w:val="9"/>
    <w:link w:val="6"/>
    <w:uiPriority w:val="99"/>
    <w:rPr>
      <w:rFonts w:asciiTheme="minorHAnsi" w:hAnsiTheme="minorHAnsi" w:eastAsiaTheme="minorEastAsia" w:cstheme="minorBidi"/>
      <w:kern w:val="2"/>
      <w:sz w:val="18"/>
      <w:szCs w:val="18"/>
    </w:rPr>
  </w:style>
  <w:style w:type="character" w:customStyle="1" w:styleId="13">
    <w:name w:val="页脚 字符"/>
    <w:basedOn w:val="9"/>
    <w:link w:val="5"/>
    <w:uiPriority w:val="99"/>
    <w:rPr>
      <w:rFonts w:asciiTheme="minorHAnsi" w:hAnsiTheme="minorHAnsi" w:eastAsiaTheme="minorEastAsia" w:cstheme="minorBidi"/>
      <w:kern w:val="2"/>
      <w:sz w:val="18"/>
      <w:szCs w:val="18"/>
    </w:rPr>
  </w:style>
  <w:style w:type="character" w:customStyle="1" w:styleId="14">
    <w:name w:val="正文文本缩进 字符"/>
    <w:basedOn w:val="9"/>
    <w:link w:val="3"/>
    <w:uiPriority w:val="0"/>
    <w:rPr>
      <w:kern w:val="2"/>
      <w:sz w:val="18"/>
      <w:szCs w:val="24"/>
    </w:rPr>
  </w:style>
  <w:style w:type="character" w:customStyle="1" w:styleId="15">
    <w:name w:val="批注文字 字符"/>
    <w:basedOn w:val="9"/>
    <w:link w:val="2"/>
    <w:uiPriority w:val="0"/>
    <w:rPr>
      <w:rFonts w:asciiTheme="minorHAnsi" w:hAnsiTheme="minorHAnsi" w:eastAsiaTheme="minorEastAsia" w:cstheme="minorBidi"/>
      <w:kern w:val="2"/>
      <w:sz w:val="21"/>
      <w:szCs w:val="24"/>
    </w:rPr>
  </w:style>
  <w:style w:type="character" w:customStyle="1" w:styleId="16">
    <w:name w:val="批注主题 字符"/>
    <w:basedOn w:val="15"/>
    <w:link w:val="7"/>
    <w:uiPriority w:val="0"/>
    <w:rPr>
      <w:rFonts w:asciiTheme="minorHAnsi" w:hAnsiTheme="minorHAnsi" w:eastAsiaTheme="minorEastAsia" w:cstheme="minorBidi"/>
      <w:b/>
      <w:bCs/>
      <w:kern w:val="2"/>
      <w:sz w:val="21"/>
      <w:szCs w:val="24"/>
    </w:rPr>
  </w:style>
  <w:style w:type="paragraph" w:customStyle="1" w:styleId="17">
    <w:name w:val="Revision"/>
    <w:hidden/>
    <w:semiHidden/>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字符"/>
    <w:basedOn w:val="9"/>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3B6BF2-8B47-4D4B-BB9A-C1DC96FB08E2}">
  <ds:schemaRefs/>
</ds:datastoreItem>
</file>

<file path=docProps/app.xml><?xml version="1.0" encoding="utf-8"?>
<Properties xmlns="http://schemas.openxmlformats.org/officeDocument/2006/extended-properties" xmlns:vt="http://schemas.openxmlformats.org/officeDocument/2006/docPropsVTypes">
  <Template>Normal.dotm</Template>
  <Pages>9</Pages>
  <Words>805</Words>
  <Characters>4595</Characters>
  <Lines>38</Lines>
  <Paragraphs>10</Paragraphs>
  <TotalTime>12</TotalTime>
  <ScaleCrop>false</ScaleCrop>
  <LinksUpToDate>false</LinksUpToDate>
  <CharactersWithSpaces>5390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2024-12-05T09:12:00Z</dcterms:created>
  <dc:creator>Dumpling</dc:creator>
  <cp:lastModifiedBy>Administrator</cp:lastModifiedBy>
  <cp:lastPrinted>2024-12-03T01:00:00Z</cp:lastPrinted>
  <dcterms:modified xsi:type="dcterms:W3CDTF">2024-12-12T04:44:19Z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ies>
</file>