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sz w:val="24"/>
        </w:rPr>
      </w:pPr>
      <w:bookmarkStart w:id="0" w:name="_Hlk110948188"/>
      <w:r>
        <w:rPr>
          <w:rFonts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vMrvs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NVWd2+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R2tSkAsCAAAFBAAADgAAAAAAAAABACAAAAA9AQAAZHJzL2Uyb0RvYy54bWxQSwECFAAUAAAA&#10;CACHTuJA/U6++tgAAAAJ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v:textbox>
              </v:shape>
            </w:pict>
          </mc:Fallback>
        </mc:AlternateContent>
      </w:r>
    </w:p>
    <w:p>
      <w:pPr>
        <w:spacing w:line="300" w:lineRule="exact"/>
        <w:ind w:left="6300" w:leftChars="3000" w:right="15" w:rightChars="7" w:firstLine="117" w:firstLineChars="42"/>
        <w:jc w:val="right"/>
        <w:rPr>
          <w:rFonts w:ascii="Times New Roman" w:hAnsi="Times New Roman" w:eastAsia="仿宋_GB2312" w:cs="Times New Roman"/>
          <w:sz w:val="28"/>
          <w:szCs w:val="28"/>
        </w:rPr>
      </w:pPr>
      <w:bookmarkStart w:id="1" w:name="_Hlk110948178"/>
      <w:r>
        <w:rPr>
          <w:rFonts w:ascii="Times New Roman" w:hAnsi="Times New Roman" w:eastAsia="仿宋_GB2312" w:cs="Times New Roman"/>
          <w:sz w:val="28"/>
          <w:szCs w:val="28"/>
        </w:rPr>
        <w:t>业会专审[202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181</w:t>
      </w:r>
      <w:r>
        <w:rPr>
          <w:rFonts w:ascii="Times New Roman" w:hAnsi="Times New Roman" w:eastAsia="仿宋_GB2312" w:cs="Times New Roman"/>
          <w:sz w:val="28"/>
          <w:szCs w:val="28"/>
        </w:rPr>
        <w:t>号</w:t>
      </w:r>
    </w:p>
    <w:bookmarkEnd w:id="0"/>
    <w:bookmarkEnd w:id="1"/>
    <w:p>
      <w:pPr>
        <w:jc w:val="center"/>
        <w:rPr>
          <w:rFonts w:ascii="Times New Roman" w:hAnsi="Times New Roman" w:eastAsia="仿宋_GB2312" w:cs="Times New Roman"/>
          <w:b/>
          <w:bCs/>
          <w:sz w:val="40"/>
          <w:szCs w:val="48"/>
        </w:rPr>
      </w:pPr>
    </w:p>
    <w:p>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关于对广州市番禺区</w:t>
      </w:r>
      <w:r>
        <w:rPr>
          <w:rFonts w:hint="eastAsia" w:ascii="Times New Roman" w:hAnsi="Times New Roman" w:eastAsia="宋体" w:cs="Times New Roman"/>
          <w:b/>
          <w:sz w:val="30"/>
          <w:szCs w:val="30"/>
        </w:rPr>
        <w:t>钟村</w:t>
      </w:r>
      <w:r>
        <w:rPr>
          <w:rFonts w:ascii="Times New Roman" w:hAnsi="Times New Roman" w:eastAsia="宋体" w:cs="Times New Roman"/>
          <w:b/>
          <w:sz w:val="30"/>
          <w:szCs w:val="30"/>
        </w:rPr>
        <w:t>街社工服务站</w:t>
      </w:r>
    </w:p>
    <w:p>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202</w:t>
      </w:r>
      <w:r>
        <w:rPr>
          <w:rFonts w:hint="eastAsia" w:ascii="Times New Roman" w:hAnsi="Times New Roman" w:eastAsia="宋体" w:cs="Times New Roman"/>
          <w:b/>
          <w:sz w:val="30"/>
          <w:szCs w:val="30"/>
        </w:rPr>
        <w:t>4</w:t>
      </w:r>
      <w:r>
        <w:rPr>
          <w:rFonts w:ascii="Times New Roman" w:hAnsi="Times New Roman" w:eastAsia="宋体" w:cs="Times New Roman"/>
          <w:b/>
          <w:sz w:val="30"/>
          <w:szCs w:val="30"/>
        </w:rPr>
        <w:t>年</w:t>
      </w:r>
      <w:r>
        <w:rPr>
          <w:rFonts w:hint="eastAsia" w:ascii="Times New Roman" w:hAnsi="Times New Roman" w:eastAsia="宋体" w:cs="Times New Roman"/>
          <w:b/>
          <w:sz w:val="30"/>
          <w:szCs w:val="30"/>
        </w:rPr>
        <w:t>1</w:t>
      </w:r>
      <w:r>
        <w:rPr>
          <w:rFonts w:ascii="Times New Roman" w:hAnsi="Times New Roman" w:eastAsia="宋体" w:cs="Times New Roman"/>
          <w:b/>
          <w:sz w:val="30"/>
          <w:szCs w:val="30"/>
        </w:rPr>
        <w:t>月</w:t>
      </w:r>
      <w:r>
        <w:rPr>
          <w:rFonts w:hint="eastAsia" w:ascii="Times New Roman" w:hAnsi="Times New Roman" w:eastAsia="宋体" w:cs="Times New Roman"/>
          <w:b/>
          <w:sz w:val="30"/>
          <w:szCs w:val="30"/>
        </w:rPr>
        <w:t>16</w:t>
      </w:r>
      <w:r>
        <w:rPr>
          <w:rFonts w:ascii="Times New Roman" w:hAnsi="Times New Roman" w:eastAsia="宋体" w:cs="Times New Roman"/>
          <w:b/>
          <w:sz w:val="30"/>
          <w:szCs w:val="30"/>
        </w:rPr>
        <w:t>日至202</w:t>
      </w:r>
      <w:r>
        <w:rPr>
          <w:rFonts w:hint="eastAsia" w:ascii="Times New Roman" w:hAnsi="Times New Roman" w:eastAsia="宋体" w:cs="Times New Roman"/>
          <w:b/>
          <w:sz w:val="30"/>
          <w:szCs w:val="30"/>
        </w:rPr>
        <w:t>4</w:t>
      </w:r>
      <w:r>
        <w:rPr>
          <w:rFonts w:ascii="Times New Roman" w:hAnsi="Times New Roman" w:eastAsia="宋体" w:cs="Times New Roman"/>
          <w:b/>
          <w:sz w:val="30"/>
          <w:szCs w:val="30"/>
        </w:rPr>
        <w:t>年</w:t>
      </w:r>
      <w:r>
        <w:rPr>
          <w:rFonts w:hint="eastAsia" w:ascii="Times New Roman" w:hAnsi="Times New Roman" w:eastAsia="宋体" w:cs="Times New Roman"/>
          <w:b/>
          <w:sz w:val="30"/>
          <w:szCs w:val="30"/>
        </w:rPr>
        <w:t>7</w:t>
      </w:r>
      <w:r>
        <w:rPr>
          <w:rFonts w:ascii="Times New Roman" w:hAnsi="Times New Roman" w:eastAsia="宋体" w:cs="Times New Roman"/>
          <w:b/>
          <w:sz w:val="30"/>
          <w:szCs w:val="30"/>
        </w:rPr>
        <w:t>月</w:t>
      </w:r>
      <w:r>
        <w:rPr>
          <w:rFonts w:hint="eastAsia" w:ascii="Times New Roman" w:hAnsi="Times New Roman" w:eastAsia="宋体" w:cs="Times New Roman"/>
          <w:b/>
          <w:sz w:val="30"/>
          <w:szCs w:val="30"/>
        </w:rPr>
        <w:t>15</w:t>
      </w:r>
      <w:r>
        <w:rPr>
          <w:rFonts w:ascii="Times New Roman" w:hAnsi="Times New Roman" w:eastAsia="宋体" w:cs="Times New Roman"/>
          <w:b/>
          <w:sz w:val="30"/>
          <w:szCs w:val="30"/>
        </w:rPr>
        <w:t>日财务管理情况评估报告</w:t>
      </w:r>
    </w:p>
    <w:p>
      <w:pPr>
        <w:spacing w:line="360" w:lineRule="auto"/>
        <w:jc w:val="center"/>
        <w:rPr>
          <w:rFonts w:ascii="Times New Roman" w:hAnsi="Times New Roman" w:eastAsia="仿宋_GB2312" w:cs="Times New Roman"/>
          <w:sz w:val="28"/>
          <w:szCs w:val="28"/>
        </w:rPr>
      </w:pPr>
    </w:p>
    <w:p>
      <w:pPr>
        <w:spacing w:line="64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我们接受委托，对广州市番禺区钟村街社工服务站（以下简称钟村社工站）202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月16日至2024年</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月15日</w:t>
      </w:r>
      <w:r>
        <w:rPr>
          <w:rFonts w:hint="eastAsia" w:ascii="Times New Roman" w:hAnsi="Times New Roman" w:eastAsia="仿宋_GB2312" w:cs="Times New Roman"/>
          <w:sz w:val="28"/>
          <w:szCs w:val="28"/>
        </w:rPr>
        <w:t>财务管理情况进行财务评估。提供真实、合法、完整的会计资料和评估相关资料是钟村社工站及其承接机构的责任，我们的责任是依据《中国注册会计师执业准则》、《中华人民共和国会计法》、《会计基础工作规范》、《民间非营利组织会计制度》、《广州市社工服务站管理办法》（穗府办</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7号）、《广州市社工站购买服务项目评估指标体系》（穗民</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97号）及广州市番禺区人民政府钟村街道办事处与社工服务站承接机构签订的购买服务协议中相关约定，对钟村社工站的财务管理情况进行审核，并出具财务评估报告</w:t>
      </w:r>
      <w:r>
        <w:rPr>
          <w:rFonts w:ascii="Times New Roman" w:hAnsi="Times New Roman" w:eastAsia="仿宋" w:cs="Times New Roman"/>
          <w:sz w:val="28"/>
          <w:szCs w:val="28"/>
        </w:rPr>
        <w:t>。</w:t>
      </w:r>
    </w:p>
    <w:p>
      <w:pPr>
        <w:spacing w:line="64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按照中国注册会计师职业道德守则，我们独立于钟村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r>
        <w:rPr>
          <w:rFonts w:ascii="Times New Roman" w:hAnsi="Times New Roman" w:eastAsia="仿宋" w:cs="Times New Roman"/>
          <w:sz w:val="28"/>
          <w:szCs w:val="28"/>
        </w:rPr>
        <w:t>：</w:t>
      </w:r>
    </w:p>
    <w:p>
      <w:pPr>
        <w:spacing w:line="62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一、钟村社工站基本情况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承接机构名称：广州市番禺区正阳社会工作服务中心。</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承接机构法定代表人：刘玉平。</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w:t>
      </w:r>
      <w:r>
        <w:rPr>
          <w:rFonts w:hint="eastAsia" w:ascii="Times New Roman" w:hAnsi="Times New Roman" w:eastAsia="仿宋_GB2312" w:cs="Times New Roman"/>
          <w:sz w:val="28"/>
          <w:szCs w:val="28"/>
        </w:rPr>
        <w:t>2019年7月16日至2024年7月15日</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w:t>
      </w:r>
      <w:r>
        <w:rPr>
          <w:rFonts w:hint="eastAsia" w:ascii="Times New Roman" w:hAnsi="Times New Roman" w:eastAsia="仿宋_GB2312" w:cs="Times New Roman"/>
          <w:sz w:val="28"/>
          <w:szCs w:val="28"/>
        </w:rPr>
        <w:t>2023年7月16日至2024年7月15日</w:t>
      </w:r>
      <w:r>
        <w:rPr>
          <w:rFonts w:ascii="Times New Roman" w:hAnsi="Times New Roman" w:eastAsia="仿宋_GB2312" w:cs="Times New Roman"/>
          <w:sz w:val="28"/>
          <w:szCs w:val="28"/>
        </w:rPr>
        <w:t>。</w:t>
      </w:r>
    </w:p>
    <w:p>
      <w:pPr>
        <w:spacing w:line="61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政府购买服务经费：本服务协议期限2023年7月16日至2024年7月15日的服务经费总计2,400,000.00元，分为三期拨付。其中：协议签订生效之日起30个工作日内拨付55%即1,320,000.00元，项目年度中期评估为合格以上</w:t>
      </w:r>
      <w:r>
        <w:rPr>
          <w:rFonts w:hint="eastAsia" w:ascii="Times New Roman" w:hAnsi="Times New Roman" w:eastAsia="仿宋_GB2312" w:cs="Times New Roman"/>
          <w:spacing w:val="-4"/>
          <w:sz w:val="28"/>
          <w:szCs w:val="28"/>
        </w:rPr>
        <w:t>的</w:t>
      </w:r>
      <w:r>
        <w:rPr>
          <w:rFonts w:ascii="Times New Roman" w:hAnsi="Times New Roman" w:eastAsia="仿宋_GB2312" w:cs="Times New Roman"/>
          <w:spacing w:val="-4"/>
          <w:sz w:val="28"/>
          <w:szCs w:val="28"/>
        </w:rPr>
        <w:t>拨付40%即960,000.00元</w:t>
      </w:r>
      <w:r>
        <w:rPr>
          <w:rFonts w:hint="eastAsia" w:ascii="Times New Roman" w:hAnsi="Times New Roman" w:eastAsia="仿宋_GB2312" w:cs="Times New Roman"/>
          <w:spacing w:val="-4"/>
          <w:sz w:val="28"/>
          <w:szCs w:val="28"/>
        </w:rPr>
        <w:t>，</w:t>
      </w:r>
      <w:r>
        <w:rPr>
          <w:rFonts w:ascii="Times New Roman" w:hAnsi="Times New Roman" w:eastAsia="仿宋_GB2312" w:cs="Times New Roman"/>
          <w:spacing w:val="-4"/>
          <w:sz w:val="28"/>
          <w:szCs w:val="28"/>
        </w:rPr>
        <w:t>年度末期评估为合格以上的拨付5%即120,000.00元。</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二、钟村社工站财务管理制度执行情况</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钟村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根据自身业务特点建立了《财务管理制度》</w:t>
      </w:r>
      <w:r>
        <w:rPr>
          <w:rFonts w:hint="eastAsia" w:ascii="Times New Roman" w:hAnsi="Times New Roman" w:eastAsia="仿宋" w:cs="Times New Roman"/>
          <w:sz w:val="28"/>
          <w:szCs w:val="28"/>
        </w:rPr>
        <w:t>《财务预决算制度》《费用报销及控制制度》《职位及薪酬制度》以及《财务问责制度》</w:t>
      </w:r>
      <w:r>
        <w:rPr>
          <w:rFonts w:ascii="Times New Roman" w:hAnsi="Times New Roman" w:eastAsia="仿宋" w:cs="Times New Roman"/>
          <w:sz w:val="28"/>
          <w:szCs w:val="28"/>
        </w:rPr>
        <w:t>等财务监管、风控制度。钟村社工站在实际工作中能按上述制度要求编制“关于社工站（家综）的经费预算表”；在经费报销和预支申请等方面均能执行承接机构制度规</w:t>
      </w:r>
      <w:r>
        <w:rPr>
          <w:rFonts w:hint="eastAsia" w:ascii="Times New Roman" w:hAnsi="Times New Roman" w:eastAsia="仿宋" w:cs="Times New Roman"/>
          <w:sz w:val="28"/>
          <w:szCs w:val="28"/>
        </w:rPr>
        <w:t>定</w:t>
      </w:r>
      <w:r>
        <w:rPr>
          <w:rFonts w:ascii="Times New Roman" w:hAnsi="Times New Roman" w:eastAsia="仿宋" w:cs="Times New Roman"/>
          <w:sz w:val="28"/>
          <w:szCs w:val="28"/>
        </w:rPr>
        <w:t>的程序、权限。</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除建立上述管理制度外，还建立了</w:t>
      </w:r>
      <w:r>
        <w:rPr>
          <w:rFonts w:hint="eastAsia" w:ascii="Times New Roman" w:hAnsi="Times New Roman" w:eastAsia="仿宋" w:cs="Times New Roman"/>
          <w:sz w:val="28"/>
          <w:szCs w:val="28"/>
        </w:rPr>
        <w:t>《资产管理制度》</w:t>
      </w:r>
      <w:r>
        <w:rPr>
          <w:rFonts w:ascii="Times New Roman" w:hAnsi="Times New Roman" w:eastAsia="仿宋" w:cs="Times New Roman"/>
          <w:sz w:val="28"/>
          <w:szCs w:val="28"/>
        </w:rPr>
        <w:t>，钟村社工站严格执行该项制度，并定期对固定资产进行盘点，详见本报告后附202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7</w:t>
      </w:r>
      <w:r>
        <w:rPr>
          <w:rFonts w:ascii="Times New Roman" w:hAnsi="Times New Roman" w:eastAsia="仿宋" w:cs="Times New Roman"/>
          <w:sz w:val="28"/>
          <w:szCs w:val="28"/>
        </w:rPr>
        <w:t>月</w:t>
      </w:r>
      <w:r>
        <w:rPr>
          <w:rFonts w:hint="eastAsia" w:ascii="Times New Roman" w:hAnsi="Times New Roman" w:eastAsia="仿宋" w:cs="Times New Roman"/>
          <w:sz w:val="28"/>
          <w:szCs w:val="28"/>
        </w:rPr>
        <w:t>31</w:t>
      </w:r>
      <w:r>
        <w:rPr>
          <w:rFonts w:ascii="Times New Roman" w:hAnsi="Times New Roman" w:eastAsia="仿宋" w:cs="Times New Roman"/>
          <w:sz w:val="28"/>
          <w:szCs w:val="28"/>
        </w:rPr>
        <w:t>日固定资产明细表（详见附件4）。</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bookmarkStart w:id="2" w:name="_Hlk110953931"/>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已按要求编制服务期内钟村社工站的</w:t>
      </w:r>
      <w:r>
        <w:rPr>
          <w:rFonts w:hint="eastAsia" w:ascii="Times New Roman" w:hAnsi="Times New Roman" w:eastAsia="仿宋" w:cs="Times New Roman"/>
          <w:sz w:val="28"/>
          <w:szCs w:val="28"/>
        </w:rPr>
        <w:t>财务自评报告</w:t>
      </w:r>
      <w:r>
        <w:rPr>
          <w:rFonts w:ascii="Times New Roman" w:hAnsi="Times New Roman" w:eastAsia="仿宋_GB2312" w:cs="Times New Roman"/>
          <w:sz w:val="28"/>
          <w:szCs w:val="28"/>
        </w:rPr>
        <w:t>；</w:t>
      </w:r>
      <w:bookmarkEnd w:id="2"/>
      <w:r>
        <w:rPr>
          <w:rFonts w:ascii="Times New Roman" w:hAnsi="Times New Roman" w:eastAsia="仿宋_GB2312" w:cs="Times New Roman"/>
          <w:sz w:val="28"/>
          <w:szCs w:val="28"/>
        </w:rPr>
        <w:t>中心202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年度财务报表已经</w:t>
      </w:r>
      <w:r>
        <w:rPr>
          <w:rFonts w:hint="eastAsia" w:ascii="Times New Roman" w:hAnsi="Times New Roman" w:eastAsia="仿宋_GB2312" w:cs="Times New Roman"/>
          <w:sz w:val="28"/>
          <w:szCs w:val="28"/>
        </w:rPr>
        <w:t>广东中煜会计师事务所（普通合伙）</w:t>
      </w:r>
      <w:r>
        <w:rPr>
          <w:rFonts w:ascii="Times New Roman" w:hAnsi="Times New Roman" w:eastAsia="仿宋_GB2312" w:cs="Times New Roman"/>
          <w:sz w:val="28"/>
          <w:szCs w:val="28"/>
        </w:rPr>
        <w:t>审计，并取得</w:t>
      </w:r>
      <w:r>
        <w:rPr>
          <w:rFonts w:hint="eastAsia" w:ascii="Times New Roman" w:hAnsi="Times New Roman" w:eastAsia="仿宋" w:cs="Times New Roman"/>
          <w:sz w:val="28"/>
          <w:szCs w:val="28"/>
        </w:rPr>
        <w:t>粤中煜审字[2024]1006号</w:t>
      </w:r>
      <w:r>
        <w:rPr>
          <w:rFonts w:ascii="Times New Roman" w:hAnsi="Times New Roman" w:eastAsia="仿宋_GB2312" w:cs="Times New Roman"/>
          <w:sz w:val="28"/>
          <w:szCs w:val="28"/>
        </w:rPr>
        <w:t>无保留意见审计报告</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3</w:t>
      </w:r>
      <w:r>
        <w:rPr>
          <w:rFonts w:ascii="Times New Roman" w:hAnsi="Times New Roman" w:eastAsia="仿宋" w:cs="Times New Roman"/>
          <w:sz w:val="28"/>
          <w:szCs w:val="28"/>
        </w:rPr>
        <w:t>年度企业所得税纳税情况已经</w:t>
      </w:r>
      <w:r>
        <w:rPr>
          <w:rFonts w:hint="eastAsia" w:ascii="Times New Roman" w:hAnsi="Times New Roman" w:eastAsia="仿宋_GB2312" w:cs="Times New Roman"/>
          <w:sz w:val="28"/>
          <w:szCs w:val="28"/>
        </w:rPr>
        <w:t>广州信德税务师事务所有限公司</w:t>
      </w:r>
      <w:r>
        <w:rPr>
          <w:rFonts w:ascii="Times New Roman" w:hAnsi="Times New Roman" w:eastAsia="仿宋_GB2312" w:cs="Times New Roman"/>
          <w:sz w:val="28"/>
          <w:szCs w:val="28"/>
        </w:rPr>
        <w:t>复核，并取得</w:t>
      </w:r>
      <w:r>
        <w:rPr>
          <w:rFonts w:hint="eastAsia" w:ascii="Times New Roman" w:hAnsi="Times New Roman" w:eastAsia="仿宋" w:cs="Times New Roman"/>
          <w:sz w:val="28"/>
          <w:szCs w:val="28"/>
        </w:rPr>
        <w:t>信德税鉴字[2024]第A045号</w:t>
      </w:r>
      <w:r>
        <w:rPr>
          <w:rFonts w:ascii="Times New Roman" w:hAnsi="Times New Roman" w:eastAsia="仿宋" w:cs="Times New Roman"/>
          <w:sz w:val="28"/>
          <w:szCs w:val="28"/>
        </w:rPr>
        <w:t>汇算清缴纳税调整报告</w:t>
      </w:r>
      <w:r>
        <w:rPr>
          <w:rFonts w:ascii="Times New Roman" w:hAnsi="Times New Roman" w:eastAsia="仿宋_GB2312" w:cs="Times New Roman"/>
          <w:sz w:val="28"/>
          <w:szCs w:val="28"/>
        </w:rPr>
        <w:t>。</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三、钟村社工站人员配备情况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严格贯彻不相容职务分离原则，为</w:t>
      </w:r>
      <w:r>
        <w:rPr>
          <w:rFonts w:ascii="Times New Roman" w:hAnsi="Times New Roman" w:eastAsia="仿宋_GB2312" w:cs="Times New Roman"/>
          <w:sz w:val="28"/>
          <w:szCs w:val="28"/>
        </w:rPr>
        <w:t>配置财务人员2名，</w:t>
      </w:r>
      <w:r>
        <w:rPr>
          <w:rFonts w:ascii="Times New Roman" w:hAnsi="Times New Roman" w:eastAsia="仿宋" w:cs="Times New Roman"/>
          <w:sz w:val="28"/>
          <w:szCs w:val="28"/>
        </w:rPr>
        <w:t>分别担任会计、出纳岗位，负责</w:t>
      </w:r>
      <w:r>
        <w:rPr>
          <w:rFonts w:hint="eastAsia" w:ascii="Times New Roman" w:hAnsi="Times New Roman" w:eastAsia="仿宋" w:cs="Times New Roman"/>
          <w:sz w:val="28"/>
          <w:szCs w:val="28"/>
        </w:rPr>
        <w:t>包括</w:t>
      </w:r>
      <w:r>
        <w:rPr>
          <w:rFonts w:ascii="Times New Roman" w:hAnsi="Times New Roman" w:eastAsia="仿宋_GB2312" w:cs="Times New Roman"/>
          <w:sz w:val="28"/>
          <w:szCs w:val="28"/>
        </w:rPr>
        <w:t>钟村社工站</w:t>
      </w:r>
      <w:r>
        <w:rPr>
          <w:rFonts w:hint="eastAsia" w:ascii="Times New Roman" w:hAnsi="Times New Roman" w:eastAsia="仿宋_GB2312" w:cs="Times New Roman"/>
          <w:sz w:val="28"/>
          <w:szCs w:val="28"/>
        </w:rPr>
        <w:t>在内的中心</w:t>
      </w:r>
      <w:r>
        <w:rPr>
          <w:rFonts w:ascii="Times New Roman" w:hAnsi="Times New Roman" w:eastAsia="仿宋_GB2312" w:cs="Times New Roman"/>
          <w:sz w:val="28"/>
          <w:szCs w:val="28"/>
        </w:rPr>
        <w:t>财务工作</w:t>
      </w:r>
      <w:r>
        <w:rPr>
          <w:rFonts w:ascii="Times New Roman" w:hAnsi="Times New Roman" w:eastAsia="仿宋" w:cs="Times New Roman"/>
          <w:sz w:val="28"/>
          <w:szCs w:val="28"/>
        </w:rPr>
        <w:t>，其中主管会计吴燕已取得会计</w:t>
      </w:r>
      <w:r>
        <w:rPr>
          <w:rFonts w:hint="eastAsia" w:ascii="Times New Roman" w:hAnsi="Times New Roman" w:eastAsia="仿宋" w:cs="Times New Roman"/>
          <w:sz w:val="28"/>
          <w:szCs w:val="28"/>
        </w:rPr>
        <w:t>中</w:t>
      </w:r>
      <w:r>
        <w:rPr>
          <w:rFonts w:ascii="Times New Roman" w:hAnsi="Times New Roman" w:eastAsia="仿宋" w:cs="Times New Roman"/>
          <w:sz w:val="28"/>
          <w:szCs w:val="28"/>
        </w:rPr>
        <w:t>级专业技术资格证</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经查阅，主管会计吴燕及出纳</w:t>
      </w:r>
      <w:r>
        <w:rPr>
          <w:rFonts w:hint="eastAsia" w:ascii="Times New Roman" w:hAnsi="Times New Roman" w:eastAsia="仿宋" w:cs="Times New Roman"/>
          <w:sz w:val="28"/>
          <w:szCs w:val="28"/>
        </w:rPr>
        <w:t>李淑娟</w:t>
      </w:r>
      <w:r>
        <w:rPr>
          <w:rFonts w:ascii="Times New Roman" w:hAnsi="Times New Roman" w:eastAsia="仿宋" w:cs="Times New Roman"/>
          <w:sz w:val="28"/>
          <w:szCs w:val="28"/>
        </w:rPr>
        <w:t>均已完成2023年度会计专业技术人员继续教育学习任务，且相应工资、五险一金等薪金支出在机构作为运营管理费用项目核算，未计入社工人员经费支出，</w:t>
      </w:r>
      <w:bookmarkStart w:id="3" w:name="_Hlk110958106"/>
      <w:r>
        <w:rPr>
          <w:rFonts w:ascii="Times New Roman" w:hAnsi="Times New Roman" w:eastAsia="仿宋" w:cs="Times New Roman"/>
          <w:sz w:val="28"/>
          <w:szCs w:val="28"/>
        </w:rPr>
        <w:t>符合要求</w:t>
      </w:r>
      <w:bookmarkEnd w:id="3"/>
      <w:r>
        <w:rPr>
          <w:rFonts w:ascii="Times New Roman" w:hAnsi="Times New Roman" w:eastAsia="仿宋" w:cs="Times New Roman"/>
          <w:sz w:val="28"/>
          <w:szCs w:val="28"/>
        </w:rPr>
        <w:t>。</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四、钟村社工站服务经费支出情况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w:t>
      </w:r>
      <w:r>
        <w:rPr>
          <w:rFonts w:hint="eastAsia" w:ascii="Times New Roman" w:hAnsi="Times New Roman" w:eastAsia="仿宋_GB2312" w:cs="Times New Roman"/>
          <w:sz w:val="28"/>
          <w:szCs w:val="28"/>
        </w:rPr>
        <w:t>根据《广</w:t>
      </w:r>
      <w:bookmarkStart w:id="11" w:name="_GoBack"/>
      <w:bookmarkEnd w:id="11"/>
      <w:r>
        <w:rPr>
          <w:rFonts w:hint="eastAsia" w:ascii="Times New Roman" w:hAnsi="Times New Roman" w:eastAsia="仿宋_GB2312" w:cs="Times New Roman"/>
          <w:sz w:val="28"/>
          <w:szCs w:val="28"/>
        </w:rPr>
        <w:t>州市社工服务站管理办法》（穗府办</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7号）、《广州市社工站购买服务项目评估指标体系》（穗民</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97号）等相关规定，结合实际情况</w:t>
      </w:r>
      <w:r>
        <w:rPr>
          <w:rFonts w:ascii="Times New Roman" w:hAnsi="Times New Roman" w:eastAsia="仿宋_GB2312" w:cs="Times New Roman"/>
          <w:sz w:val="28"/>
          <w:szCs w:val="28"/>
        </w:rPr>
        <w:t>建立</w:t>
      </w:r>
      <w:r>
        <w:rPr>
          <w:rFonts w:hint="eastAsia" w:ascii="Times New Roman" w:hAnsi="Times New Roman" w:eastAsia="仿宋_GB2312" w:cs="Times New Roman"/>
          <w:sz w:val="28"/>
          <w:szCs w:val="28"/>
        </w:rPr>
        <w:t>了《财务管理制度》、《费用报销及控制制度》，明确了</w:t>
      </w:r>
      <w:r>
        <w:rPr>
          <w:rFonts w:ascii="Times New Roman" w:hAnsi="Times New Roman" w:eastAsia="仿宋_GB2312" w:cs="Times New Roman"/>
          <w:sz w:val="28"/>
          <w:szCs w:val="28"/>
        </w:rPr>
        <w:t>财务经费支出的审核程序</w:t>
      </w:r>
      <w:r>
        <w:rPr>
          <w:rFonts w:hint="eastAsia" w:ascii="Times New Roman" w:hAnsi="Times New Roman" w:eastAsia="仿宋_GB2312" w:cs="Times New Roman"/>
          <w:sz w:val="28"/>
          <w:szCs w:val="28"/>
        </w:rPr>
        <w:t>及支出</w:t>
      </w:r>
      <w:r>
        <w:rPr>
          <w:rFonts w:ascii="Times New Roman" w:hAnsi="Times New Roman" w:eastAsia="仿宋_GB2312" w:cs="Times New Roman"/>
          <w:sz w:val="28"/>
          <w:szCs w:val="28"/>
        </w:rPr>
        <w:t>权限。制度规定：机构经费审批权限，原则上由各相关部门（项目）负责人预先审核，后经总干事统一审批方可执行，总干事经费审批权限≤5,000.00元；大于5,000.00元的经费支出需总干事报请理事长审批后方可执行。</w:t>
      </w:r>
      <w:r>
        <w:rPr>
          <w:rFonts w:hint="eastAsia" w:ascii="Times New Roman" w:hAnsi="Times New Roman" w:eastAsia="仿宋_GB2312" w:cs="Times New Roman"/>
          <w:sz w:val="28"/>
          <w:szCs w:val="28"/>
        </w:rPr>
        <w:t>本评估期内</w:t>
      </w:r>
      <w:r>
        <w:rPr>
          <w:rFonts w:ascii="Times New Roman" w:hAnsi="Times New Roman" w:eastAsia="仿宋_GB2312" w:cs="Times New Roman"/>
          <w:sz w:val="28"/>
          <w:szCs w:val="28"/>
        </w:rPr>
        <w:t>钟村社工站</w:t>
      </w:r>
      <w:r>
        <w:rPr>
          <w:rFonts w:hint="eastAsia" w:ascii="Times New Roman" w:hAnsi="Times New Roman" w:eastAsia="仿宋_GB2312" w:cs="Times New Roman"/>
          <w:sz w:val="28"/>
          <w:szCs w:val="28"/>
        </w:rPr>
        <w:t>经费支出具体情况如下：</w:t>
      </w:r>
    </w:p>
    <w:p>
      <w:pPr>
        <w:pStyle w:val="11"/>
        <w:numPr>
          <w:ilvl w:val="0"/>
          <w:numId w:val="1"/>
        </w:numPr>
        <w:spacing w:line="620" w:lineRule="exact"/>
        <w:ind w:right="-6" w:rightChars="-3" w:firstLineChars="0"/>
        <w:rPr>
          <w:rFonts w:ascii="Times New Roman" w:hAnsi="Times New Roman" w:eastAsia="仿宋_GB2312" w:cs="Times New Roman"/>
          <w:sz w:val="28"/>
          <w:szCs w:val="28"/>
        </w:rPr>
      </w:pPr>
      <w:r>
        <w:rPr>
          <w:rFonts w:ascii="Times New Roman" w:hAnsi="Times New Roman" w:eastAsia="仿宋_GB2312" w:cs="Times New Roman"/>
          <w:sz w:val="28"/>
          <w:szCs w:val="28"/>
        </w:rPr>
        <w:t>财务支出的合规性</w:t>
      </w:r>
    </w:p>
    <w:p>
      <w:pPr>
        <w:spacing w:line="620" w:lineRule="exact"/>
        <w:ind w:right="-6" w:rightChars="-3" w:firstLine="552" w:firstLineChars="200"/>
        <w:rPr>
          <w:rFonts w:ascii="Times New Roman" w:hAnsi="Times New Roman" w:eastAsia="仿宋_GB2312" w:cs="Times New Roman"/>
          <w:spacing w:val="-2"/>
          <w:sz w:val="28"/>
          <w:szCs w:val="28"/>
        </w:rPr>
      </w:pPr>
      <w:r>
        <w:rPr>
          <w:rFonts w:ascii="Times New Roman" w:hAnsi="Times New Roman" w:eastAsia="仿宋_GB2312" w:cs="Times New Roman"/>
          <w:spacing w:val="-2"/>
          <w:sz w:val="28"/>
          <w:szCs w:val="28"/>
        </w:rPr>
        <w:t>钟村社工站经费使用的范围、比例基本能按《</w:t>
      </w:r>
      <w:r>
        <w:rPr>
          <w:rFonts w:hint="eastAsia" w:ascii="Times New Roman" w:hAnsi="Times New Roman" w:eastAsia="仿宋_GB2312" w:cs="Times New Roman"/>
          <w:spacing w:val="-2"/>
          <w:sz w:val="28"/>
          <w:szCs w:val="28"/>
        </w:rPr>
        <w:t>广州市社工服务站管理办法</w:t>
      </w:r>
      <w:r>
        <w:rPr>
          <w:rFonts w:ascii="Times New Roman" w:hAnsi="Times New Roman" w:eastAsia="仿宋_GB2312" w:cs="Times New Roman"/>
          <w:spacing w:val="-2"/>
          <w:sz w:val="28"/>
          <w:szCs w:val="28"/>
        </w:rPr>
        <w:t>》有关规定执行。钟村社工站每年有制定“关于社工站（家综）的经费预算表”，明确规划了协议期内的收入和支出预算计划，经费支出预算表基本能符合《民间非营利组织会计制度》和广州市番禺区人民政府</w:t>
      </w:r>
      <w:r>
        <w:rPr>
          <w:rFonts w:hint="eastAsia" w:ascii="Times New Roman" w:hAnsi="Times New Roman" w:eastAsia="仿宋_GB2312" w:cs="Times New Roman"/>
          <w:spacing w:val="-2"/>
          <w:sz w:val="28"/>
          <w:szCs w:val="28"/>
        </w:rPr>
        <w:t>钟村</w:t>
      </w:r>
      <w:r>
        <w:rPr>
          <w:rFonts w:ascii="Times New Roman" w:hAnsi="Times New Roman" w:eastAsia="仿宋_GB2312" w:cs="Times New Roman"/>
          <w:spacing w:val="-2"/>
          <w:sz w:val="28"/>
          <w:szCs w:val="28"/>
        </w:rPr>
        <w:t>街道办事处与社工服务站承接机构签订的购买服务协议中人员费用、服务质量保障费用和运营管理费用规定的使用范围，活动经费预算表有机构理事会负责人签名确认。</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经审核，钟村社工站财务支出的事由、票据、标准基本合理。钟村社工站有经费预算程序，财务支出根据经费预算计划执行、基本能按预算标准支出，并有财务支出票据。</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审批情况</w:t>
      </w:r>
    </w:p>
    <w:p>
      <w:pPr>
        <w:spacing w:line="62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经审核，钟村社工站能按承接机构广州市番禺区正阳社会工作服务中心财务制度规定的审批权限进行审批。经费支出</w:t>
      </w:r>
      <w:r>
        <w:rPr>
          <w:rFonts w:hint="eastAsia" w:ascii="Times New Roman" w:hAnsi="Times New Roman" w:eastAsia="仿宋_GB2312" w:cs="Times New Roman"/>
          <w:spacing w:val="-4"/>
          <w:sz w:val="28"/>
          <w:szCs w:val="28"/>
        </w:rPr>
        <w:t>均有</w:t>
      </w:r>
      <w:r>
        <w:rPr>
          <w:rFonts w:ascii="Times New Roman" w:hAnsi="Times New Roman" w:eastAsia="仿宋_GB2312" w:cs="Times New Roman"/>
          <w:spacing w:val="-4"/>
          <w:sz w:val="28"/>
          <w:szCs w:val="28"/>
        </w:rPr>
        <w:t>经办人、证明人、审核人签名。</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监控情况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经审核，承接机构广州市番禺区正阳社会工作服务中心已建立财务支出管理的监控机制，并在钟村社工站得到较规范执行。</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、承接机构广州市番禺区正阳社会工作服务中心能按规定开设银行基本账户，按规定对该钟村社工站开设银行一般账户</w:t>
      </w:r>
      <w:r>
        <w:rPr>
          <w:rFonts w:hint="eastAsia" w:ascii="Times New Roman" w:hAnsi="Times New Roman" w:eastAsia="仿宋_GB2312" w:cs="Times New Roman"/>
          <w:sz w:val="28"/>
          <w:szCs w:val="28"/>
        </w:rPr>
        <w:t>（专户），日常财务支出采用专户支付和基本户代付后专户转回结合的方式。</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、为确保政府购买服务经费用于指定用途，承接机构广州市番禺区正阳社会工作服务中心有定期向购买方提交钟村社工站服务经费使用情况报告，对经费预算及使用情况作比对分析。</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w:t>
      </w:r>
      <w:r>
        <w:rPr>
          <w:rFonts w:ascii="Times New Roman" w:hAnsi="Times New Roman" w:eastAsia="仿宋_GB2312" w:cs="Times New Roman"/>
          <w:sz w:val="28"/>
          <w:szCs w:val="28"/>
        </w:rPr>
        <w:t>财务支出票据的完整性、规范性</w:t>
      </w:r>
    </w:p>
    <w:p>
      <w:pPr>
        <w:spacing w:line="620" w:lineRule="exact"/>
        <w:ind w:firstLine="536" w:firstLineChars="200"/>
        <w:rPr>
          <w:rFonts w:ascii="Times New Roman" w:hAnsi="Times New Roman" w:eastAsia="仿宋_GB2312" w:cs="Times New Roman"/>
          <w:spacing w:val="-6"/>
          <w:sz w:val="28"/>
          <w:szCs w:val="28"/>
        </w:rPr>
      </w:pPr>
      <w:r>
        <w:rPr>
          <w:rFonts w:ascii="Times New Roman" w:hAnsi="Times New Roman" w:eastAsia="仿宋_GB2312" w:cs="Times New Roman"/>
          <w:spacing w:val="-6"/>
          <w:sz w:val="28"/>
          <w:szCs w:val="28"/>
        </w:rPr>
        <w:t>钟村社工站财务支出票据、凭证填制较完整，账目设置、票据管理较规范。</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五、钟村社工站会计核算情况</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钟村社工站会计科目设置合理，所有服务业务均编制了记账凭证、登记了明细分类账簿和总账，核算做到账册、账账、账表相符，编制了会计报表，并符合相关会计制度独立核算。</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经审核，承接机构广州市番禺区正阳社会工作服务中心对承接的钟村社工站政府购买服务资金的服务经费支出，能按要求做到分项目核算。</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62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经审核，承接机构广州市番禺区正阳社会工作服务中心对承接的钟村社工站政府购买服务资金的服务经费支出，能按要求做到领域服务经费分开归集。</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2024年1月16日至2024年7月15日（以下简称本评估期）</w:t>
      </w:r>
      <w:r>
        <w:rPr>
          <w:rFonts w:ascii="Times New Roman" w:hAnsi="Times New Roman" w:eastAsia="仿宋_GB2312" w:cs="Times New Roman"/>
          <w:sz w:val="28"/>
          <w:szCs w:val="28"/>
        </w:rPr>
        <w:t>，钟村社工站收到本</w:t>
      </w:r>
      <w:r>
        <w:rPr>
          <w:rFonts w:hint="eastAsia" w:ascii="Times New Roman" w:hAnsi="Times New Roman" w:eastAsia="仿宋_GB2312" w:cs="Times New Roman"/>
          <w:sz w:val="28"/>
          <w:szCs w:val="28"/>
        </w:rPr>
        <w:t>协议</w:t>
      </w:r>
      <w:r>
        <w:rPr>
          <w:rFonts w:ascii="Times New Roman" w:hAnsi="Times New Roman" w:eastAsia="仿宋_GB2312" w:cs="Times New Roman"/>
          <w:sz w:val="28"/>
          <w:szCs w:val="28"/>
        </w:rPr>
        <w:t>期政府购买服务</w:t>
      </w:r>
      <w:bookmarkStart w:id="4" w:name="_Hlk110687493"/>
      <w:r>
        <w:rPr>
          <w:rFonts w:ascii="Times New Roman" w:hAnsi="Times New Roman" w:eastAsia="仿宋_GB2312" w:cs="Times New Roman"/>
          <w:sz w:val="28"/>
          <w:szCs w:val="28"/>
        </w:rPr>
        <w:t>经费</w:t>
      </w:r>
      <w:bookmarkEnd w:id="4"/>
      <w:r>
        <w:rPr>
          <w:rFonts w:ascii="Times New Roman" w:hAnsi="Times New Roman" w:eastAsia="仿宋_GB2312" w:cs="Times New Roman"/>
          <w:sz w:val="28"/>
          <w:szCs w:val="28"/>
        </w:rPr>
        <w:t>1,536,000.00元</w:t>
      </w:r>
      <w:r>
        <w:rPr>
          <w:rFonts w:hint="eastAsia" w:ascii="Times New Roman" w:hAnsi="Times New Roman" w:eastAsia="仿宋_GB2312" w:cs="Times New Roman"/>
          <w:sz w:val="28"/>
          <w:szCs w:val="28"/>
        </w:rPr>
        <w:t>（具体收款情况详见附件2）</w:t>
      </w:r>
      <w:r>
        <w:rPr>
          <w:rFonts w:ascii="Times New Roman" w:hAnsi="Times New Roman" w:eastAsia="仿宋_GB2312" w:cs="Times New Roman"/>
          <w:sz w:val="28"/>
          <w:szCs w:val="28"/>
        </w:rPr>
        <w:t>，归属于本评估期的服务经费支出累计1,354,735.94元，</w:t>
      </w:r>
      <w:bookmarkStart w:id="5" w:name="_Hlk110687647"/>
      <w:r>
        <w:rPr>
          <w:rFonts w:hint="eastAsia" w:ascii="Times New Roman" w:hAnsi="Times New Roman" w:eastAsia="仿宋_GB2312" w:cs="Times New Roman"/>
          <w:sz w:val="28"/>
          <w:szCs w:val="28"/>
        </w:rPr>
        <w:t>其中2024年1月~7月支付</w:t>
      </w:r>
      <w:r>
        <w:rPr>
          <w:rFonts w:ascii="Times New Roman" w:hAnsi="Times New Roman" w:eastAsia="仿宋_GB2312" w:cs="Times New Roman"/>
          <w:sz w:val="28"/>
          <w:szCs w:val="28"/>
        </w:rPr>
        <w:t>1,190,421.89</w:t>
      </w:r>
      <w:r>
        <w:rPr>
          <w:rFonts w:hint="eastAsia" w:ascii="Times New Roman" w:hAnsi="Times New Roman" w:eastAsia="仿宋_GB2312" w:cs="Times New Roman"/>
          <w:sz w:val="28"/>
          <w:szCs w:val="28"/>
        </w:rPr>
        <w:t>元，2024年8月支付</w:t>
      </w:r>
      <w:r>
        <w:rPr>
          <w:rFonts w:ascii="Times New Roman" w:hAnsi="Times New Roman" w:eastAsia="仿宋_GB2312" w:cs="Times New Roman"/>
          <w:sz w:val="28"/>
          <w:szCs w:val="28"/>
        </w:rPr>
        <w:t>164,314.05</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本评估期结余金额181,264.06元</w:t>
      </w:r>
      <w:bookmarkEnd w:id="5"/>
      <w:r>
        <w:rPr>
          <w:rFonts w:ascii="Times New Roman" w:hAnsi="Times New Roman" w:eastAsia="仿宋_GB2312" w:cs="Times New Roman"/>
          <w:sz w:val="28"/>
          <w:szCs w:val="28"/>
        </w:rPr>
        <w:t>，占实际拨入经费的11.80%。</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㈠用于人员费用支出1,104,859.06元，</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服务总经费的71.93%，（具体人员发放明细详见附件3）。其中：</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、工资总额支出928,937.85元；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、五险金支出145,486.21元；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、公积金支出30,435.00元</w:t>
      </w:r>
      <w:r>
        <w:rPr>
          <w:rFonts w:hint="eastAsia" w:ascii="Times New Roman" w:hAnsi="Times New Roman" w:eastAsia="仿宋_GB2312" w:cs="Times New Roman"/>
          <w:sz w:val="28"/>
          <w:szCs w:val="28"/>
        </w:rPr>
        <w:t>。</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㈡用于服务质量保障费用的支出合计154,174.33元，</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服务总经费的10.04%，其中：</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、专业支持的支出6,846.58元，占本评估期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服务总经费的0.45%。</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sz w:val="28"/>
          <w:szCs w:val="28"/>
        </w:rPr>
        <w:t>⑴</w:t>
      </w:r>
      <w:r>
        <w:rPr>
          <w:rFonts w:hint="eastAsia" w:ascii="Times New Roman" w:hAnsi="Times New Roman" w:eastAsia="仿宋_GB2312" w:cs="Times New Roman"/>
          <w:sz w:val="28"/>
          <w:szCs w:val="28"/>
        </w:rPr>
        <w:t>社工交流学习</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⑵社工专业提升支出0元。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sz w:val="28"/>
          <w:szCs w:val="28"/>
        </w:rPr>
        <w:t>⑶</w:t>
      </w:r>
      <w:r>
        <w:rPr>
          <w:rFonts w:hint="eastAsia" w:ascii="Times New Roman" w:hAnsi="Times New Roman" w:eastAsia="仿宋_GB2312"/>
          <w:sz w:val="28"/>
          <w:szCs w:val="28"/>
        </w:rPr>
        <w:t>社工服务领域培训费支出</w:t>
      </w:r>
      <w:r>
        <w:rPr>
          <w:rFonts w:ascii="Times New Roman" w:hAnsi="Times New Roman" w:eastAsia="仿宋_GB2312"/>
          <w:sz w:val="28"/>
          <w:szCs w:val="28"/>
        </w:rPr>
        <w:t>6,846.58</w:t>
      </w:r>
      <w:r>
        <w:rPr>
          <w:rFonts w:hint="eastAsia" w:ascii="Times New Roman" w:hAnsi="Times New Roman" w:eastAsia="仿宋_GB2312"/>
          <w:sz w:val="28"/>
          <w:szCs w:val="28"/>
        </w:rPr>
        <w:t>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、用于开展与专业服务和活动的支出24,914.15元，占本评估期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服务总经费的1.62%。</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服务和活动物料</w:t>
      </w:r>
      <w:r>
        <w:rPr>
          <w:rFonts w:ascii="Times New Roman" w:hAnsi="Times New Roman" w:eastAsia="仿宋_GB2312" w:cs="Times New Roman"/>
          <w:sz w:val="28"/>
          <w:szCs w:val="28"/>
        </w:rPr>
        <w:t>支出12,551.94元；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宣传费</w:t>
      </w:r>
      <w:r>
        <w:rPr>
          <w:rFonts w:ascii="Times New Roman" w:hAnsi="Times New Roman" w:eastAsia="仿宋_GB2312" w:cs="Times New Roman"/>
          <w:sz w:val="28"/>
          <w:szCs w:val="28"/>
        </w:rPr>
        <w:t>支出12,362.21元；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、用于日常办公费用支出30,301.37元，占本评估期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服务总经费的1.97%。</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办公费耗材支出17,953.19元</w:t>
      </w:r>
      <w:r>
        <w:rPr>
          <w:rFonts w:hint="eastAsia"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电信</w:t>
      </w:r>
      <w:r>
        <w:rPr>
          <w:rFonts w:ascii="Times New Roman" w:hAnsi="Times New Roman" w:eastAsia="仿宋_GB2312" w:cs="Times New Roman"/>
          <w:sz w:val="28"/>
          <w:szCs w:val="28"/>
        </w:rPr>
        <w:t>费支出4,416.70元；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水电</w:t>
      </w:r>
      <w:r>
        <w:rPr>
          <w:rFonts w:ascii="Times New Roman" w:hAnsi="Times New Roman" w:eastAsia="仿宋_GB2312" w:cs="Times New Roman"/>
          <w:sz w:val="28"/>
          <w:szCs w:val="28"/>
        </w:rPr>
        <w:t>费支出6,313.75元</w:t>
      </w:r>
      <w:r>
        <w:rPr>
          <w:rFonts w:hint="eastAsia"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⑷</w:t>
      </w:r>
      <w:r>
        <w:rPr>
          <w:rFonts w:hint="eastAsia" w:ascii="Times New Roman" w:hAnsi="Times New Roman" w:eastAsia="仿宋_GB2312" w:cs="Times New Roman"/>
          <w:sz w:val="28"/>
          <w:szCs w:val="28"/>
        </w:rPr>
        <w:t>折旧费支出</w:t>
      </w:r>
      <w:r>
        <w:rPr>
          <w:rFonts w:ascii="Times New Roman" w:hAnsi="Times New Roman" w:eastAsia="仿宋_GB2312" w:cs="Times New Roman"/>
          <w:sz w:val="28"/>
          <w:szCs w:val="28"/>
        </w:rPr>
        <w:t>1,052.94</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⑸</w:t>
      </w:r>
      <w:r>
        <w:rPr>
          <w:rFonts w:hint="eastAsia" w:ascii="Times New Roman" w:hAnsi="Times New Roman" w:eastAsia="仿宋_GB2312" w:cs="Times New Roman"/>
          <w:sz w:val="28"/>
          <w:szCs w:val="28"/>
        </w:rPr>
        <w:t>银行手续费支出</w:t>
      </w:r>
      <w:r>
        <w:rPr>
          <w:rFonts w:ascii="Times New Roman" w:hAnsi="Times New Roman" w:eastAsia="仿宋_GB2312" w:cs="Times New Roman"/>
          <w:sz w:val="28"/>
          <w:szCs w:val="28"/>
        </w:rPr>
        <w:t>564.79</w:t>
      </w:r>
      <w:r>
        <w:rPr>
          <w:rFonts w:hint="eastAsia" w:ascii="Times New Roman" w:hAnsi="Times New Roman" w:eastAsia="仿宋_GB2312" w:cs="Times New Roman"/>
          <w:sz w:val="28"/>
          <w:szCs w:val="28"/>
        </w:rPr>
        <w:t>元</w:t>
      </w:r>
      <w:bookmarkStart w:id="6" w:name="_Hlk116635588"/>
      <w:r>
        <w:rPr>
          <w:rFonts w:hint="eastAsia" w:ascii="Times New Roman" w:hAnsi="Times New Roman" w:eastAsia="仿宋_GB2312" w:cs="Times New Roman"/>
          <w:sz w:val="28"/>
          <w:szCs w:val="28"/>
        </w:rPr>
        <w:t>。</w:t>
      </w:r>
      <w:bookmarkEnd w:id="6"/>
    </w:p>
    <w:p>
      <w:pPr>
        <w:spacing w:line="62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４</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支出92,112.23元，占本评估期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服务总经费的6.00%。</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㈢用于运营管理费用支出95,702.55元</w:t>
      </w:r>
      <w:r>
        <w:rPr>
          <w:rFonts w:hint="eastAsia" w:ascii="Times New Roman" w:hAnsi="Times New Roman" w:eastAsia="仿宋_GB2312" w:cs="Times New Roman"/>
          <w:sz w:val="28"/>
          <w:szCs w:val="28"/>
        </w:rPr>
        <w:t>，占</w:t>
      </w:r>
      <w:r>
        <w:rPr>
          <w:rFonts w:ascii="Times New Roman" w:hAnsi="Times New Roman" w:eastAsia="仿宋_GB2312" w:cs="Times New Roman"/>
          <w:sz w:val="28"/>
          <w:szCs w:val="28"/>
        </w:rPr>
        <w:t>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服务总经费的6.23%。其中：</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w:t>
      </w:r>
      <w:r>
        <w:rPr>
          <w:rFonts w:ascii="Times New Roman" w:hAnsi="Times New Roman" w:eastAsia="仿宋_GB2312" w:cs="Times New Roman"/>
          <w:sz w:val="28"/>
          <w:szCs w:val="28"/>
        </w:rPr>
        <w:t>费支出0元；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、分摊机构人员工资59,841.25元；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、分摊机构人员社保4,490.01元；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、分摊机构人员公积金933.14元；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w:t>
      </w:r>
      <w:r>
        <w:rPr>
          <w:rFonts w:ascii="Times New Roman" w:hAnsi="Times New Roman" w:eastAsia="仿宋_GB2312" w:cs="Times New Roman"/>
          <w:sz w:val="28"/>
          <w:szCs w:val="28"/>
        </w:rPr>
        <w:t>、分摊机构费用17,786.30元；</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６、</w:t>
      </w:r>
      <w:r>
        <w:rPr>
          <w:rFonts w:hint="eastAsia" w:ascii="Times New Roman" w:hAnsi="Times New Roman" w:eastAsia="仿宋_GB2312" w:cs="Times New Roman"/>
          <w:sz w:val="28"/>
          <w:szCs w:val="28"/>
        </w:rPr>
        <w:t>工会经费支出</w:t>
      </w:r>
      <w:r>
        <w:rPr>
          <w:rFonts w:ascii="Times New Roman" w:hAnsi="Times New Roman" w:eastAsia="仿宋_GB2312" w:cs="Times New Roman"/>
          <w:sz w:val="28"/>
          <w:szCs w:val="28"/>
        </w:rPr>
        <w:t>12,651.85元</w:t>
      </w:r>
      <w:r>
        <w:rPr>
          <w:rFonts w:hint="eastAsia" w:ascii="Times New Roman" w:hAnsi="Times New Roman" w:eastAsia="仿宋_GB2312" w:cs="Times New Roman"/>
          <w:sz w:val="28"/>
          <w:szCs w:val="28"/>
        </w:rPr>
        <w:t>。</w:t>
      </w:r>
    </w:p>
    <w:p>
      <w:pPr>
        <w:spacing w:line="590" w:lineRule="exact"/>
        <w:ind w:right="-569" w:rightChars="-271"/>
        <w:outlineLvl w:val="0"/>
        <w:rPr>
          <w:rFonts w:ascii="Times New Roman" w:hAnsi="Times New Roman" w:eastAsia="仿宋_GB2312" w:cs="Times New Roman"/>
          <w:sz w:val="28"/>
          <w:szCs w:val="28"/>
        </w:rPr>
      </w:pPr>
      <w:r>
        <w:rPr>
          <w:rFonts w:ascii="Times New Roman" w:hAnsi="Times New Roman" w:eastAsia="仿宋_GB2312" w:cs="Times New Roman"/>
          <w:b/>
          <w:sz w:val="28"/>
          <w:szCs w:val="28"/>
        </w:rPr>
        <w:t>七、</w:t>
      </w:r>
      <w:r>
        <w:rPr>
          <w:rFonts w:hint="eastAsia" w:ascii="Times New Roman" w:hAnsi="Times New Roman" w:eastAsia="仿宋_GB2312" w:cs="Times New Roman"/>
          <w:b/>
          <w:sz w:val="28"/>
          <w:szCs w:val="28"/>
        </w:rPr>
        <w:t>本次服务协议期</w:t>
      </w:r>
      <w:r>
        <w:rPr>
          <w:rFonts w:ascii="Times New Roman" w:hAnsi="Times New Roman" w:eastAsia="仿宋_GB2312" w:cs="Times New Roman"/>
          <w:b/>
          <w:sz w:val="28"/>
          <w:szCs w:val="28"/>
        </w:rPr>
        <w:t>（202</w:t>
      </w:r>
      <w:r>
        <w:rPr>
          <w:rFonts w:hint="eastAsia" w:ascii="Times New Roman" w:hAnsi="Times New Roman" w:eastAsia="仿宋_GB2312" w:cs="Times New Roman"/>
          <w:b/>
          <w:sz w:val="28"/>
          <w:szCs w:val="28"/>
        </w:rPr>
        <w:t>3</w:t>
      </w:r>
      <w:r>
        <w:rPr>
          <w:rFonts w:ascii="Times New Roman" w:hAnsi="Times New Roman" w:eastAsia="仿宋_GB2312" w:cs="Times New Roman"/>
          <w:b/>
          <w:sz w:val="28"/>
          <w:szCs w:val="28"/>
        </w:rPr>
        <w:t>年</w:t>
      </w:r>
      <w:r>
        <w:rPr>
          <w:rFonts w:hint="eastAsia" w:ascii="Times New Roman" w:hAnsi="Times New Roman" w:eastAsia="仿宋_GB2312" w:cs="Times New Roman"/>
          <w:b/>
          <w:sz w:val="28"/>
          <w:szCs w:val="28"/>
        </w:rPr>
        <w:t>7</w:t>
      </w:r>
      <w:r>
        <w:rPr>
          <w:rFonts w:ascii="Times New Roman" w:hAnsi="Times New Roman" w:eastAsia="仿宋_GB2312" w:cs="Times New Roman"/>
          <w:b/>
          <w:sz w:val="28"/>
          <w:szCs w:val="28"/>
        </w:rPr>
        <w:t>月</w:t>
      </w:r>
      <w:r>
        <w:rPr>
          <w:rFonts w:hint="eastAsia" w:ascii="Times New Roman" w:hAnsi="Times New Roman" w:eastAsia="仿宋_GB2312" w:cs="Times New Roman"/>
          <w:b/>
          <w:sz w:val="28"/>
          <w:szCs w:val="28"/>
        </w:rPr>
        <w:t>16</w:t>
      </w:r>
      <w:r>
        <w:rPr>
          <w:rFonts w:ascii="Times New Roman" w:hAnsi="Times New Roman" w:eastAsia="仿宋_GB2312" w:cs="Times New Roman"/>
          <w:b/>
          <w:sz w:val="28"/>
          <w:szCs w:val="28"/>
        </w:rPr>
        <w:t>日至202</w:t>
      </w:r>
      <w:r>
        <w:rPr>
          <w:rFonts w:hint="eastAsia" w:ascii="Times New Roman" w:hAnsi="Times New Roman" w:eastAsia="仿宋_GB2312" w:cs="Times New Roman"/>
          <w:b/>
          <w:sz w:val="28"/>
          <w:szCs w:val="28"/>
        </w:rPr>
        <w:t>4</w:t>
      </w:r>
      <w:r>
        <w:rPr>
          <w:rFonts w:ascii="Times New Roman" w:hAnsi="Times New Roman" w:eastAsia="仿宋_GB2312" w:cs="Times New Roman"/>
          <w:b/>
          <w:sz w:val="28"/>
          <w:szCs w:val="28"/>
        </w:rPr>
        <w:t>年</w:t>
      </w:r>
      <w:r>
        <w:rPr>
          <w:rFonts w:hint="eastAsia" w:ascii="Times New Roman" w:hAnsi="Times New Roman" w:eastAsia="仿宋_GB2312" w:cs="Times New Roman"/>
          <w:b/>
          <w:sz w:val="28"/>
          <w:szCs w:val="28"/>
        </w:rPr>
        <w:t>7</w:t>
      </w:r>
      <w:r>
        <w:rPr>
          <w:rFonts w:ascii="Times New Roman" w:hAnsi="Times New Roman" w:eastAsia="仿宋_GB2312" w:cs="Times New Roman"/>
          <w:b/>
          <w:sz w:val="28"/>
          <w:szCs w:val="28"/>
        </w:rPr>
        <w:t>月</w:t>
      </w:r>
      <w:r>
        <w:rPr>
          <w:rFonts w:hint="eastAsia" w:ascii="Times New Roman" w:hAnsi="Times New Roman" w:eastAsia="仿宋_GB2312" w:cs="Times New Roman"/>
          <w:b/>
          <w:sz w:val="28"/>
          <w:szCs w:val="28"/>
        </w:rPr>
        <w:t>15</w:t>
      </w:r>
      <w:r>
        <w:rPr>
          <w:rFonts w:ascii="Times New Roman" w:hAnsi="Times New Roman" w:eastAsia="仿宋_GB2312" w:cs="Times New Roman"/>
          <w:b/>
          <w:sz w:val="28"/>
          <w:szCs w:val="28"/>
        </w:rPr>
        <w:t>日）经费总拨入、支出、结余情况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根据“业会专审[202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018</w:t>
      </w:r>
      <w:r>
        <w:rPr>
          <w:rFonts w:ascii="Times New Roman" w:hAnsi="Times New Roman" w:eastAsia="仿宋_GB2312" w:cs="Times New Roman"/>
          <w:sz w:val="28"/>
          <w:szCs w:val="28"/>
        </w:rPr>
        <w:t>号”财务管理情况评估报告并结合本评估期202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16</w:t>
      </w:r>
      <w:r>
        <w:rPr>
          <w:rFonts w:ascii="Times New Roman" w:hAnsi="Times New Roman" w:eastAsia="仿宋_GB2312" w:cs="Times New Roman"/>
          <w:sz w:val="28"/>
          <w:szCs w:val="28"/>
        </w:rPr>
        <w:t>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15</w:t>
      </w:r>
      <w:r>
        <w:rPr>
          <w:rFonts w:ascii="Times New Roman" w:hAnsi="Times New Roman" w:eastAsia="仿宋_GB2312" w:cs="Times New Roman"/>
          <w:sz w:val="28"/>
          <w:szCs w:val="28"/>
        </w:rPr>
        <w:t>日财务管理评估情况，截至202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月30日，钟村社工站累计已收到本次服务协议期政府采购服务经费2,280,000.00元，累计支出服务经费2,439,411.13元，结余金额为-159,411.1</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元</w:t>
      </w:r>
      <w:bookmarkStart w:id="7" w:name="_Hlk110957893"/>
      <w:r>
        <w:rPr>
          <w:rFonts w:hint="eastAsia" w:ascii="Times New Roman" w:hAnsi="Times New Roman" w:eastAsia="仿宋_GB2312" w:cs="Times New Roman"/>
          <w:sz w:val="28"/>
          <w:szCs w:val="28"/>
        </w:rPr>
        <w:t>（不含未拨入的1</w:t>
      </w:r>
      <w:r>
        <w:rPr>
          <w:rFonts w:ascii="Times New Roman" w:hAnsi="Times New Roman" w:eastAsia="仿宋_GB2312" w:cs="Times New Roman"/>
          <w:sz w:val="28"/>
          <w:szCs w:val="28"/>
        </w:rPr>
        <w:t>20</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000</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（详见附件1）</w:t>
      </w:r>
      <w:bookmarkEnd w:id="7"/>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经评估，用于钟村社工站的人员费用支出占服务总经费的</w:t>
      </w:r>
      <w:r>
        <w:rPr>
          <w:rFonts w:ascii="Times New Roman" w:hAnsi="Times New Roman" w:eastAsia="仿宋_GB2312" w:cs="Times New Roman"/>
          <w:sz w:val="28"/>
          <w:szCs w:val="28"/>
        </w:rPr>
        <w:t>83.22%</w:t>
      </w:r>
      <w:r>
        <w:rPr>
          <w:rFonts w:hint="eastAsia" w:ascii="Times New Roman" w:hAnsi="Times New Roman" w:eastAsia="仿宋_GB2312" w:cs="Times New Roman"/>
          <w:sz w:val="28"/>
          <w:szCs w:val="28"/>
        </w:rPr>
        <w:t>，本期预算执行率</w:t>
      </w:r>
      <w:r>
        <w:rPr>
          <w:rFonts w:ascii="Times New Roman" w:hAnsi="Times New Roman" w:eastAsia="仿宋_GB2312" w:cs="Times New Roman"/>
          <w:sz w:val="28"/>
          <w:szCs w:val="28"/>
        </w:rPr>
        <w:t>104.03%</w:t>
      </w:r>
      <w:r>
        <w:rPr>
          <w:rFonts w:hint="eastAsia" w:ascii="Times New Roman" w:hAnsi="Times New Roman" w:eastAsia="仿宋_GB2312" w:cs="Times New Roman"/>
          <w:sz w:val="28"/>
          <w:szCs w:val="28"/>
        </w:rPr>
        <w:t>；</w:t>
      </w:r>
      <w:bookmarkStart w:id="8" w:name="_Hlk169527383"/>
      <w:r>
        <w:rPr>
          <w:rFonts w:hint="eastAsia" w:ascii="Times New Roman" w:hAnsi="Times New Roman" w:eastAsia="仿宋_GB2312" w:cs="Times New Roman"/>
          <w:sz w:val="28"/>
          <w:szCs w:val="28"/>
        </w:rPr>
        <w:t>服务质量保障费用及承接机构管理费用占服务总经费的</w:t>
      </w:r>
      <w:bookmarkEnd w:id="8"/>
      <w:r>
        <w:rPr>
          <w:rFonts w:ascii="Times New Roman" w:hAnsi="Times New Roman" w:eastAsia="仿宋_GB2312" w:cs="Times New Roman"/>
          <w:sz w:val="28"/>
          <w:szCs w:val="28"/>
        </w:rPr>
        <w:t>18.42%</w:t>
      </w:r>
      <w:r>
        <w:rPr>
          <w:rFonts w:hint="eastAsia" w:ascii="Times New Roman" w:hAnsi="Times New Roman" w:eastAsia="仿宋_GB2312" w:cs="Times New Roman"/>
          <w:sz w:val="28"/>
          <w:szCs w:val="28"/>
        </w:rPr>
        <w:t>，其中承接机构管理费用占服务总经费的</w:t>
      </w:r>
      <w:r>
        <w:rPr>
          <w:rFonts w:ascii="Times New Roman" w:hAnsi="Times New Roman" w:eastAsia="仿宋_GB2312" w:cs="Times New Roman"/>
          <w:sz w:val="28"/>
          <w:szCs w:val="28"/>
        </w:rPr>
        <w:t>7.94%</w:t>
      </w:r>
      <w:r>
        <w:rPr>
          <w:rFonts w:hint="eastAsia" w:ascii="Times New Roman" w:hAnsi="Times New Roman" w:eastAsia="仿宋_GB2312" w:cs="Times New Roman"/>
          <w:sz w:val="28"/>
          <w:szCs w:val="28"/>
        </w:rPr>
        <w:t>，本期服务质量保障费用及承接机构管理费用的预算执行率</w:t>
      </w:r>
      <w:bookmarkStart w:id="9" w:name="_Hlk110957909"/>
      <w:r>
        <w:rPr>
          <w:rFonts w:ascii="Times New Roman" w:hAnsi="Times New Roman" w:eastAsia="仿宋_GB2312" w:cs="Times New Roman"/>
          <w:sz w:val="28"/>
          <w:szCs w:val="28"/>
        </w:rPr>
        <w:t>92.09%，</w:t>
      </w:r>
      <w:bookmarkEnd w:id="9"/>
      <w:r>
        <w:rPr>
          <w:rFonts w:ascii="Times New Roman" w:hAnsi="Times New Roman" w:eastAsia="仿宋_GB2312" w:cs="Times New Roman"/>
          <w:sz w:val="28"/>
          <w:szCs w:val="28"/>
        </w:rPr>
        <w:t>具体经费支出情况如下：</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㈠用于钟村社工站人员费用支出1,997,382.49元，占服务总经费的83.22%，（具体人员发放明细详见附件3）。其中：</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、工资总额支出1,645,277.44元</w:t>
      </w:r>
      <w:r>
        <w:rPr>
          <w:rFonts w:hint="eastAsia"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、五险金支出291,257.55元；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、公积金支出60,847.50元</w:t>
      </w:r>
      <w:r>
        <w:rPr>
          <w:rFonts w:hint="eastAsia" w:ascii="Times New Roman" w:hAnsi="Times New Roman" w:eastAsia="仿宋_GB2312" w:cs="Times New Roman"/>
          <w:sz w:val="28"/>
          <w:szCs w:val="28"/>
        </w:rPr>
        <w:t>。</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㈡用于钟村社工站服务质量保障费用的支出合计251,560.88元，占服务总经费的10.48%，其中：</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、专业支持的支出8,415.27元，占服务总经费的0.30%。</w:t>
      </w:r>
    </w:p>
    <w:p>
      <w:pPr>
        <w:spacing w:line="6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社工交流学习</w:t>
      </w:r>
      <w:r>
        <w:rPr>
          <w:rFonts w:ascii="Times New Roman" w:hAnsi="Times New Roman" w:eastAsia="仿宋_GB2312" w:cs="Times New Roman"/>
          <w:sz w:val="28"/>
          <w:szCs w:val="28"/>
        </w:rPr>
        <w:t>支出1,268.69元</w:t>
      </w:r>
      <w:r>
        <w:rPr>
          <w:rFonts w:hint="eastAsia" w:ascii="Times New Roman" w:hAnsi="Times New Roman" w:eastAsia="仿宋_GB2312" w:cs="Times New Roman"/>
          <w:sz w:val="28"/>
          <w:szCs w:val="28"/>
        </w:rPr>
        <w:t>，</w:t>
      </w:r>
      <w:r>
        <w:rPr>
          <w:rFonts w:ascii="Times New Roman" w:hAnsi="Times New Roman" w:eastAsia="仿宋" w:cs="Times New Roman"/>
          <w:sz w:val="28"/>
          <w:szCs w:val="28"/>
        </w:rPr>
        <w:t>为按比例支付广州正阳2023年度品牌大赛费用1,268.69元，该项支出总额6</w:t>
      </w:r>
      <w:r>
        <w:rPr>
          <w:rFonts w:ascii="Times New Roman" w:hAnsi="Times New Roman" w:eastAsia="仿宋_GB2312" w:cs="Times New Roman"/>
          <w:sz w:val="28"/>
          <w:szCs w:val="28"/>
        </w:rPr>
        <w:t>,</w:t>
      </w:r>
      <w:r>
        <w:rPr>
          <w:rFonts w:ascii="Times New Roman" w:hAnsi="Times New Roman" w:eastAsia="仿宋" w:cs="Times New Roman"/>
          <w:sz w:val="28"/>
          <w:szCs w:val="28"/>
        </w:rPr>
        <w:t>274.45元（1月15#）</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⑵社工专业提升支出0元；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sz w:val="28"/>
          <w:szCs w:val="28"/>
        </w:rPr>
        <w:t>⑶</w:t>
      </w:r>
      <w:r>
        <w:rPr>
          <w:rFonts w:hint="eastAsia" w:ascii="Times New Roman" w:hAnsi="Times New Roman" w:eastAsia="仿宋_GB2312"/>
          <w:sz w:val="28"/>
          <w:szCs w:val="28"/>
        </w:rPr>
        <w:t>社工专业服务领域培训支出</w:t>
      </w:r>
      <w:r>
        <w:rPr>
          <w:rFonts w:ascii="Times New Roman" w:hAnsi="Times New Roman" w:eastAsia="仿宋_GB2312"/>
          <w:sz w:val="28"/>
          <w:szCs w:val="28"/>
        </w:rPr>
        <w:t>7,146.58</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，其中支付香港仁爱堂YES培训学院认知障碍症长者服务系列培训费5,228.98元</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、用于开展与专业服务和活动的支出53,845.08元，占服务总经费的2.24%。</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服务和活动物料</w:t>
      </w:r>
      <w:r>
        <w:rPr>
          <w:rFonts w:ascii="Times New Roman" w:hAnsi="Times New Roman" w:eastAsia="仿宋_GB2312" w:cs="Times New Roman"/>
          <w:sz w:val="28"/>
          <w:szCs w:val="28"/>
        </w:rPr>
        <w:t>支出25,393.47元；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宣传费</w:t>
      </w:r>
      <w:r>
        <w:rPr>
          <w:rFonts w:ascii="Times New Roman" w:hAnsi="Times New Roman" w:eastAsia="仿宋_GB2312" w:cs="Times New Roman"/>
          <w:sz w:val="28"/>
          <w:szCs w:val="28"/>
        </w:rPr>
        <w:t>支出28,451.61元；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、用于日常办公费用支出52,580.54元，占服务总经费的2.19%。</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ascii="Times New Roman" w:hAnsi="Times New Roman" w:eastAsia="仿宋_GB2312" w:cs="Times New Roman"/>
          <w:sz w:val="28"/>
          <w:szCs w:val="28"/>
        </w:rPr>
        <w:t>办公费耗材支出24,553.63元；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电信</w:t>
      </w:r>
      <w:r>
        <w:rPr>
          <w:rFonts w:ascii="Times New Roman" w:hAnsi="Times New Roman" w:eastAsia="仿宋_GB2312" w:cs="Times New Roman"/>
          <w:sz w:val="28"/>
          <w:szCs w:val="28"/>
        </w:rPr>
        <w:t>费支出8,085.62元；</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水电</w:t>
      </w:r>
      <w:r>
        <w:rPr>
          <w:rFonts w:ascii="Times New Roman" w:hAnsi="Times New Roman" w:eastAsia="仿宋_GB2312" w:cs="Times New Roman"/>
          <w:sz w:val="28"/>
          <w:szCs w:val="28"/>
        </w:rPr>
        <w:t>费支出16,811.38元</w:t>
      </w:r>
      <w:r>
        <w:rPr>
          <w:rFonts w:hint="eastAsia"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⑷</w:t>
      </w:r>
      <w:r>
        <w:rPr>
          <w:rFonts w:hint="eastAsia" w:ascii="Times New Roman" w:hAnsi="Times New Roman" w:eastAsia="仿宋_GB2312" w:cs="Times New Roman"/>
          <w:sz w:val="28"/>
          <w:szCs w:val="28"/>
        </w:rPr>
        <w:t>折旧费支出</w:t>
      </w:r>
      <w:r>
        <w:rPr>
          <w:rFonts w:ascii="Times New Roman" w:hAnsi="Times New Roman" w:eastAsia="仿宋_GB2312" w:cs="Times New Roman"/>
          <w:sz w:val="28"/>
          <w:szCs w:val="28"/>
        </w:rPr>
        <w:t>2,105.88</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⑸</w:t>
      </w:r>
      <w:r>
        <w:rPr>
          <w:rFonts w:hint="eastAsia" w:ascii="Times New Roman" w:hAnsi="Times New Roman" w:eastAsia="仿宋_GB2312" w:cs="Times New Roman"/>
          <w:sz w:val="28"/>
          <w:szCs w:val="28"/>
        </w:rPr>
        <w:t>银行手续费支出</w:t>
      </w:r>
      <w:r>
        <w:rPr>
          <w:rFonts w:ascii="Times New Roman" w:hAnsi="Times New Roman" w:eastAsia="仿宋_GB2312" w:cs="Times New Roman"/>
          <w:sz w:val="28"/>
          <w:szCs w:val="28"/>
        </w:rPr>
        <w:t>1,024.03</w:t>
      </w:r>
      <w:r>
        <w:rPr>
          <w:rFonts w:hint="eastAsia" w:ascii="Times New Roman" w:hAnsi="Times New Roman" w:eastAsia="仿宋_GB2312" w:cs="Times New Roman"/>
          <w:sz w:val="28"/>
          <w:szCs w:val="28"/>
        </w:rPr>
        <w:t>元。</w:t>
      </w:r>
    </w:p>
    <w:p>
      <w:pPr>
        <w:spacing w:line="590" w:lineRule="exact"/>
        <w:ind w:firstLine="560" w:firstLineChars="200"/>
        <w:rPr>
          <w:rFonts w:hint="eastAsia" w:ascii="宋体" w:hAnsi="宋体" w:eastAsia="宋体" w:cs="宋体"/>
          <w:sz w:val="28"/>
          <w:szCs w:val="28"/>
        </w:rPr>
      </w:pPr>
      <w:r>
        <w:rPr>
          <w:rFonts w:hint="eastAsia" w:ascii="仿宋" w:hAnsi="仿宋" w:eastAsia="仿宋" w:cs="Times New Roman"/>
          <w:sz w:val="28"/>
          <w:szCs w:val="28"/>
        </w:rPr>
        <w:t>４</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支出136,719.99元，占服务总经费的5.70%</w:t>
      </w:r>
      <w:r>
        <w:rPr>
          <w:rFonts w:hint="eastAsia"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㈢用于钟村社工站运营管理费用支出190,467.76元，占</w:t>
      </w:r>
      <w:bookmarkStart w:id="10" w:name="_Hlk110953185"/>
      <w:r>
        <w:rPr>
          <w:rFonts w:ascii="Times New Roman" w:hAnsi="Times New Roman" w:eastAsia="仿宋_GB2312" w:cs="Times New Roman"/>
          <w:sz w:val="28"/>
          <w:szCs w:val="28"/>
        </w:rPr>
        <w:t>服务总经费的</w:t>
      </w:r>
      <w:bookmarkEnd w:id="10"/>
      <w:r>
        <w:rPr>
          <w:rFonts w:ascii="Times New Roman" w:hAnsi="Times New Roman" w:eastAsia="仿宋_GB2312" w:cs="Times New Roman"/>
          <w:sz w:val="28"/>
          <w:szCs w:val="28"/>
        </w:rPr>
        <w:t>7.94%。其中：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w:t>
      </w:r>
      <w:r>
        <w:rPr>
          <w:rFonts w:ascii="Times New Roman" w:hAnsi="Times New Roman" w:eastAsia="仿宋_GB2312" w:cs="Times New Roman"/>
          <w:sz w:val="28"/>
          <w:szCs w:val="28"/>
        </w:rPr>
        <w:t>费支出0元；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、分摊机构人员工资107,659.75元；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、分摊机构人员社保8,788.65元；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、分摊机构人员公积金1,836.54元；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w:t>
      </w:r>
      <w:r>
        <w:rPr>
          <w:rFonts w:ascii="Times New Roman" w:hAnsi="Times New Roman" w:eastAsia="仿宋_GB2312" w:cs="Times New Roman"/>
          <w:sz w:val="28"/>
          <w:szCs w:val="28"/>
        </w:rPr>
        <w:t>、分摊机构费用46,934.33元；</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６、</w:t>
      </w:r>
      <w:r>
        <w:rPr>
          <w:rFonts w:hint="eastAsia" w:ascii="Times New Roman" w:hAnsi="Times New Roman" w:eastAsia="仿宋_GB2312" w:cs="Times New Roman"/>
          <w:sz w:val="28"/>
          <w:szCs w:val="28"/>
        </w:rPr>
        <w:t>工会经费支出</w:t>
      </w:r>
      <w:r>
        <w:rPr>
          <w:rFonts w:ascii="Times New Roman" w:hAnsi="Times New Roman" w:eastAsia="仿宋_GB2312" w:cs="Times New Roman"/>
          <w:sz w:val="28"/>
          <w:szCs w:val="28"/>
        </w:rPr>
        <w:t>25,248.49元</w:t>
      </w:r>
      <w:r>
        <w:rPr>
          <w:rFonts w:hint="eastAsia" w:ascii="Times New Roman" w:hAnsi="Times New Roman" w:eastAsia="仿宋_GB2312" w:cs="Times New Roman"/>
          <w:sz w:val="28"/>
          <w:szCs w:val="28"/>
        </w:rPr>
        <w:t>。</w:t>
      </w:r>
    </w:p>
    <w:p>
      <w:pPr>
        <w:spacing w:line="59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八、</w:t>
      </w:r>
      <w:r>
        <w:rPr>
          <w:rFonts w:ascii="Times New Roman" w:hAnsi="Times New Roman" w:eastAsia="仿宋_GB2312" w:cs="Times New Roman"/>
          <w:b/>
          <w:sz w:val="28"/>
          <w:szCs w:val="28"/>
        </w:rPr>
        <w:t>累计结余情况（2016年</w:t>
      </w:r>
      <w:r>
        <w:rPr>
          <w:rFonts w:hint="eastAsia" w:ascii="Times New Roman" w:hAnsi="Times New Roman" w:eastAsia="仿宋_GB2312" w:cs="Times New Roman"/>
          <w:b/>
          <w:sz w:val="28"/>
          <w:szCs w:val="28"/>
        </w:rPr>
        <w:t>7</w:t>
      </w:r>
      <w:r>
        <w:rPr>
          <w:rFonts w:ascii="Times New Roman" w:hAnsi="Times New Roman" w:eastAsia="仿宋_GB2312" w:cs="Times New Roman"/>
          <w:b/>
          <w:sz w:val="28"/>
          <w:szCs w:val="28"/>
        </w:rPr>
        <w:t>月</w:t>
      </w:r>
      <w:r>
        <w:rPr>
          <w:rFonts w:hint="eastAsia" w:ascii="Times New Roman" w:hAnsi="Times New Roman" w:eastAsia="仿宋_GB2312" w:cs="Times New Roman"/>
          <w:b/>
          <w:sz w:val="28"/>
          <w:szCs w:val="28"/>
        </w:rPr>
        <w:t>16</w:t>
      </w:r>
      <w:r>
        <w:rPr>
          <w:rFonts w:ascii="Times New Roman" w:hAnsi="Times New Roman" w:eastAsia="仿宋_GB2312" w:cs="Times New Roman"/>
          <w:b/>
          <w:sz w:val="28"/>
          <w:szCs w:val="28"/>
        </w:rPr>
        <w:t>日~202</w:t>
      </w:r>
      <w:r>
        <w:rPr>
          <w:rFonts w:hint="eastAsia" w:ascii="Times New Roman" w:hAnsi="Times New Roman" w:eastAsia="仿宋_GB2312" w:cs="Times New Roman"/>
          <w:b/>
          <w:sz w:val="28"/>
          <w:szCs w:val="28"/>
        </w:rPr>
        <w:t>4</w:t>
      </w:r>
      <w:r>
        <w:rPr>
          <w:rFonts w:ascii="Times New Roman" w:hAnsi="Times New Roman" w:eastAsia="仿宋_GB2312" w:cs="Times New Roman"/>
          <w:b/>
          <w:sz w:val="28"/>
          <w:szCs w:val="28"/>
        </w:rPr>
        <w:t>年</w:t>
      </w:r>
      <w:r>
        <w:rPr>
          <w:rFonts w:hint="eastAsia" w:ascii="Times New Roman" w:hAnsi="Times New Roman" w:eastAsia="仿宋_GB2312" w:cs="Times New Roman"/>
          <w:b/>
          <w:sz w:val="28"/>
          <w:szCs w:val="28"/>
        </w:rPr>
        <w:t>7</w:t>
      </w:r>
      <w:r>
        <w:rPr>
          <w:rFonts w:ascii="Times New Roman" w:hAnsi="Times New Roman" w:eastAsia="仿宋_GB2312" w:cs="Times New Roman"/>
          <w:b/>
          <w:sz w:val="28"/>
          <w:szCs w:val="28"/>
        </w:rPr>
        <w:t>月</w:t>
      </w:r>
      <w:r>
        <w:rPr>
          <w:rFonts w:hint="eastAsia" w:ascii="Times New Roman" w:hAnsi="Times New Roman" w:eastAsia="仿宋_GB2312" w:cs="Times New Roman"/>
          <w:b/>
          <w:sz w:val="28"/>
          <w:szCs w:val="28"/>
        </w:rPr>
        <w:t>15</w:t>
      </w:r>
      <w:r>
        <w:rPr>
          <w:rFonts w:ascii="Times New Roman" w:hAnsi="Times New Roman" w:eastAsia="仿宋_GB2312" w:cs="Times New Roman"/>
          <w:b/>
          <w:sz w:val="28"/>
          <w:szCs w:val="28"/>
        </w:rPr>
        <w:t>日）</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根据“业会专审[202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018</w:t>
      </w:r>
      <w:r>
        <w:rPr>
          <w:rFonts w:ascii="Times New Roman" w:hAnsi="Times New Roman" w:eastAsia="仿宋_GB2312" w:cs="Times New Roman"/>
          <w:sz w:val="28"/>
          <w:szCs w:val="28"/>
        </w:rPr>
        <w:t>号”财务管理情况评估报告并结合本次202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16</w:t>
      </w:r>
      <w:r>
        <w:rPr>
          <w:rFonts w:ascii="Times New Roman" w:hAnsi="Times New Roman" w:eastAsia="仿宋_GB2312" w:cs="Times New Roman"/>
          <w:sz w:val="28"/>
          <w:szCs w:val="28"/>
        </w:rPr>
        <w:t>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15</w:t>
      </w:r>
      <w:r>
        <w:rPr>
          <w:rFonts w:ascii="Times New Roman" w:hAnsi="Times New Roman" w:eastAsia="仿宋_GB2312" w:cs="Times New Roman"/>
          <w:sz w:val="28"/>
          <w:szCs w:val="28"/>
        </w:rPr>
        <w:t>日财务管理评估情况，自2016年</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16</w:t>
      </w:r>
      <w:r>
        <w:rPr>
          <w:rFonts w:ascii="Times New Roman" w:hAnsi="Times New Roman" w:eastAsia="仿宋_GB2312" w:cs="Times New Roman"/>
          <w:sz w:val="28"/>
          <w:szCs w:val="28"/>
        </w:rPr>
        <w:t>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15</w:t>
      </w:r>
      <w:r>
        <w:rPr>
          <w:rFonts w:ascii="Times New Roman" w:hAnsi="Times New Roman" w:eastAsia="仿宋_GB2312" w:cs="Times New Roman"/>
          <w:sz w:val="28"/>
          <w:szCs w:val="28"/>
        </w:rPr>
        <w:t>日止，钟村社工站服务经费累计结余246,587.74元</w:t>
      </w:r>
      <w:r>
        <w:rPr>
          <w:rFonts w:hint="eastAsia" w:ascii="Times New Roman" w:hAnsi="Times New Roman" w:eastAsia="仿宋_GB2312" w:cs="Times New Roman"/>
          <w:sz w:val="28"/>
          <w:szCs w:val="28"/>
        </w:rPr>
        <w:t>（不含未拨入的120,000.00元）</w:t>
      </w:r>
      <w:r>
        <w:rPr>
          <w:rFonts w:ascii="Times New Roman" w:hAnsi="Times New Roman" w:eastAsia="仿宋_GB2312" w:cs="Times New Roman"/>
          <w:sz w:val="28"/>
          <w:szCs w:val="28"/>
        </w:rPr>
        <w:t>。具体每期结余情况如下：</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㈠钟村社工站2016年</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16</w:t>
      </w:r>
      <w:r>
        <w:rPr>
          <w:rFonts w:ascii="Times New Roman" w:hAnsi="Times New Roman" w:eastAsia="仿宋_GB2312" w:cs="Times New Roman"/>
          <w:sz w:val="28"/>
          <w:szCs w:val="28"/>
        </w:rPr>
        <w:t>日至2019年</w:t>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15</w:t>
      </w:r>
      <w:r>
        <w:rPr>
          <w:rFonts w:ascii="Times New Roman" w:hAnsi="Times New Roman" w:eastAsia="仿宋_GB2312" w:cs="Times New Roman"/>
          <w:sz w:val="28"/>
          <w:szCs w:val="28"/>
        </w:rPr>
        <w:t>日三年服务周期结束，结余资金46,163.76元。</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㈡2019年7月16日至2024年7月15日为钟村社工站的五年服务周期，其中：</w:t>
      </w:r>
    </w:p>
    <w:p>
      <w:pPr>
        <w:spacing w:line="60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第一年协议期</w:t>
      </w:r>
      <w:r>
        <w:rPr>
          <w:rFonts w:ascii="Times New Roman" w:hAnsi="Times New Roman" w:eastAsia="仿宋_GB2312" w:cs="Times New Roman"/>
          <w:spacing w:val="-12"/>
          <w:sz w:val="28"/>
          <w:szCs w:val="28"/>
        </w:rPr>
        <w:t>2019年7月16日至2020年7月15日</w:t>
      </w:r>
      <w:r>
        <w:rPr>
          <w:rFonts w:ascii="Times New Roman" w:hAnsi="Times New Roman" w:eastAsia="仿宋_GB2312" w:cs="Times New Roman"/>
          <w:spacing w:val="-10"/>
          <w:sz w:val="28"/>
          <w:szCs w:val="28"/>
        </w:rPr>
        <w:t>，结余资金</w:t>
      </w:r>
      <w:r>
        <w:rPr>
          <w:rFonts w:ascii="Times New Roman" w:hAnsi="Times New Roman" w:eastAsia="仿宋_GB2312" w:cs="Times New Roman"/>
          <w:spacing w:val="-12"/>
          <w:sz w:val="28"/>
          <w:szCs w:val="28"/>
        </w:rPr>
        <w:t>359,085.84</w:t>
      </w:r>
      <w:r>
        <w:rPr>
          <w:rFonts w:ascii="Times New Roman" w:hAnsi="Times New Roman" w:eastAsia="仿宋_GB2312" w:cs="Times New Roman"/>
          <w:spacing w:val="-10"/>
          <w:sz w:val="28"/>
          <w:szCs w:val="28"/>
        </w:rPr>
        <w:t>元。</w:t>
      </w:r>
    </w:p>
    <w:p>
      <w:pPr>
        <w:spacing w:line="600" w:lineRule="exact"/>
        <w:ind w:firstLine="520" w:firstLineChars="200"/>
        <w:rPr>
          <w:rFonts w:ascii="Times New Roman" w:hAnsi="Times New Roman" w:eastAsia="仿宋_GB2312" w:cs="Times New Roman"/>
          <w:spacing w:val="-10"/>
          <w:sz w:val="28"/>
          <w:szCs w:val="28"/>
        </w:rPr>
      </w:pPr>
      <w:r>
        <w:rPr>
          <w:rFonts w:ascii="Times New Roman" w:hAnsi="Times New Roman" w:eastAsia="仿宋_GB2312" w:cs="Times New Roman"/>
          <w:spacing w:val="-10"/>
          <w:sz w:val="28"/>
          <w:szCs w:val="28"/>
        </w:rPr>
        <w:t>第二年协议期</w:t>
      </w:r>
      <w:r>
        <w:rPr>
          <w:rFonts w:ascii="Times New Roman" w:hAnsi="Times New Roman" w:eastAsia="仿宋_GB2312" w:cs="Times New Roman"/>
          <w:spacing w:val="-8"/>
          <w:sz w:val="28"/>
          <w:szCs w:val="28"/>
        </w:rPr>
        <w:t>2020年7月16日至2021年7月15日</w:t>
      </w:r>
      <w:r>
        <w:rPr>
          <w:rFonts w:ascii="Times New Roman" w:hAnsi="Times New Roman" w:eastAsia="仿宋_GB2312" w:cs="Times New Roman"/>
          <w:spacing w:val="-10"/>
          <w:sz w:val="28"/>
          <w:szCs w:val="28"/>
        </w:rPr>
        <w:t>，结余资金</w:t>
      </w:r>
      <w:r>
        <w:rPr>
          <w:rFonts w:ascii="Times New Roman" w:hAnsi="Times New Roman" w:eastAsia="仿宋_GB2312" w:cs="Times New Roman"/>
          <w:spacing w:val="-8"/>
          <w:sz w:val="28"/>
          <w:szCs w:val="28"/>
        </w:rPr>
        <w:t>30,296.76</w:t>
      </w:r>
      <w:r>
        <w:rPr>
          <w:rFonts w:ascii="Times New Roman" w:hAnsi="Times New Roman" w:eastAsia="仿宋_GB2312" w:cs="Times New Roman"/>
          <w:spacing w:val="-10"/>
          <w:sz w:val="28"/>
          <w:szCs w:val="28"/>
        </w:rPr>
        <w:t>元。</w:t>
      </w:r>
    </w:p>
    <w:p>
      <w:pPr>
        <w:spacing w:line="600" w:lineRule="exact"/>
        <w:ind w:firstLine="528" w:firstLineChars="200"/>
        <w:rPr>
          <w:rFonts w:ascii="Times New Roman" w:hAnsi="Times New Roman" w:eastAsia="仿宋_GB2312" w:cs="Times New Roman"/>
          <w:spacing w:val="-8"/>
          <w:sz w:val="28"/>
          <w:szCs w:val="28"/>
        </w:rPr>
      </w:pPr>
      <w:r>
        <w:rPr>
          <w:rFonts w:ascii="Times New Roman" w:hAnsi="Times New Roman" w:eastAsia="仿宋_GB2312" w:cs="Times New Roman"/>
          <w:spacing w:val="-8"/>
          <w:sz w:val="28"/>
          <w:szCs w:val="28"/>
        </w:rPr>
        <w:t>第三年协议期2021年7月16日至2022年7月15日，结余资金-7,003.37元。</w:t>
      </w:r>
    </w:p>
    <w:p>
      <w:pPr>
        <w:spacing w:line="600" w:lineRule="exact"/>
        <w:ind w:firstLine="560" w:firstLineChars="200"/>
        <w:rPr>
          <w:rFonts w:ascii="Times New Roman" w:hAnsi="Times New Roman" w:eastAsia="仿宋_GB2312" w:cs="Times New Roman"/>
          <w:spacing w:val="-8"/>
          <w:sz w:val="28"/>
          <w:szCs w:val="28"/>
        </w:rPr>
      </w:pPr>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四</w:t>
      </w:r>
      <w:r>
        <w:rPr>
          <w:rFonts w:ascii="Times New Roman" w:hAnsi="Times New Roman" w:eastAsia="仿宋_GB2312" w:cs="Times New Roman"/>
          <w:sz w:val="28"/>
          <w:szCs w:val="28"/>
        </w:rPr>
        <w:t>年协议期</w:t>
      </w:r>
      <w:r>
        <w:rPr>
          <w:rFonts w:ascii="Times New Roman" w:hAnsi="Times New Roman" w:eastAsia="仿宋_GB2312" w:cs="Times New Roman"/>
          <w:spacing w:val="-12"/>
          <w:sz w:val="28"/>
          <w:szCs w:val="28"/>
        </w:rPr>
        <w:t>2022年7月16日至2023年7月15日</w:t>
      </w:r>
      <w:r>
        <w:rPr>
          <w:rFonts w:ascii="Times New Roman" w:hAnsi="Times New Roman" w:eastAsia="仿宋_GB2312" w:cs="Times New Roman"/>
          <w:sz w:val="28"/>
          <w:szCs w:val="28"/>
        </w:rPr>
        <w:t>，结余资金</w:t>
      </w:r>
      <w:r>
        <w:rPr>
          <w:rFonts w:ascii="Times New Roman" w:hAnsi="Times New Roman" w:eastAsia="仿宋_GB2312" w:cs="Times New Roman"/>
          <w:spacing w:val="-12"/>
          <w:sz w:val="28"/>
          <w:szCs w:val="28"/>
        </w:rPr>
        <w:t>-22,544.12元</w:t>
      </w:r>
      <w:r>
        <w:rPr>
          <w:rFonts w:hint="eastAsia" w:ascii="Times New Roman" w:hAnsi="Times New Roman" w:eastAsia="仿宋_GB2312" w:cs="Times New Roman"/>
          <w:sz w:val="28"/>
          <w:szCs w:val="28"/>
        </w:rPr>
        <w:t>。</w:t>
      </w:r>
    </w:p>
    <w:p>
      <w:pPr>
        <w:spacing w:line="60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第五年协议期</w:t>
      </w:r>
      <w:r>
        <w:rPr>
          <w:rFonts w:ascii="Times New Roman" w:hAnsi="Times New Roman" w:eastAsia="仿宋_GB2312" w:cs="Times New Roman"/>
          <w:spacing w:val="-12"/>
          <w:sz w:val="28"/>
          <w:szCs w:val="28"/>
        </w:rPr>
        <w:t>2023年7月16日至2024年</w:t>
      </w:r>
      <w:r>
        <w:rPr>
          <w:rFonts w:hint="eastAsia" w:ascii="Times New Roman" w:hAnsi="Times New Roman" w:eastAsia="仿宋_GB2312" w:cs="Times New Roman"/>
          <w:spacing w:val="-12"/>
          <w:sz w:val="28"/>
          <w:szCs w:val="28"/>
        </w:rPr>
        <w:t>7</w:t>
      </w:r>
      <w:r>
        <w:rPr>
          <w:rFonts w:ascii="Times New Roman" w:hAnsi="Times New Roman" w:eastAsia="仿宋_GB2312" w:cs="Times New Roman"/>
          <w:spacing w:val="-12"/>
          <w:sz w:val="28"/>
          <w:szCs w:val="28"/>
        </w:rPr>
        <w:t>月15日</w:t>
      </w:r>
      <w:r>
        <w:rPr>
          <w:rFonts w:ascii="Times New Roman" w:hAnsi="Times New Roman" w:eastAsia="仿宋_GB2312" w:cs="Times New Roman"/>
          <w:spacing w:val="-6"/>
          <w:sz w:val="28"/>
          <w:szCs w:val="28"/>
        </w:rPr>
        <w:t>，结余资金-159,411.13元</w:t>
      </w:r>
      <w:r>
        <w:rPr>
          <w:rFonts w:hint="eastAsia" w:ascii="Times New Roman" w:hAnsi="Times New Roman" w:eastAsia="仿宋_GB2312" w:cs="Times New Roman"/>
          <w:spacing w:val="-6"/>
          <w:sz w:val="28"/>
          <w:szCs w:val="28"/>
        </w:rPr>
        <w:t>（不含未拨入的</w:t>
      </w:r>
      <w:r>
        <w:rPr>
          <w:rFonts w:ascii="Times New Roman" w:hAnsi="Times New Roman" w:eastAsia="仿宋_GB2312" w:cs="Times New Roman"/>
          <w:spacing w:val="-6"/>
          <w:sz w:val="28"/>
          <w:szCs w:val="28"/>
        </w:rPr>
        <w:t>120,000.00</w:t>
      </w:r>
      <w:r>
        <w:rPr>
          <w:rFonts w:hint="eastAsia" w:ascii="Times New Roman" w:hAnsi="Times New Roman" w:eastAsia="仿宋_GB2312" w:cs="Times New Roman"/>
          <w:spacing w:val="-6"/>
          <w:sz w:val="28"/>
          <w:szCs w:val="28"/>
        </w:rPr>
        <w:t>元）</w:t>
      </w:r>
      <w:r>
        <w:rPr>
          <w:rFonts w:ascii="Times New Roman" w:hAnsi="Times New Roman" w:eastAsia="仿宋_GB2312" w:cs="Times New Roman"/>
          <w:spacing w:val="-6"/>
          <w:sz w:val="28"/>
          <w:szCs w:val="28"/>
        </w:rPr>
        <w:t>。</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九、</w:t>
      </w:r>
      <w:r>
        <w:rPr>
          <w:rFonts w:ascii="Times New Roman" w:hAnsi="Times New Roman" w:eastAsia="仿宋_GB2312" w:cs="Times New Roman"/>
          <w:b/>
          <w:sz w:val="28"/>
          <w:szCs w:val="28"/>
        </w:rPr>
        <w:t>评估结论</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广州市番禺区钟村街社工服务站</w:t>
      </w:r>
      <w:r>
        <w:rPr>
          <w:rFonts w:ascii="Times New Roman" w:hAnsi="Times New Roman" w:eastAsia="仿宋_GB2312" w:cs="Times New Roman"/>
          <w:sz w:val="28"/>
          <w:szCs w:val="28"/>
        </w:rPr>
        <w:t>本次财务评估等级为：合格。</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w:t>
      </w:r>
      <w:r>
        <w:rPr>
          <w:rFonts w:ascii="Times New Roman" w:hAnsi="Times New Roman" w:eastAsia="仿宋_GB2312" w:cs="Times New Roman"/>
          <w:b/>
          <w:sz w:val="28"/>
          <w:szCs w:val="28"/>
        </w:rPr>
        <w:t>、其他事项</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本报告仅供本次委托目的，即对钟村社工站财务评估使用，本事务所及本注册会计师不对运用本报告于其他目的造成的经济后果负责。</w:t>
      </w:r>
    </w:p>
    <w:p>
      <w:pPr>
        <w:spacing w:line="600" w:lineRule="exact"/>
        <w:rPr>
          <w:rFonts w:ascii="Times New Roman" w:hAnsi="Times New Roman" w:eastAsia="仿宋_GB2312" w:cs="Times New Roman"/>
          <w:b/>
          <w:bCs/>
          <w:sz w:val="28"/>
          <w:szCs w:val="28"/>
        </w:rPr>
      </w:pPr>
    </w:p>
    <w:p>
      <w:pPr>
        <w:spacing w:line="600" w:lineRule="exact"/>
        <w:rPr>
          <w:rFonts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sz w:val="30"/>
              </w:rPr>
            </w:pPr>
            <w:r>
              <w:rPr>
                <w:rFonts w:ascii="Times New Roman" w:hAnsi="Times New Roman" w:eastAsia="华文新魏" w:cs="Times New Roman"/>
                <w:b/>
                <w:sz w:val="30"/>
              </w:rPr>
              <w:t>广州业勤会计师事务所有限公司</w:t>
            </w:r>
          </w:p>
          <w:p>
            <w:pPr>
              <w:spacing w:line="320" w:lineRule="exact"/>
              <w:rPr>
                <w:rFonts w:ascii="Times New Roman" w:hAnsi="Times New Roman" w:eastAsia="华文新魏" w:cs="Times New Roman"/>
                <w:b/>
                <w:sz w:val="30"/>
              </w:rPr>
            </w:pPr>
          </w:p>
          <w:p>
            <w:pPr>
              <w:spacing w:line="320" w:lineRule="exact"/>
              <w:jc w:val="center"/>
              <w:rPr>
                <w:rFonts w:ascii="Times New Roman" w:hAnsi="Times New Roman" w:eastAsia="华文新魏" w:cs="Times New Roman"/>
                <w:b/>
                <w:sz w:val="30"/>
              </w:rPr>
            </w:pPr>
            <w:r>
              <w:rPr>
                <w:rFonts w:ascii="Times New Roman" w:hAnsi="Times New Roman" w:eastAsia="华文新魏" w:cs="Times New Roman"/>
                <w:b/>
                <w:sz w:val="28"/>
              </w:rPr>
              <w:t>广州·番禺</w:t>
            </w:r>
          </w:p>
          <w:p>
            <w:pPr>
              <w:spacing w:line="320" w:lineRule="exact"/>
              <w:rPr>
                <w:rFonts w:ascii="Times New Roman" w:hAnsi="Times New Roman" w:eastAsia="华文新魏" w:cs="Times New Roman"/>
                <w:b/>
                <w:sz w:val="30"/>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sz w:val="28"/>
              </w:rPr>
              <w:t>二</w:t>
            </w:r>
            <w:r>
              <w:rPr>
                <w:rFonts w:hint="eastAsia" w:ascii="宋体" w:hAnsi="宋体" w:eastAsia="宋体" w:cs="宋体"/>
                <w:b/>
                <w:sz w:val="28"/>
              </w:rPr>
              <w:t>〇</w:t>
            </w:r>
            <w:r>
              <w:rPr>
                <w:rFonts w:ascii="Times New Roman" w:hAnsi="Times New Roman" w:eastAsia="华文新魏" w:cs="Times New Roman"/>
                <w:b/>
                <w:sz w:val="28"/>
              </w:rPr>
              <w:t>二</w:t>
            </w:r>
            <w:r>
              <w:rPr>
                <w:rFonts w:hint="eastAsia" w:ascii="Times New Roman" w:hAnsi="Times New Roman" w:eastAsia="华文新魏" w:cs="Times New Roman"/>
                <w:b/>
                <w:sz w:val="28"/>
              </w:rPr>
              <w:t>四</w:t>
            </w:r>
            <w:r>
              <w:rPr>
                <w:rFonts w:ascii="Times New Roman" w:hAnsi="Times New Roman" w:eastAsia="华文新魏" w:cs="Times New Roman"/>
                <w:b/>
                <w:sz w:val="28"/>
              </w:rPr>
              <w:t>年</w:t>
            </w:r>
            <w:r>
              <w:rPr>
                <w:rFonts w:hint="eastAsia" w:ascii="Times New Roman" w:hAnsi="Times New Roman" w:eastAsia="华文新魏" w:cs="Times New Roman"/>
                <w:b/>
                <w:sz w:val="28"/>
              </w:rPr>
              <w:t>九</w:t>
            </w:r>
            <w:r>
              <w:rPr>
                <w:rFonts w:ascii="Times New Roman" w:hAnsi="Times New Roman" w:eastAsia="华文新魏" w:cs="Times New Roman"/>
                <w:b/>
                <w:sz w:val="28"/>
              </w:rPr>
              <w:t>月</w:t>
            </w:r>
            <w:r>
              <w:rPr>
                <w:rFonts w:hint="eastAsia" w:ascii="Times New Roman" w:hAnsi="Times New Roman" w:eastAsia="华文新魏" w:cs="Times New Roman"/>
                <w:b/>
                <w:sz w:val="28"/>
              </w:rPr>
              <w:t>九</w:t>
            </w:r>
            <w:r>
              <w:rPr>
                <w:rFonts w:ascii="Times New Roman" w:hAnsi="Times New Roman" w:eastAsia="华文新魏" w:cs="Times New Roman"/>
                <w:b/>
                <w:sz w:val="28"/>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sz w:val="30"/>
              </w:rPr>
            </w:pPr>
            <w:r>
              <w:rPr>
                <w:rFonts w:ascii="Times New Roman" w:hAnsi="Times New Roman" w:eastAsia="华文新魏" w:cs="Times New Roman"/>
                <w:b/>
                <w:sz w:val="28"/>
              </w:rPr>
              <w:t>中国注册会计师</w:t>
            </w:r>
            <w:r>
              <w:rPr>
                <w:rFonts w:ascii="Times New Roman" w:hAnsi="Times New Roman" w:cs="Times New Roman"/>
                <w:b/>
                <w:sz w:val="30"/>
              </w:rPr>
              <w:t>：</w:t>
            </w:r>
          </w:p>
          <w:p>
            <w:pPr>
              <w:spacing w:line="320" w:lineRule="exact"/>
              <w:ind w:left="3513" w:hanging="3512"/>
              <w:rPr>
                <w:rFonts w:ascii="Times New Roman" w:hAnsi="Times New Roman" w:eastAsia="华文新魏" w:cs="Times New Roman"/>
                <w:b/>
                <w:sz w:val="28"/>
                <w:szCs w:val="28"/>
              </w:rPr>
            </w:pPr>
            <w:r>
              <w:rPr>
                <w:rFonts w:ascii="Times New Roman" w:hAnsi="Times New Roman" w:eastAsia="仿宋" w:cs="Times New Roman"/>
                <w:b/>
                <w:sz w:val="28"/>
                <w:szCs w:val="28"/>
              </w:rPr>
              <w:t>（</w:t>
            </w:r>
            <w:r>
              <w:rPr>
                <w:rFonts w:ascii="Times New Roman" w:hAnsi="Times New Roman" w:eastAsia="华文新魏" w:cs="Times New Roman"/>
                <w:b/>
                <w:sz w:val="28"/>
                <w:szCs w:val="28"/>
              </w:rPr>
              <w:t>项目负责人</w:t>
            </w:r>
            <w:r>
              <w:rPr>
                <w:rFonts w:ascii="Times New Roman" w:hAnsi="Times New Roman" w:eastAsia="仿宋" w:cs="Times New Roman"/>
                <w:b/>
                <w:sz w:val="28"/>
                <w:szCs w:val="28"/>
              </w:rPr>
              <w:t>）</w:t>
            </w:r>
          </w:p>
          <w:p>
            <w:pPr>
              <w:spacing w:line="320" w:lineRule="exact"/>
              <w:ind w:left="3513" w:hanging="3512"/>
              <w:rPr>
                <w:rFonts w:ascii="Times New Roman" w:hAnsi="Times New Roman" w:eastAsia="华文新魏" w:cs="Times New Roman"/>
                <w:b/>
                <w:sz w:val="30"/>
              </w:rPr>
            </w:pPr>
          </w:p>
          <w:p>
            <w:pPr>
              <w:spacing w:line="320" w:lineRule="exact"/>
              <w:ind w:left="84"/>
              <w:rPr>
                <w:rFonts w:ascii="Times New Roman" w:hAnsi="Times New Roman" w:eastAsia="华文新魏" w:cs="Times New Roman"/>
                <w:b/>
                <w:sz w:val="30"/>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sz w:val="28"/>
              </w:rPr>
              <w:t>中国注册会计师</w:t>
            </w:r>
            <w:r>
              <w:rPr>
                <w:rFonts w:ascii="Times New Roman" w:hAnsi="Times New Roman" w:cs="Times New Roman"/>
                <w:b/>
                <w:sz w:val="30"/>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pPr>
          <w:pStyle w:val="5"/>
          <w:jc w:val="center"/>
        </w:pPr>
        <w:r>
          <w:fldChar w:fldCharType="begin"/>
        </w:r>
        <w:r>
          <w:instrText xml:space="preserve">PAGE   \* MERGEFORMAT</w:instrText>
        </w:r>
        <w:r>
          <w:fldChar w:fldCharType="separate"/>
        </w:r>
        <w:r>
          <w:rPr>
            <w:lang w:val="zh-CN"/>
          </w:rPr>
          <w:t>10</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0674DC"/>
    <w:multiLevelType w:val="multilevel"/>
    <w:tmpl w:val="350674DC"/>
    <w:lvl w:ilvl="0" w:tentative="0">
      <w:start w:val="1"/>
      <w:numFmt w:val="ideographEnclosedCircle"/>
      <w:lvlText w:val="%1"/>
      <w:lvlJc w:val="left"/>
      <w:pPr>
        <w:ind w:left="920" w:hanging="360"/>
      </w:pPr>
      <w:rPr>
        <w:rFonts w:hint="default" w:ascii="仿宋" w:hAnsi="仿宋" w:eastAsia="仿宋"/>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06800"/>
    <w:rsid w:val="00011010"/>
    <w:rsid w:val="00011264"/>
    <w:rsid w:val="000113F0"/>
    <w:rsid w:val="000222C6"/>
    <w:rsid w:val="0002755A"/>
    <w:rsid w:val="000317CE"/>
    <w:rsid w:val="00041B6A"/>
    <w:rsid w:val="00043872"/>
    <w:rsid w:val="000456F4"/>
    <w:rsid w:val="00055B05"/>
    <w:rsid w:val="0006463F"/>
    <w:rsid w:val="00064B63"/>
    <w:rsid w:val="00065A6C"/>
    <w:rsid w:val="00071FB1"/>
    <w:rsid w:val="00075928"/>
    <w:rsid w:val="00086152"/>
    <w:rsid w:val="00097DB9"/>
    <w:rsid w:val="000B0008"/>
    <w:rsid w:val="000B5517"/>
    <w:rsid w:val="000B62CD"/>
    <w:rsid w:val="000C7A2A"/>
    <w:rsid w:val="000D5360"/>
    <w:rsid w:val="000E0E6A"/>
    <w:rsid w:val="000F0440"/>
    <w:rsid w:val="00102433"/>
    <w:rsid w:val="00110769"/>
    <w:rsid w:val="0012230B"/>
    <w:rsid w:val="00133E77"/>
    <w:rsid w:val="001370D5"/>
    <w:rsid w:val="00141B82"/>
    <w:rsid w:val="001514FA"/>
    <w:rsid w:val="001524AE"/>
    <w:rsid w:val="0015779A"/>
    <w:rsid w:val="0016124C"/>
    <w:rsid w:val="00164A86"/>
    <w:rsid w:val="0016508D"/>
    <w:rsid w:val="0017071E"/>
    <w:rsid w:val="00171040"/>
    <w:rsid w:val="00172280"/>
    <w:rsid w:val="0017382F"/>
    <w:rsid w:val="001839F4"/>
    <w:rsid w:val="00185C33"/>
    <w:rsid w:val="00191F3C"/>
    <w:rsid w:val="00193C33"/>
    <w:rsid w:val="001973EB"/>
    <w:rsid w:val="001A70D8"/>
    <w:rsid w:val="001A795B"/>
    <w:rsid w:val="001B0C80"/>
    <w:rsid w:val="001E0431"/>
    <w:rsid w:val="001E2299"/>
    <w:rsid w:val="001E6903"/>
    <w:rsid w:val="001F6520"/>
    <w:rsid w:val="00200AB0"/>
    <w:rsid w:val="002046F9"/>
    <w:rsid w:val="002146CD"/>
    <w:rsid w:val="00225676"/>
    <w:rsid w:val="00227FD8"/>
    <w:rsid w:val="00237B72"/>
    <w:rsid w:val="00262365"/>
    <w:rsid w:val="002626C2"/>
    <w:rsid w:val="00265F2A"/>
    <w:rsid w:val="00273696"/>
    <w:rsid w:val="00273BCE"/>
    <w:rsid w:val="002868E8"/>
    <w:rsid w:val="00290A8E"/>
    <w:rsid w:val="002A000C"/>
    <w:rsid w:val="002A1692"/>
    <w:rsid w:val="002A7C06"/>
    <w:rsid w:val="002C6261"/>
    <w:rsid w:val="002E00A9"/>
    <w:rsid w:val="002E0308"/>
    <w:rsid w:val="002E1BD7"/>
    <w:rsid w:val="002E4330"/>
    <w:rsid w:val="002F43BA"/>
    <w:rsid w:val="0030480B"/>
    <w:rsid w:val="00304ECF"/>
    <w:rsid w:val="003063E1"/>
    <w:rsid w:val="0030717C"/>
    <w:rsid w:val="003110A3"/>
    <w:rsid w:val="003113FB"/>
    <w:rsid w:val="00312000"/>
    <w:rsid w:val="00323877"/>
    <w:rsid w:val="003318A3"/>
    <w:rsid w:val="00331E35"/>
    <w:rsid w:val="00331E74"/>
    <w:rsid w:val="00344B95"/>
    <w:rsid w:val="00352068"/>
    <w:rsid w:val="0035269F"/>
    <w:rsid w:val="003627BA"/>
    <w:rsid w:val="0036444F"/>
    <w:rsid w:val="00364F01"/>
    <w:rsid w:val="00367BDD"/>
    <w:rsid w:val="00374A71"/>
    <w:rsid w:val="00375026"/>
    <w:rsid w:val="00387479"/>
    <w:rsid w:val="0039097A"/>
    <w:rsid w:val="00391295"/>
    <w:rsid w:val="003C5C85"/>
    <w:rsid w:val="003D2799"/>
    <w:rsid w:val="003E49EB"/>
    <w:rsid w:val="003E56B4"/>
    <w:rsid w:val="003F2D93"/>
    <w:rsid w:val="003F5F49"/>
    <w:rsid w:val="00415C4F"/>
    <w:rsid w:val="00417C33"/>
    <w:rsid w:val="00433012"/>
    <w:rsid w:val="004356BB"/>
    <w:rsid w:val="00441B0C"/>
    <w:rsid w:val="00446547"/>
    <w:rsid w:val="00456A81"/>
    <w:rsid w:val="00467250"/>
    <w:rsid w:val="00467F29"/>
    <w:rsid w:val="004727E9"/>
    <w:rsid w:val="00473792"/>
    <w:rsid w:val="00474D25"/>
    <w:rsid w:val="00481251"/>
    <w:rsid w:val="00486EC6"/>
    <w:rsid w:val="004919B0"/>
    <w:rsid w:val="004B2146"/>
    <w:rsid w:val="004B266C"/>
    <w:rsid w:val="004B2C79"/>
    <w:rsid w:val="004B69E8"/>
    <w:rsid w:val="004B7044"/>
    <w:rsid w:val="004C2255"/>
    <w:rsid w:val="004C6CE1"/>
    <w:rsid w:val="004D6846"/>
    <w:rsid w:val="004E2951"/>
    <w:rsid w:val="0050140C"/>
    <w:rsid w:val="005030FC"/>
    <w:rsid w:val="0050530B"/>
    <w:rsid w:val="00510E05"/>
    <w:rsid w:val="00516189"/>
    <w:rsid w:val="00521B04"/>
    <w:rsid w:val="00525CAD"/>
    <w:rsid w:val="0052700D"/>
    <w:rsid w:val="0053650F"/>
    <w:rsid w:val="005442C3"/>
    <w:rsid w:val="0054626A"/>
    <w:rsid w:val="00546D2A"/>
    <w:rsid w:val="00546E36"/>
    <w:rsid w:val="00550D9E"/>
    <w:rsid w:val="00553BCA"/>
    <w:rsid w:val="00563632"/>
    <w:rsid w:val="005708A7"/>
    <w:rsid w:val="00572760"/>
    <w:rsid w:val="0057312B"/>
    <w:rsid w:val="00583524"/>
    <w:rsid w:val="005855F9"/>
    <w:rsid w:val="00590D9F"/>
    <w:rsid w:val="00594D45"/>
    <w:rsid w:val="005978DA"/>
    <w:rsid w:val="005B1BE8"/>
    <w:rsid w:val="005C6036"/>
    <w:rsid w:val="005C6C0F"/>
    <w:rsid w:val="005C7CB0"/>
    <w:rsid w:val="005E06D8"/>
    <w:rsid w:val="005E48DD"/>
    <w:rsid w:val="005F164C"/>
    <w:rsid w:val="005F1671"/>
    <w:rsid w:val="005F25B7"/>
    <w:rsid w:val="005F35CE"/>
    <w:rsid w:val="005F4B47"/>
    <w:rsid w:val="005F52F8"/>
    <w:rsid w:val="005F5FE2"/>
    <w:rsid w:val="005F6D4D"/>
    <w:rsid w:val="005F74CF"/>
    <w:rsid w:val="00602725"/>
    <w:rsid w:val="00610693"/>
    <w:rsid w:val="00613CD6"/>
    <w:rsid w:val="00625937"/>
    <w:rsid w:val="00632C66"/>
    <w:rsid w:val="006335C1"/>
    <w:rsid w:val="00636218"/>
    <w:rsid w:val="00641CFD"/>
    <w:rsid w:val="006450A8"/>
    <w:rsid w:val="00655B2F"/>
    <w:rsid w:val="00660C65"/>
    <w:rsid w:val="00675A60"/>
    <w:rsid w:val="00682678"/>
    <w:rsid w:val="00683341"/>
    <w:rsid w:val="006845F1"/>
    <w:rsid w:val="00692A32"/>
    <w:rsid w:val="00692F38"/>
    <w:rsid w:val="0069342F"/>
    <w:rsid w:val="00696135"/>
    <w:rsid w:val="006B0512"/>
    <w:rsid w:val="006B0BCE"/>
    <w:rsid w:val="006B51FD"/>
    <w:rsid w:val="006C489D"/>
    <w:rsid w:val="006C5DF6"/>
    <w:rsid w:val="006D0434"/>
    <w:rsid w:val="006D4950"/>
    <w:rsid w:val="006D4AEC"/>
    <w:rsid w:val="006E21E8"/>
    <w:rsid w:val="006E4926"/>
    <w:rsid w:val="006F3914"/>
    <w:rsid w:val="007032DF"/>
    <w:rsid w:val="00703AFF"/>
    <w:rsid w:val="0070572C"/>
    <w:rsid w:val="00710A61"/>
    <w:rsid w:val="007173BB"/>
    <w:rsid w:val="007340D0"/>
    <w:rsid w:val="0073489C"/>
    <w:rsid w:val="0073697E"/>
    <w:rsid w:val="0074347B"/>
    <w:rsid w:val="00745A2F"/>
    <w:rsid w:val="00746338"/>
    <w:rsid w:val="00747433"/>
    <w:rsid w:val="0075737E"/>
    <w:rsid w:val="00771D21"/>
    <w:rsid w:val="007827B3"/>
    <w:rsid w:val="0078758C"/>
    <w:rsid w:val="007926ED"/>
    <w:rsid w:val="007927E1"/>
    <w:rsid w:val="007A047D"/>
    <w:rsid w:val="007A5A98"/>
    <w:rsid w:val="007B5343"/>
    <w:rsid w:val="007B7796"/>
    <w:rsid w:val="007D7166"/>
    <w:rsid w:val="007E00FC"/>
    <w:rsid w:val="007E372B"/>
    <w:rsid w:val="0080471D"/>
    <w:rsid w:val="00804C2D"/>
    <w:rsid w:val="00807BA7"/>
    <w:rsid w:val="00807BE3"/>
    <w:rsid w:val="00810A07"/>
    <w:rsid w:val="00824AE7"/>
    <w:rsid w:val="008321FE"/>
    <w:rsid w:val="008443BD"/>
    <w:rsid w:val="00846A06"/>
    <w:rsid w:val="00852D37"/>
    <w:rsid w:val="008548A1"/>
    <w:rsid w:val="00855127"/>
    <w:rsid w:val="00856883"/>
    <w:rsid w:val="0086051F"/>
    <w:rsid w:val="00876894"/>
    <w:rsid w:val="00883C29"/>
    <w:rsid w:val="00883F3E"/>
    <w:rsid w:val="00886B0F"/>
    <w:rsid w:val="008942DD"/>
    <w:rsid w:val="00896102"/>
    <w:rsid w:val="00897C30"/>
    <w:rsid w:val="00897D40"/>
    <w:rsid w:val="008A2A7D"/>
    <w:rsid w:val="008A5ADF"/>
    <w:rsid w:val="008B7EF7"/>
    <w:rsid w:val="008C2ECF"/>
    <w:rsid w:val="008C3543"/>
    <w:rsid w:val="008C56DE"/>
    <w:rsid w:val="008C7615"/>
    <w:rsid w:val="008C7B77"/>
    <w:rsid w:val="008D477E"/>
    <w:rsid w:val="008D549A"/>
    <w:rsid w:val="008D6EC1"/>
    <w:rsid w:val="008E6127"/>
    <w:rsid w:val="008F0960"/>
    <w:rsid w:val="008F28C0"/>
    <w:rsid w:val="009005D9"/>
    <w:rsid w:val="00903490"/>
    <w:rsid w:val="00905374"/>
    <w:rsid w:val="009053EF"/>
    <w:rsid w:val="009064EB"/>
    <w:rsid w:val="0090676E"/>
    <w:rsid w:val="0091586D"/>
    <w:rsid w:val="00926A47"/>
    <w:rsid w:val="00933CB6"/>
    <w:rsid w:val="00934564"/>
    <w:rsid w:val="00936694"/>
    <w:rsid w:val="009367AD"/>
    <w:rsid w:val="009439B4"/>
    <w:rsid w:val="0094449E"/>
    <w:rsid w:val="00952099"/>
    <w:rsid w:val="00953A03"/>
    <w:rsid w:val="0095423D"/>
    <w:rsid w:val="00954BA9"/>
    <w:rsid w:val="0095703D"/>
    <w:rsid w:val="009613FE"/>
    <w:rsid w:val="0096190D"/>
    <w:rsid w:val="0097473D"/>
    <w:rsid w:val="009759AE"/>
    <w:rsid w:val="00985A58"/>
    <w:rsid w:val="009923A1"/>
    <w:rsid w:val="00993572"/>
    <w:rsid w:val="0099451A"/>
    <w:rsid w:val="00997BCF"/>
    <w:rsid w:val="009A0C80"/>
    <w:rsid w:val="009A2387"/>
    <w:rsid w:val="009A7747"/>
    <w:rsid w:val="009C3790"/>
    <w:rsid w:val="009C5083"/>
    <w:rsid w:val="009C6946"/>
    <w:rsid w:val="00A02EAF"/>
    <w:rsid w:val="00A15DDD"/>
    <w:rsid w:val="00A21C64"/>
    <w:rsid w:val="00A26AE8"/>
    <w:rsid w:val="00A411A4"/>
    <w:rsid w:val="00A411C8"/>
    <w:rsid w:val="00A43D5E"/>
    <w:rsid w:val="00A44649"/>
    <w:rsid w:val="00A5538A"/>
    <w:rsid w:val="00A67D24"/>
    <w:rsid w:val="00A9361A"/>
    <w:rsid w:val="00A94714"/>
    <w:rsid w:val="00AA275E"/>
    <w:rsid w:val="00AA681D"/>
    <w:rsid w:val="00AC58BD"/>
    <w:rsid w:val="00AC65FD"/>
    <w:rsid w:val="00AD7854"/>
    <w:rsid w:val="00AE18D0"/>
    <w:rsid w:val="00AE258D"/>
    <w:rsid w:val="00AE285D"/>
    <w:rsid w:val="00AE3E25"/>
    <w:rsid w:val="00AF0139"/>
    <w:rsid w:val="00AF7E6A"/>
    <w:rsid w:val="00B13D80"/>
    <w:rsid w:val="00B27A0F"/>
    <w:rsid w:val="00B3292D"/>
    <w:rsid w:val="00B41E70"/>
    <w:rsid w:val="00B45DD2"/>
    <w:rsid w:val="00B45FAC"/>
    <w:rsid w:val="00B47376"/>
    <w:rsid w:val="00B55A3F"/>
    <w:rsid w:val="00B61767"/>
    <w:rsid w:val="00B63132"/>
    <w:rsid w:val="00B634BC"/>
    <w:rsid w:val="00B63E4B"/>
    <w:rsid w:val="00B66EF3"/>
    <w:rsid w:val="00B67620"/>
    <w:rsid w:val="00B73D8A"/>
    <w:rsid w:val="00B77275"/>
    <w:rsid w:val="00B86605"/>
    <w:rsid w:val="00B94C44"/>
    <w:rsid w:val="00BA4475"/>
    <w:rsid w:val="00BA44ED"/>
    <w:rsid w:val="00BC27F3"/>
    <w:rsid w:val="00BC46BE"/>
    <w:rsid w:val="00BC7ED9"/>
    <w:rsid w:val="00BD2F47"/>
    <w:rsid w:val="00BD6113"/>
    <w:rsid w:val="00BD68EF"/>
    <w:rsid w:val="00BE0C0E"/>
    <w:rsid w:val="00BE22A5"/>
    <w:rsid w:val="00BE37CD"/>
    <w:rsid w:val="00BE4354"/>
    <w:rsid w:val="00BE4B22"/>
    <w:rsid w:val="00BF01B7"/>
    <w:rsid w:val="00BF09E9"/>
    <w:rsid w:val="00C03042"/>
    <w:rsid w:val="00C033D6"/>
    <w:rsid w:val="00C10D35"/>
    <w:rsid w:val="00C2086D"/>
    <w:rsid w:val="00C22583"/>
    <w:rsid w:val="00C30E9A"/>
    <w:rsid w:val="00C36F86"/>
    <w:rsid w:val="00C37F84"/>
    <w:rsid w:val="00C41DD8"/>
    <w:rsid w:val="00C46491"/>
    <w:rsid w:val="00C50F29"/>
    <w:rsid w:val="00C617D2"/>
    <w:rsid w:val="00C802F7"/>
    <w:rsid w:val="00C81C71"/>
    <w:rsid w:val="00C859B4"/>
    <w:rsid w:val="00C97ADE"/>
    <w:rsid w:val="00CC094B"/>
    <w:rsid w:val="00CC7FE9"/>
    <w:rsid w:val="00CD1FA3"/>
    <w:rsid w:val="00CD2143"/>
    <w:rsid w:val="00CD408C"/>
    <w:rsid w:val="00CD60B2"/>
    <w:rsid w:val="00CD62D5"/>
    <w:rsid w:val="00CE08B9"/>
    <w:rsid w:val="00CF688E"/>
    <w:rsid w:val="00D0409C"/>
    <w:rsid w:val="00D06867"/>
    <w:rsid w:val="00D10308"/>
    <w:rsid w:val="00D144A2"/>
    <w:rsid w:val="00D20F7F"/>
    <w:rsid w:val="00D21D72"/>
    <w:rsid w:val="00D22C6A"/>
    <w:rsid w:val="00D24776"/>
    <w:rsid w:val="00D275F8"/>
    <w:rsid w:val="00D32C3A"/>
    <w:rsid w:val="00D348FD"/>
    <w:rsid w:val="00D3535F"/>
    <w:rsid w:val="00D40ACE"/>
    <w:rsid w:val="00D41BF1"/>
    <w:rsid w:val="00D428F3"/>
    <w:rsid w:val="00D44BFD"/>
    <w:rsid w:val="00D44E84"/>
    <w:rsid w:val="00D44E9E"/>
    <w:rsid w:val="00D47C2A"/>
    <w:rsid w:val="00D51A02"/>
    <w:rsid w:val="00D752C9"/>
    <w:rsid w:val="00D76704"/>
    <w:rsid w:val="00D82197"/>
    <w:rsid w:val="00D86161"/>
    <w:rsid w:val="00D867E3"/>
    <w:rsid w:val="00D93807"/>
    <w:rsid w:val="00D945A2"/>
    <w:rsid w:val="00D97736"/>
    <w:rsid w:val="00DA6E0C"/>
    <w:rsid w:val="00DA734D"/>
    <w:rsid w:val="00DA7CF1"/>
    <w:rsid w:val="00DB02C4"/>
    <w:rsid w:val="00DD1039"/>
    <w:rsid w:val="00DD1165"/>
    <w:rsid w:val="00DD4EA7"/>
    <w:rsid w:val="00DE2776"/>
    <w:rsid w:val="00DE38B1"/>
    <w:rsid w:val="00DE69C7"/>
    <w:rsid w:val="00E1694E"/>
    <w:rsid w:val="00E21B1D"/>
    <w:rsid w:val="00E2471E"/>
    <w:rsid w:val="00E27762"/>
    <w:rsid w:val="00E31E66"/>
    <w:rsid w:val="00E370F4"/>
    <w:rsid w:val="00E42764"/>
    <w:rsid w:val="00E53F9C"/>
    <w:rsid w:val="00E54144"/>
    <w:rsid w:val="00E57618"/>
    <w:rsid w:val="00E57C7F"/>
    <w:rsid w:val="00E70D75"/>
    <w:rsid w:val="00E728DD"/>
    <w:rsid w:val="00E72E37"/>
    <w:rsid w:val="00E804DC"/>
    <w:rsid w:val="00E81B1E"/>
    <w:rsid w:val="00E86E25"/>
    <w:rsid w:val="00EA6F18"/>
    <w:rsid w:val="00EC0150"/>
    <w:rsid w:val="00EC0A2B"/>
    <w:rsid w:val="00EC54BC"/>
    <w:rsid w:val="00EC6F93"/>
    <w:rsid w:val="00ED03C6"/>
    <w:rsid w:val="00ED03D7"/>
    <w:rsid w:val="00ED5017"/>
    <w:rsid w:val="00ED55AD"/>
    <w:rsid w:val="00EF35A0"/>
    <w:rsid w:val="00EF6B55"/>
    <w:rsid w:val="00EF7ACF"/>
    <w:rsid w:val="00F055B8"/>
    <w:rsid w:val="00F07270"/>
    <w:rsid w:val="00F07276"/>
    <w:rsid w:val="00F12621"/>
    <w:rsid w:val="00F13060"/>
    <w:rsid w:val="00F14556"/>
    <w:rsid w:val="00F1624D"/>
    <w:rsid w:val="00F1758F"/>
    <w:rsid w:val="00F25686"/>
    <w:rsid w:val="00F279E8"/>
    <w:rsid w:val="00F31B05"/>
    <w:rsid w:val="00F36B85"/>
    <w:rsid w:val="00F549A2"/>
    <w:rsid w:val="00F66AC5"/>
    <w:rsid w:val="00F779B6"/>
    <w:rsid w:val="00F801CF"/>
    <w:rsid w:val="00F82D47"/>
    <w:rsid w:val="00F852C5"/>
    <w:rsid w:val="00F92DD8"/>
    <w:rsid w:val="00FA1C78"/>
    <w:rsid w:val="00FB3AFF"/>
    <w:rsid w:val="00FB6DAA"/>
    <w:rsid w:val="00FC3FE6"/>
    <w:rsid w:val="00FD3E88"/>
    <w:rsid w:val="00FD45C2"/>
    <w:rsid w:val="00FE21FE"/>
    <w:rsid w:val="00FE3173"/>
    <w:rsid w:val="00FE6811"/>
    <w:rsid w:val="00FF0E1A"/>
    <w:rsid w:val="00FF5841"/>
    <w:rsid w:val="39CC1451"/>
    <w:rsid w:val="3FDC0B11"/>
    <w:rsid w:val="EB3FF597"/>
    <w:rsid w:val="FCCFBBA4"/>
    <w:rsid w:val="FED71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uiPriority w:val="99"/>
    <w:pPr>
      <w:ind w:firstLine="420" w:firstLineChars="200"/>
    </w:pPr>
  </w:style>
  <w:style w:type="character" w:customStyle="1" w:styleId="12">
    <w:name w:val="页眉 字符"/>
    <w:basedOn w:val="9"/>
    <w:link w:val="6"/>
    <w:qFormat/>
    <w:uiPriority w:val="99"/>
    <w:rPr>
      <w:rFonts w:asciiTheme="minorHAnsi" w:hAnsiTheme="minorHAnsi" w:eastAsiaTheme="minorEastAsia" w:cstheme="minorBidi"/>
      <w:kern w:val="2"/>
      <w:sz w:val="18"/>
      <w:szCs w:val="18"/>
    </w:rPr>
  </w:style>
  <w:style w:type="character" w:customStyle="1" w:styleId="13">
    <w:name w:val="页脚 字符"/>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字符"/>
    <w:basedOn w:val="9"/>
    <w:link w:val="3"/>
    <w:qFormat/>
    <w:uiPriority w:val="0"/>
    <w:rPr>
      <w:kern w:val="2"/>
      <w:sz w:val="18"/>
      <w:szCs w:val="24"/>
    </w:rPr>
  </w:style>
  <w:style w:type="character" w:customStyle="1" w:styleId="15">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6">
    <w:name w:val="批注主题 字符"/>
    <w:basedOn w:val="15"/>
    <w:link w:val="7"/>
    <w:qFormat/>
    <w:uiPriority w:val="0"/>
    <w:rPr>
      <w:rFonts w:asciiTheme="minorHAnsi" w:hAnsiTheme="minorHAnsi" w:eastAsiaTheme="minorEastAsia" w:cstheme="minorBidi"/>
      <w:b/>
      <w:bCs/>
      <w:kern w:val="2"/>
      <w:sz w:val="21"/>
      <w:szCs w:val="24"/>
    </w:rPr>
  </w:style>
  <w:style w:type="paragraph" w:customStyle="1" w:styleId="17">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字符"/>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938</Words>
  <Characters>5349</Characters>
  <Lines>44</Lines>
  <Paragraphs>12</Paragraphs>
  <TotalTime>16</TotalTime>
  <ScaleCrop>false</ScaleCrop>
  <LinksUpToDate>false</LinksUpToDate>
  <CharactersWithSpaces>6275</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2022-09-20T19:38:00Z</dcterms:created>
  <dc:creator>Dumpling</dc:creator>
  <cp:lastModifiedBy>彭裕惠</cp:lastModifiedBy>
  <cp:lastPrinted>2024-09-06T01:28:00Z</cp:lastPrinted>
  <dcterms:modified xsi:type="dcterms:W3CDTF">2024-11-13T09:54:20Z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DBDAA557E3AB4E19815F85778EA03EFE</vt:lpwstr>
  </property>
</Properties>
</file>