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960"/>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2</w:t>
      </w:r>
    </w:p>
    <w:p>
      <w:pPr>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60</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号</w:t>
      </w:r>
    </w:p>
    <w:p>
      <w:pPr>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番禺区政协十</w:t>
      </w:r>
      <w:r>
        <w:rPr>
          <w:rFonts w:hint="eastAsia" w:ascii="方正小标宋_GBK" w:hAnsi="方正小标宋_GBK" w:eastAsia="方正小标宋_GBK" w:cs="方正小标宋_GBK"/>
          <w:color w:val="auto"/>
          <w:sz w:val="44"/>
          <w:szCs w:val="44"/>
          <w:lang w:eastAsia="zh-CN"/>
        </w:rPr>
        <w:t>五</w:t>
      </w:r>
      <w:r>
        <w:rPr>
          <w:rFonts w:hint="eastAsia" w:ascii="方正小标宋_GBK" w:hAnsi="方正小标宋_GBK" w:eastAsia="方正小标宋_GBK" w:cs="方正小标宋_GBK"/>
          <w:color w:val="auto"/>
          <w:sz w:val="44"/>
          <w:szCs w:val="44"/>
        </w:rPr>
        <w:t>届</w:t>
      </w:r>
      <w:r>
        <w:rPr>
          <w:rFonts w:hint="eastAsia" w:ascii="方正小标宋_GBK" w:hAnsi="方正小标宋_GBK" w:eastAsia="方正小标宋_GBK" w:cs="方正小标宋_GBK"/>
          <w:color w:val="auto"/>
          <w:sz w:val="44"/>
          <w:szCs w:val="44"/>
          <w:lang w:eastAsia="zh-CN"/>
        </w:rPr>
        <w:t>三</w:t>
      </w:r>
      <w:r>
        <w:rPr>
          <w:rFonts w:hint="eastAsia" w:ascii="方正小标宋_GBK" w:hAnsi="方正小标宋_GBK" w:eastAsia="方正小标宋_GBK" w:cs="方正小标宋_GBK"/>
          <w:color w:val="auto"/>
          <w:sz w:val="44"/>
          <w:szCs w:val="44"/>
        </w:rPr>
        <w:t>次会议提案</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题</w:t>
            </w:r>
            <w:r>
              <w:rPr>
                <w:rFonts w:hint="eastAsia" w:ascii="仿宋_GB2312" w:hAnsi="宋体" w:eastAsia="仿宋_GB2312"/>
                <w:color w:val="auto"/>
                <w:sz w:val="32"/>
                <w:szCs w:val="32"/>
                <w:lang w:val="en-US" w:eastAsia="zh-CN"/>
              </w:rPr>
              <w:t xml:space="preserve">    </w:t>
            </w:r>
            <w:r>
              <w:rPr>
                <w:rFonts w:hint="eastAsia" w:ascii="仿宋_GB2312" w:hAnsi="宋体" w:eastAsia="仿宋_GB2312"/>
                <w:color w:val="auto"/>
                <w:sz w:val="32"/>
                <w:szCs w:val="32"/>
              </w:rPr>
              <w:t>目</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color w:val="auto"/>
                <w:sz w:val="32"/>
                <w:szCs w:val="32"/>
                <w:lang w:val="en-US" w:eastAsia="zh-CN"/>
              </w:rPr>
            </w:pPr>
            <w:r>
              <w:rPr>
                <w:rFonts w:hint="default" w:ascii="仿宋_GB2312" w:hAnsi="宋体" w:eastAsia="仿宋_GB2312"/>
                <w:color w:val="auto"/>
                <w:sz w:val="32"/>
                <w:szCs w:val="32"/>
                <w:lang w:val="en-US" w:eastAsia="zh-CN"/>
              </w:rPr>
              <w:t>关于构建“学校-医院”联动青少年学生心理健康促进平台的建议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提</w:t>
            </w:r>
            <w:r>
              <w:rPr>
                <w:rFonts w:hint="eastAsia" w:ascii="仿宋_GB2312" w:hAnsi="宋体" w:eastAsia="仿宋_GB2312"/>
                <w:color w:val="auto"/>
                <w:sz w:val="32"/>
                <w:szCs w:val="32"/>
                <w:lang w:val="en-US" w:eastAsia="zh-CN"/>
              </w:rPr>
              <w:t xml:space="preserve"> </w:t>
            </w:r>
            <w:r>
              <w:rPr>
                <w:rFonts w:hint="eastAsia" w:ascii="仿宋_GB2312" w:hAnsi="宋体" w:eastAsia="仿宋_GB2312"/>
                <w:color w:val="auto"/>
                <w:sz w:val="32"/>
                <w:szCs w:val="32"/>
              </w:rPr>
              <w:t>案</w:t>
            </w:r>
            <w:r>
              <w:rPr>
                <w:rFonts w:hint="eastAsia" w:ascii="仿宋_GB2312" w:hAnsi="宋体" w:eastAsia="仿宋_GB2312"/>
                <w:color w:val="auto"/>
                <w:sz w:val="32"/>
                <w:szCs w:val="32"/>
                <w:lang w:val="en-US" w:eastAsia="zh-CN"/>
              </w:rPr>
              <w:t xml:space="preserve"> </w:t>
            </w:r>
            <w:r>
              <w:rPr>
                <w:rFonts w:hint="eastAsia" w:ascii="仿宋_GB2312" w:hAnsi="宋体" w:eastAsia="仿宋_GB2312"/>
                <w:color w:val="auto"/>
                <w:sz w:val="32"/>
                <w:szCs w:val="32"/>
              </w:rPr>
              <w:t>者</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农工党番禺区委会</w:t>
            </w: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color w:val="auto"/>
                <w:sz w:val="32"/>
                <w:szCs w:val="32"/>
              </w:rPr>
            </w:pPr>
            <w:r>
              <w:rPr>
                <w:rFonts w:hint="eastAsia" w:ascii="仿宋_GB2312" w:hAnsi="宋体" w:eastAsia="仿宋_GB2312"/>
                <w:color w:val="auto"/>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color w:val="auto"/>
                <w:sz w:val="32"/>
                <w:szCs w:val="32"/>
                <w:lang w:val="en-US" w:eastAsia="zh-CN"/>
              </w:rPr>
            </w:pPr>
            <w:r>
              <w:rPr>
                <w:rFonts w:hint="eastAsia" w:ascii="仿宋_GB2312" w:hAnsi="Times New Roman" w:eastAsia="仿宋_GB2312" w:cs="Times New Roman"/>
                <w:color w:val="auto"/>
                <w:sz w:val="32"/>
                <w:szCs w:val="32"/>
              </w:rPr>
              <w:t>刘赛中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农工党广州市委会组宣处</w:t>
            </w:r>
            <w:r>
              <w:rPr>
                <w:rFonts w:hint="default" w:ascii="仿宋_GB2312" w:hAnsi="宋体" w:eastAsia="仿宋_GB2312"/>
                <w:color w:val="auto"/>
                <w:sz w:val="32"/>
                <w:szCs w:val="32"/>
                <w:lang w:val="en-US" w:eastAsia="zh-CN"/>
              </w:rPr>
              <w:t xml:space="preserve">  </w:t>
            </w: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color w:val="auto"/>
                <w:sz w:val="32"/>
                <w:szCs w:val="32"/>
              </w:rPr>
            </w:pPr>
            <w:r>
              <w:rPr>
                <w:rFonts w:hint="eastAsia" w:ascii="仿宋_GB2312" w:hAnsi="宋体" w:eastAsia="仿宋_GB2312"/>
                <w:color w:val="auto"/>
                <w:sz w:val="32"/>
                <w:szCs w:val="32"/>
              </w:rPr>
              <w:t>职</w:t>
            </w:r>
            <w:r>
              <w:rPr>
                <w:rFonts w:ascii="仿宋_GB2312" w:hAnsi="宋体" w:eastAsia="仿宋_GB2312"/>
                <w:color w:val="auto"/>
                <w:sz w:val="32"/>
                <w:szCs w:val="32"/>
              </w:rPr>
              <w:t xml:space="preserve">  </w:t>
            </w:r>
            <w:r>
              <w:rPr>
                <w:rFonts w:hint="eastAsia" w:ascii="仿宋_GB2312" w:hAnsi="宋体" w:eastAsia="仿宋_GB2312"/>
                <w:color w:val="auto"/>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手机号码</w:t>
            </w:r>
          </w:p>
        </w:tc>
        <w:tc>
          <w:tcPr>
            <w:tcW w:w="2693"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color w:val="auto"/>
                <w:sz w:val="32"/>
                <w:szCs w:val="32"/>
                <w:lang w:val="en-US" w:eastAsia="zh-CN"/>
              </w:rPr>
            </w:pPr>
          </w:p>
        </w:tc>
        <w:tc>
          <w:tcPr>
            <w:tcW w:w="1560"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color w:val="auto"/>
                <w:sz w:val="32"/>
                <w:szCs w:val="32"/>
              </w:rPr>
            </w:pPr>
            <w:r>
              <w:rPr>
                <w:rFonts w:hint="eastAsia" w:ascii="仿宋_GB2312" w:hAnsi="宋体" w:eastAsia="仿宋_GB2312"/>
                <w:color w:val="auto"/>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color w:val="auto"/>
                <w:sz w:val="32"/>
                <w:szCs w:val="32"/>
                <w:lang w:val="en-US" w:eastAsia="zh-CN"/>
              </w:rPr>
            </w:pP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color w:val="auto"/>
                <w:sz w:val="32"/>
                <w:szCs w:val="32"/>
                <w:lang w:val="en-US" w:eastAsia="zh-CN"/>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color w:val="auto"/>
                <w:sz w:val="32"/>
                <w:szCs w:val="32"/>
              </w:rPr>
            </w:pPr>
            <w:r>
              <w:rPr>
                <w:rFonts w:hint="eastAsia" w:ascii="仿宋_GB2312" w:hAnsi="宋体" w:eastAsia="仿宋_GB2312"/>
                <w:color w:val="auto"/>
                <w:sz w:val="32"/>
                <w:szCs w:val="32"/>
              </w:rPr>
              <w:t>邮编</w:t>
            </w:r>
          </w:p>
        </w:tc>
        <w:tc>
          <w:tcPr>
            <w:tcW w:w="132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联名提案人</w:t>
            </w:r>
          </w:p>
          <w:p>
            <w:pPr>
              <w:spacing w:line="680" w:lineRule="exact"/>
              <w:jc w:val="center"/>
              <w:rPr>
                <w:rFonts w:ascii="仿宋_GB2312" w:hAnsi="宋体" w:eastAsia="仿宋_GB2312"/>
                <w:color w:val="auto"/>
                <w:spacing w:val="-14"/>
                <w:sz w:val="32"/>
                <w:szCs w:val="32"/>
              </w:rPr>
            </w:pPr>
            <w:r>
              <w:rPr>
                <w:rFonts w:hint="eastAsia" w:ascii="仿宋_GB2312" w:hAnsi="宋体" w:eastAsia="仿宋_GB2312"/>
                <w:color w:val="auto"/>
                <w:spacing w:val="-14"/>
                <w:sz w:val="32"/>
                <w:szCs w:val="32"/>
              </w:rPr>
              <w:t>（如</w:t>
            </w:r>
            <w:r>
              <w:rPr>
                <w:rFonts w:hint="eastAsia" w:ascii="仿宋_GB2312" w:hAnsi="宋体" w:eastAsia="仿宋_GB2312"/>
                <w:color w:val="auto"/>
                <w:spacing w:val="-14"/>
                <w:sz w:val="28"/>
                <w:szCs w:val="28"/>
              </w:rPr>
              <w:t>人数较多，可另附于文后</w:t>
            </w:r>
            <w:r>
              <w:rPr>
                <w:rFonts w:hint="eastAsia" w:ascii="仿宋_GB2312" w:hAnsi="宋体" w:eastAsia="仿宋_GB2312"/>
                <w:color w:val="auto"/>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提案委员会</w:t>
            </w:r>
          </w:p>
          <w:p>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color w:val="auto"/>
                <w:sz w:val="32"/>
                <w:szCs w:val="32"/>
              </w:rPr>
            </w:pPr>
          </w:p>
        </w:tc>
      </w:tr>
    </w:tbl>
    <w:p>
      <w:pPr>
        <w:spacing w:line="560" w:lineRule="exact"/>
        <w:rPr>
          <w:rFonts w:hint="eastAsia" w:ascii="仿宋" w:hAnsi="仿宋" w:eastAsia="仿宋"/>
          <w:color w:val="auto"/>
          <w:sz w:val="32"/>
          <w:szCs w:val="32"/>
          <w:lang w:val="en-US" w:eastAsia="zh-CN"/>
        </w:rPr>
      </w:pPr>
      <w:r>
        <w:rPr>
          <w:rFonts w:hint="eastAsia" w:ascii="黑体" w:hAnsi="黑体" w:eastAsia="黑体"/>
          <w:color w:val="auto"/>
          <w:sz w:val="32"/>
          <w:szCs w:val="32"/>
        </w:rPr>
        <w:t>根据实际情况在</w:t>
      </w:r>
      <w:r>
        <w:rPr>
          <w:rFonts w:hint="eastAsia" w:ascii="黑体" w:hAnsi="黑体" w:eastAsia="黑体"/>
          <w:color w:val="auto"/>
          <w:sz w:val="32"/>
          <w:szCs w:val="32"/>
          <w:lang w:eastAsia="zh-CN"/>
        </w:rPr>
        <w:t>（）</w:t>
      </w:r>
      <w:r>
        <w:rPr>
          <w:rFonts w:hint="eastAsia" w:ascii="黑体" w:hAnsi="黑体" w:eastAsia="黑体"/>
          <w:color w:val="auto"/>
          <w:sz w:val="32"/>
          <w:szCs w:val="32"/>
        </w:rPr>
        <w:t>内打勾确认：</w:t>
      </w:r>
    </w:p>
    <w:p>
      <w:pPr>
        <w:spacing w:line="440" w:lineRule="exact"/>
        <w:rPr>
          <w:rFonts w:ascii="宋体" w:hAnsi="宋体"/>
          <w:b/>
          <w:color w:val="auto"/>
          <w:sz w:val="30"/>
          <w:szCs w:val="30"/>
        </w:rPr>
      </w:pPr>
      <w:r>
        <w:rPr>
          <w:rFonts w:hint="eastAsia" w:ascii="宋体" w:hAnsi="宋体"/>
          <w:b/>
          <w:color w:val="auto"/>
          <w:sz w:val="30"/>
          <w:szCs w:val="30"/>
          <w:lang w:eastAsia="zh-CN"/>
        </w:rPr>
        <w:t>是否同意公开</w:t>
      </w:r>
      <w:r>
        <w:rPr>
          <w:rFonts w:hint="eastAsia" w:ascii="宋体" w:hAnsi="宋体"/>
          <w:b/>
          <w:color w:val="auto"/>
          <w:sz w:val="30"/>
          <w:szCs w:val="30"/>
        </w:rPr>
        <w:t>：</w:t>
      </w:r>
    </w:p>
    <w:p>
      <w:pPr>
        <w:spacing w:line="440" w:lineRule="exact"/>
        <w:rPr>
          <w:rFonts w:hint="eastAsia" w:ascii="黑体" w:hAnsi="黑体" w:eastAsia="黑体"/>
          <w:b/>
          <w:color w:val="auto"/>
          <w:sz w:val="32"/>
          <w:szCs w:val="32"/>
        </w:rPr>
      </w:pPr>
      <w:r>
        <w:rPr>
          <w:rFonts w:hint="eastAsia" w:ascii="宋体" w:hAnsi="宋体"/>
          <w:color w:val="auto"/>
          <w:sz w:val="30"/>
          <w:szCs w:val="30"/>
          <w:lang w:eastAsia="zh-CN"/>
        </w:rPr>
        <w:t>是（</w:t>
      </w:r>
      <w:r>
        <w:rPr>
          <w:rFonts w:hint="default" w:ascii="Arial" w:hAnsi="Arial" w:cs="Arial"/>
          <w:color w:val="auto"/>
          <w:sz w:val="30"/>
          <w:szCs w:val="30"/>
          <w:lang w:eastAsia="zh-CN"/>
        </w:rPr>
        <w:t>√</w:t>
      </w:r>
      <w:r>
        <w:rPr>
          <w:rFonts w:hint="eastAsia" w:ascii="宋体" w:hAnsi="宋体"/>
          <w:color w:val="auto"/>
          <w:sz w:val="30"/>
          <w:szCs w:val="30"/>
          <w:lang w:eastAsia="zh-CN"/>
        </w:rPr>
        <w:t>）</w:t>
      </w:r>
      <w:r>
        <w:rPr>
          <w:rFonts w:ascii="宋体" w:hAnsi="宋体"/>
          <w:color w:val="auto"/>
          <w:sz w:val="30"/>
          <w:szCs w:val="30"/>
        </w:rPr>
        <w:t xml:space="preserve">  </w:t>
      </w:r>
      <w:r>
        <w:rPr>
          <w:rFonts w:hint="eastAsia" w:ascii="宋体" w:hAnsi="宋体"/>
          <w:color w:val="auto"/>
          <w:sz w:val="30"/>
          <w:szCs w:val="30"/>
          <w:lang w:eastAsia="zh-CN"/>
        </w:rPr>
        <w:t>否（）</w:t>
      </w:r>
      <w:r>
        <w:rPr>
          <w:rFonts w:ascii="宋体" w:hAnsi="宋体"/>
          <w:color w:val="auto"/>
          <w:sz w:val="30"/>
          <w:szCs w:val="30"/>
        </w:rPr>
        <w:t xml:space="preserve"> </w:t>
      </w:r>
    </w:p>
    <w:p>
      <w:pPr>
        <w:spacing w:line="500" w:lineRule="exact"/>
        <w:rPr>
          <w:rFonts w:hint="eastAsia" w:ascii="仿宋_GB2312" w:hAnsi="Times New Roman" w:eastAsia="仿宋_GB2312" w:cs="Times New Roman"/>
          <w:color w:val="auto"/>
          <w:sz w:val="32"/>
          <w:szCs w:val="32"/>
        </w:rPr>
      </w:pPr>
    </w:p>
    <w:p>
      <w:pPr>
        <w:pStyle w:val="2"/>
        <w:rPr>
          <w:rFonts w:hint="eastAsia"/>
        </w:rPr>
      </w:pPr>
    </w:p>
    <w:p>
      <w:pPr>
        <w:spacing w:line="500" w:lineRule="exact"/>
        <w:rPr>
          <w:rFonts w:hint="eastAsia"/>
        </w:rPr>
      </w:pPr>
      <w:r>
        <w:rPr>
          <w:rFonts w:hint="eastAsia" w:ascii="黑体" w:hAnsi="黑体" w:eastAsia="黑体"/>
          <w:b/>
          <w:sz w:val="32"/>
          <w:szCs w:val="32"/>
        </w:rPr>
        <w:t>理由：</w:t>
      </w:r>
    </w:p>
    <w:p>
      <w:pPr>
        <w:spacing w:line="50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近年来，青少年学生的心理健康问题日渐凸显，心理健康状况不容乐观，尤其是当前处于后疫情时代，三年新冠疫情、长时间网课后遗症、亲子关系受影响、阳康后身心需恢复、学业压力加大等多重因素叠加，青少年学生心理健康问题更是受到全社会普遍关注。</w:t>
      </w:r>
    </w:p>
    <w:p>
      <w:pPr>
        <w:spacing w:line="50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 xml:space="preserve">目前番禺区各级学校心理健康教育与管理开展了一定工作，但是在工作实践中存在一定困难，具体如下： </w:t>
      </w:r>
    </w:p>
    <w:p>
      <w:pPr>
        <w:spacing w:line="500" w:lineRule="exact"/>
        <w:ind w:firstLine="643" w:firstLineChars="200"/>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一、目前学校学生心理状况</w:t>
      </w:r>
    </w:p>
    <w:p>
      <w:pPr>
        <w:spacing w:line="50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目前各级学校的学生心理健康状况堪忧，一方面各级学校有部分学生存在严重的心理健康问题，有些出现厌学、网络成瘾、抑郁甚至自伤自杀等状况，另一方面部分家长并不正视孩子的心理健康状况，反而害怕给孩子贴上精神病的标签，讳疾忌医，而延误了青少年患者的诊治时机，导致病情加重、恶化，甚至酿成自伤自杀的严重后果，给学校管理造成很大压力。</w:t>
      </w:r>
    </w:p>
    <w:p>
      <w:pPr>
        <w:spacing w:line="500" w:lineRule="exact"/>
        <w:ind w:firstLine="643" w:firstLineChars="200"/>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二、目前学校心理辅导老师存在的困难</w:t>
      </w:r>
    </w:p>
    <w:p>
      <w:pPr>
        <w:spacing w:line="50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（一）学校心理辅导老师与医院临床心理精神科医生无法建立联动，无法向医院临床心理科提供学生在学校的学习生活情况，影响临床心理科医生对学生进行及时诊断与治疗。</w:t>
      </w:r>
    </w:p>
    <w:p>
      <w:pPr>
        <w:spacing w:line="50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（二）学校心理辅导老师对医院临床心理科诊断及治疗流程和用药不熟悉，因此无法指导患者配合药物治疗，当家属询问的时候，也无法很好地解释患者目前的治疗进展，导致学校心理工作处于被动。</w:t>
      </w:r>
    </w:p>
    <w:p>
      <w:pPr>
        <w:spacing w:line="500" w:lineRule="exact"/>
        <w:ind w:firstLine="640" w:firstLineChars="200"/>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三）因缺少与医院的医生临床工作进行联动的渠道和机制，故心理辅导老师往往无法确定患者目前处于何种疾病状态，目前心理疾病状态是处于疾病急性期还是疾病的稳定期？急性期需要学校心理辅导老师如何配合？疾病稳定期学校心理辅导老师又如何配合？学校心理辅导老师目前对这些工作也比较迷茫，迫切需要得到医院相关科室和医生的指导。</w:t>
      </w:r>
    </w:p>
    <w:p>
      <w:pPr>
        <w:pStyle w:val="2"/>
        <w:rPr>
          <w:rFonts w:hint="eastAsia" w:ascii="黑体" w:hAnsi="黑体" w:eastAsia="黑体"/>
          <w:b/>
          <w:sz w:val="32"/>
          <w:szCs w:val="32"/>
        </w:rPr>
      </w:pPr>
    </w:p>
    <w:p>
      <w:pPr>
        <w:pStyle w:val="2"/>
        <w:rPr>
          <w:rFonts w:hint="eastAsia" w:ascii="仿宋_GB2312" w:hAnsi="Times New Roman" w:eastAsia="仿宋_GB2312" w:cs="Times New Roman"/>
          <w:color w:val="auto"/>
          <w:sz w:val="32"/>
          <w:szCs w:val="32"/>
        </w:rPr>
      </w:pPr>
      <w:r>
        <w:rPr>
          <w:rFonts w:hint="eastAsia" w:ascii="黑体" w:hAnsi="黑体" w:eastAsia="黑体"/>
          <w:b/>
          <w:sz w:val="32"/>
          <w:szCs w:val="32"/>
        </w:rPr>
        <w:t>办法：</w:t>
      </w:r>
    </w:p>
    <w:p>
      <w:pPr>
        <w:spacing w:line="500" w:lineRule="exact"/>
        <w:rPr>
          <w:rFonts w:ascii="仿宋_GB2312" w:hAnsi="Times New Roman" w:eastAsia="仿宋_GB2312" w:cs="Times New Roman"/>
          <w:b/>
          <w:bCs/>
          <w:color w:val="auto"/>
          <w:sz w:val="32"/>
          <w:szCs w:val="32"/>
        </w:rPr>
      </w:pPr>
      <w:bookmarkStart w:id="0" w:name="_Hlk112080021"/>
    </w:p>
    <w:p>
      <w:pPr>
        <w:spacing w:line="500" w:lineRule="exact"/>
        <w:ind w:firstLine="643" w:firstLineChars="200"/>
        <w:rPr>
          <w:rFonts w:ascii="仿宋_GB2312" w:hAnsi="Times New Roman" w:eastAsia="仿宋_GB2312" w:cs="Times New Roman"/>
          <w:b/>
          <w:bCs/>
          <w:color w:val="auto"/>
          <w:sz w:val="32"/>
          <w:szCs w:val="32"/>
        </w:rPr>
      </w:pPr>
      <w:r>
        <w:rPr>
          <w:rFonts w:ascii="仿宋_GB2312" w:hAnsi="Times New Roman" w:eastAsia="仿宋_GB2312" w:cs="Times New Roman"/>
          <w:b/>
          <w:bCs/>
          <w:color w:val="auto"/>
          <w:sz w:val="32"/>
          <w:szCs w:val="32"/>
        </w:rPr>
        <w:t>建议由区教育局牵头</w:t>
      </w:r>
      <w:r>
        <w:rPr>
          <w:rFonts w:hint="eastAsia" w:ascii="仿宋_GB2312" w:hAnsi="Times New Roman" w:eastAsia="仿宋_GB2312" w:cs="Times New Roman"/>
          <w:b/>
          <w:bCs/>
          <w:color w:val="auto"/>
          <w:sz w:val="32"/>
          <w:szCs w:val="32"/>
        </w:rPr>
        <w:t>，指导我区学校</w:t>
      </w:r>
      <w:r>
        <w:rPr>
          <w:rFonts w:ascii="仿宋_GB2312" w:hAnsi="Times New Roman" w:eastAsia="仿宋_GB2312" w:cs="Times New Roman"/>
          <w:b/>
          <w:bCs/>
          <w:color w:val="auto"/>
          <w:sz w:val="32"/>
          <w:szCs w:val="32"/>
        </w:rPr>
        <w:t>和区卫健局及相关医疗机构合作</w:t>
      </w:r>
      <w:r>
        <w:rPr>
          <w:rFonts w:hint="eastAsia" w:ascii="仿宋_GB2312" w:hAnsi="Times New Roman" w:eastAsia="仿宋_GB2312" w:cs="Times New Roman"/>
          <w:b/>
          <w:bCs/>
          <w:color w:val="auto"/>
          <w:sz w:val="32"/>
          <w:szCs w:val="32"/>
        </w:rPr>
        <w:t>，</w:t>
      </w:r>
      <w:r>
        <w:rPr>
          <w:rFonts w:hint="eastAsia" w:ascii="仿宋_GB2312" w:hAnsi="Times New Roman" w:eastAsia="仿宋_GB2312" w:cs="Times New Roman"/>
          <w:color w:val="auto"/>
          <w:sz w:val="32"/>
          <w:szCs w:val="32"/>
        </w:rPr>
        <w:t>构建“学校-医院”联动青少年学生心理健康促进平台，为青少年学生提供心理健康服务。</w:t>
      </w:r>
    </w:p>
    <w:p>
      <w:pPr>
        <w:spacing w:line="50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（一）</w:t>
      </w:r>
      <w:bookmarkEnd w:id="0"/>
      <w:r>
        <w:rPr>
          <w:rFonts w:hint="eastAsia" w:ascii="仿宋_GB2312" w:hAnsi="Times New Roman" w:eastAsia="仿宋_GB2312" w:cs="Times New Roman"/>
          <w:color w:val="auto"/>
          <w:sz w:val="32"/>
          <w:szCs w:val="32"/>
        </w:rPr>
        <w:t>选取区内部分学校与医院临床心理科（如广东二师附属初中和何贤纪念医院心理科等）先行试点。试点探索、总结经验后，全面推开，以促进学生心理健康。</w:t>
      </w:r>
    </w:p>
    <w:p>
      <w:pPr>
        <w:spacing w:line="50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（二）“校-医”联动青少年学生心理健康促进平台的合作医院为合作学校的学生开通心理健康门诊就诊绿色通道，提供优质的健康服务。</w:t>
      </w:r>
    </w:p>
    <w:p>
      <w:pPr>
        <w:spacing w:line="50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三）当学校发现有严重心理问题、可疑的精神障碍或有自伤自杀倾向等异常心理危机的学生时，可及时与医院心理科医生联系咨询。学校在告知学生监护人并取得其知情同意的情况下，提供该生近期在校表现的相关资料，可获得心理科医生的专业指导和建议，必要时经监护人同意直接转介至区内有资质医院的临床心理科治疗。</w:t>
      </w:r>
    </w:p>
    <w:p>
      <w:pPr>
        <w:spacing w:line="50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（四）学生在医院临床心理科治疗后，学校可凭医院提供的精神状态评估结果为学生办理复学手续；另一方面，医院为学校提供关于复学学生在校期间的相关注意事项和建议。</w:t>
      </w:r>
    </w:p>
    <w:p>
      <w:pPr>
        <w:spacing w:line="500" w:lineRule="exact"/>
        <w:ind w:firstLine="640" w:firstLineChars="200"/>
        <w:rPr>
          <w:color w:val="auto"/>
          <w:sz w:val="36"/>
          <w:szCs w:val="44"/>
        </w:rPr>
      </w:pPr>
      <w:r>
        <w:rPr>
          <w:rFonts w:hint="eastAsia" w:ascii="仿宋_GB2312" w:hAnsi="Times New Roman" w:eastAsia="仿宋_GB2312" w:cs="Times New Roman"/>
          <w:color w:val="auto"/>
          <w:sz w:val="32"/>
          <w:szCs w:val="32"/>
        </w:rPr>
        <w:t>（五）为进一步做好学生心理问题的预防和援助工作，由医院对学校心理辅导老师团队进行相关培训（如安排临床心理科见习），与医院共同搭建多样化、多层次的青少年儿童社会心理服务平台。</w:t>
      </w: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Kalinga">
    <w:panose1 w:val="020B0502040204020203"/>
    <w:charset w:val="00"/>
    <w:family w:val="swiss"/>
    <w:pitch w:val="default"/>
    <w:sig w:usb0="00080003"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lN2ZhNWY0ZTUwMzk2YjA5MmE0MDRlNWZmMTVlMGQifQ=="/>
  </w:docVars>
  <w:rsids>
    <w:rsidRoot w:val="BCCDC160"/>
    <w:rsid w:val="000D0EB3"/>
    <w:rsid w:val="001A4591"/>
    <w:rsid w:val="002160FD"/>
    <w:rsid w:val="0034703B"/>
    <w:rsid w:val="004A5147"/>
    <w:rsid w:val="004B6B61"/>
    <w:rsid w:val="0058597E"/>
    <w:rsid w:val="005D1275"/>
    <w:rsid w:val="00734BE2"/>
    <w:rsid w:val="007719D6"/>
    <w:rsid w:val="00772386"/>
    <w:rsid w:val="0078661A"/>
    <w:rsid w:val="007E1681"/>
    <w:rsid w:val="00914CAF"/>
    <w:rsid w:val="009913CA"/>
    <w:rsid w:val="00A63441"/>
    <w:rsid w:val="00AB555A"/>
    <w:rsid w:val="00AD6911"/>
    <w:rsid w:val="00AD7157"/>
    <w:rsid w:val="00BD5E55"/>
    <w:rsid w:val="00C04817"/>
    <w:rsid w:val="00D13F8D"/>
    <w:rsid w:val="00F7746C"/>
    <w:rsid w:val="039E21BE"/>
    <w:rsid w:val="0994040C"/>
    <w:rsid w:val="12E372E4"/>
    <w:rsid w:val="136A2228"/>
    <w:rsid w:val="16490758"/>
    <w:rsid w:val="1F3A2287"/>
    <w:rsid w:val="2F3E168B"/>
    <w:rsid w:val="30223369"/>
    <w:rsid w:val="33ED56C2"/>
    <w:rsid w:val="34204D41"/>
    <w:rsid w:val="36F94D45"/>
    <w:rsid w:val="3ABB39E0"/>
    <w:rsid w:val="3F7512D4"/>
    <w:rsid w:val="3FF51669"/>
    <w:rsid w:val="539367E9"/>
    <w:rsid w:val="56DC4031"/>
    <w:rsid w:val="59B870C3"/>
    <w:rsid w:val="643E352E"/>
    <w:rsid w:val="6FB374C0"/>
    <w:rsid w:val="70FF4D3B"/>
    <w:rsid w:val="BCCDC160"/>
  </w:rsids>
  <m:mathPr>
    <m:mathFont m:val="Cambria Math"/>
    <m:brkBin m:val="before"/>
    <m:brkBinSub m:val="--"/>
    <m:smallFrac m:val="0"/>
    <m:dispDef/>
    <m:lMargin m:val="0"/>
    <m:rMargin m:val="0"/>
    <m:defJc m:val="centerGroup"/>
    <m:wrapIndent m:val="1440"/>
    <m:intLim m:val="subSup"/>
    <m:naryLim m:val="undOvr"/>
  </m:mathPr>
  <w:themeFontLang w:val="en-US" w:eastAsia="zh-CN" w:bidi="or-I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Calibri" w:hAnsi="Calibri" w:eastAsia="仿宋_GB2312"/>
      <w:sz w:val="32"/>
      <w:szCs w:val="20"/>
    </w:rPr>
  </w:style>
  <w:style w:type="paragraph" w:styleId="3">
    <w:name w:val="toc 5"/>
    <w:basedOn w:val="1"/>
    <w:next w:val="1"/>
    <w:qFormat/>
    <w:uiPriority w:val="0"/>
    <w:pPr>
      <w:ind w:left="1680"/>
    </w:pPr>
  </w:style>
  <w:style w:type="paragraph"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191</Words>
  <Characters>1091</Characters>
  <Lines>9</Lines>
  <Paragraphs>2</Paragraphs>
  <TotalTime>5</TotalTime>
  <ScaleCrop>false</ScaleCrop>
  <LinksUpToDate>false</LinksUpToDate>
  <CharactersWithSpaces>1280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2022-08-08T20:33:00Z</dcterms:created>
  <dc:creator>snow</dc:creator>
  <cp:lastModifiedBy>user</cp:lastModifiedBy>
  <dcterms:modified xsi:type="dcterms:W3CDTF">2023-12-04T02:54:04Z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A8D1B21A48984BB4B9AB5D534FB315B3</vt:lpwstr>
  </property>
</Properties>
</file>