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960"/>
        <w:rPr>
          <w:rFonts w:hint="eastAsia" w:ascii="宋体" w:hAnsi="宋体"/>
          <w:sz w:val="32"/>
          <w:szCs w:val="32"/>
        </w:rPr>
      </w:pPr>
      <w:r>
        <w:rPr>
          <w:rFonts w:hint="eastAsia" w:ascii="黑体" w:hAnsi="黑体" w:eastAsia="黑体" w:cs="黑体"/>
          <w:sz w:val="32"/>
          <w:szCs w:val="32"/>
        </w:rPr>
        <w:t>附件2</w:t>
      </w:r>
    </w:p>
    <w:p>
      <w:pPr>
        <w:jc w:val="right"/>
        <w:rPr>
          <w:rFonts w:hint="eastAsia" w:ascii="宋体" w:hAnsi="宋体"/>
          <w:sz w:val="32"/>
          <w:szCs w:val="32"/>
        </w:rPr>
      </w:pPr>
      <w:r>
        <w:rPr>
          <w:rFonts w:hint="eastAsia" w:ascii="宋体" w:hAnsi="宋体"/>
          <w:sz w:val="32"/>
          <w:szCs w:val="32"/>
        </w:rPr>
        <w:t>第</w:t>
      </w:r>
      <w:r>
        <w:rPr>
          <w:rFonts w:hint="eastAsia" w:ascii="宋体" w:hAnsi="宋体"/>
          <w:sz w:val="32"/>
          <w:szCs w:val="32"/>
          <w:u w:val="single"/>
        </w:rPr>
        <w:t xml:space="preserve">  </w:t>
      </w:r>
      <w:r>
        <w:rPr>
          <w:rFonts w:hint="eastAsia" w:ascii="宋体" w:hAnsi="宋体"/>
          <w:sz w:val="32"/>
          <w:szCs w:val="32"/>
          <w:u w:val="single"/>
          <w:lang w:val="en-US" w:eastAsia="zh-CN"/>
        </w:rPr>
        <w:t>53</w:t>
      </w:r>
      <w:r>
        <w:rPr>
          <w:rFonts w:hint="eastAsia" w:ascii="宋体" w:hAnsi="宋体"/>
          <w:sz w:val="32"/>
          <w:szCs w:val="32"/>
          <w:u w:val="single"/>
        </w:rPr>
        <w:t xml:space="preserve">  </w:t>
      </w:r>
      <w:r>
        <w:rPr>
          <w:rFonts w:hint="eastAsia" w:ascii="宋体" w:hAnsi="宋体"/>
          <w:sz w:val="32"/>
          <w:szCs w:val="32"/>
        </w:rPr>
        <w:t>号</w:t>
      </w:r>
    </w:p>
    <w:p>
      <w:pPr>
        <w:jc w:val="center"/>
        <w:rPr>
          <w:rFonts w:ascii="小标宋" w:hAnsi="黑体" w:eastAsia="小标宋"/>
          <w:sz w:val="44"/>
          <w:szCs w:val="44"/>
        </w:rPr>
      </w:pPr>
      <w:r>
        <w:rPr>
          <w:rFonts w:hint="eastAsia" w:ascii="小标宋" w:hAnsi="黑体" w:eastAsia="小标宋"/>
          <w:sz w:val="44"/>
          <w:szCs w:val="44"/>
        </w:rPr>
        <w:t>番禺区政协十</w:t>
      </w:r>
      <w:r>
        <w:rPr>
          <w:rFonts w:hint="eastAsia" w:ascii="小标宋" w:hAnsi="黑体" w:eastAsia="小标宋"/>
          <w:sz w:val="44"/>
          <w:szCs w:val="44"/>
          <w:lang w:val="en-US" w:eastAsia="zh-CN"/>
        </w:rPr>
        <w:t>五</w:t>
      </w:r>
      <w:r>
        <w:rPr>
          <w:rFonts w:hint="eastAsia" w:ascii="小标宋" w:hAnsi="黑体" w:eastAsia="小标宋"/>
          <w:sz w:val="44"/>
          <w:szCs w:val="44"/>
        </w:rPr>
        <w:t>届</w:t>
      </w:r>
      <w:r>
        <w:rPr>
          <w:rFonts w:hint="eastAsia" w:ascii="小标宋" w:hAnsi="黑体" w:eastAsia="小标宋"/>
          <w:sz w:val="44"/>
          <w:szCs w:val="44"/>
          <w:lang w:val="en-US" w:eastAsia="zh-CN"/>
        </w:rPr>
        <w:t>三</w:t>
      </w:r>
      <w:r>
        <w:rPr>
          <w:rFonts w:hint="eastAsia" w:ascii="小标宋" w:hAnsi="黑体" w:eastAsia="小标宋"/>
          <w:sz w:val="44"/>
          <w:szCs w:val="44"/>
        </w:rPr>
        <w:t>次会议提案</w:t>
      </w:r>
    </w:p>
    <w:tbl>
      <w:tblPr>
        <w:tblStyle w:val="5"/>
        <w:tblW w:w="8985" w:type="dxa"/>
        <w:tblInd w:w="-2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2745"/>
        <w:gridCol w:w="435"/>
        <w:gridCol w:w="1305"/>
        <w:gridCol w:w="945"/>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825"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jc w:val="left"/>
              <w:rPr>
                <w:rFonts w:hint="default" w:ascii="仿宋_GB2312" w:hAnsi="宋体" w:eastAsia="宋体"/>
                <w:sz w:val="32"/>
                <w:szCs w:val="32"/>
                <w:lang w:val="en-US" w:eastAsia="zh-CN"/>
              </w:rPr>
            </w:pPr>
            <w:r>
              <w:rPr>
                <w:rFonts w:hint="eastAsia" w:ascii="仿宋_GB2312" w:hAnsi="宋体" w:eastAsia="仿宋_GB2312"/>
                <w:sz w:val="32"/>
                <w:szCs w:val="32"/>
                <w:lang w:val="en-US" w:eastAsia="zh-CN"/>
              </w:rPr>
              <w:t>关于强化中小企业人才引、培、留，为番禺高质量发展打call的建议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3180"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jc w:val="both"/>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政协市桥办公室</w:t>
            </w:r>
          </w:p>
        </w:tc>
        <w:tc>
          <w:tcPr>
            <w:tcW w:w="1305"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联系人</w:t>
            </w:r>
          </w:p>
        </w:tc>
        <w:tc>
          <w:tcPr>
            <w:tcW w:w="2340"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陈敏玲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3180"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r>
              <w:rPr>
                <w:rFonts w:hint="default" w:ascii="仿宋_GB2312" w:hAnsi="宋体" w:eastAsia="仿宋_GB2312"/>
                <w:sz w:val="32"/>
                <w:szCs w:val="32"/>
                <w:lang w:val="en-US" w:eastAsia="zh-CN"/>
              </w:rPr>
              <w:t>广州裕基商贸发展有限公司</w:t>
            </w:r>
          </w:p>
        </w:tc>
        <w:tc>
          <w:tcPr>
            <w:tcW w:w="1305"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40"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宋体" w:eastAsia="仿宋_GB2312"/>
                <w:sz w:val="32"/>
                <w:szCs w:val="32"/>
                <w:lang w:val="en-US" w:eastAsia="zh-CN"/>
              </w:rPr>
            </w:pPr>
            <w:r>
              <w:rPr>
                <w:rFonts w:hint="default" w:ascii="仿宋_GB2312" w:hAnsi="宋体" w:eastAsia="仿宋_GB2312"/>
                <w:sz w:val="32"/>
                <w:szCs w:val="32"/>
                <w:lang w:val="en-US" w:eastAsia="zh-CN"/>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745"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both"/>
              <w:rPr>
                <w:rFonts w:hint="default" w:ascii="仿宋_GB2312" w:hAnsi="宋体" w:eastAsia="仿宋_GB2312"/>
                <w:sz w:val="32"/>
                <w:szCs w:val="32"/>
                <w:lang w:val="en-US" w:eastAsia="zh-CN"/>
              </w:rPr>
            </w:pPr>
          </w:p>
        </w:tc>
        <w:tc>
          <w:tcPr>
            <w:tcW w:w="1740"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340"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hint="default" w:ascii="仿宋_GB2312" w:hAnsi="宋体" w:eastAsia="仿宋_GB2312"/>
                <w:sz w:val="32"/>
                <w:szCs w:val="32"/>
                <w:lang w:val="en-US"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485" w:type="dxa"/>
            <w:gridSpan w:val="3"/>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p>
        </w:tc>
        <w:tc>
          <w:tcPr>
            <w:tcW w:w="945"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邮编</w:t>
            </w:r>
          </w:p>
        </w:tc>
        <w:tc>
          <w:tcPr>
            <w:tcW w:w="1395"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hint="default" w:ascii="仿宋_GB2312" w:hAnsi="宋体" w:eastAsia="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160"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w:t>
            </w:r>
            <w:r>
              <w:rPr>
                <w:rFonts w:hint="eastAsia" w:ascii="仿宋_GB2312" w:hAnsi="宋体" w:eastAsia="仿宋_GB2312"/>
                <w:spacing w:val="-14"/>
                <w:sz w:val="28"/>
                <w:szCs w:val="28"/>
              </w:rPr>
              <w:t>如人数较多，可另附于文后</w:t>
            </w:r>
            <w:r>
              <w:rPr>
                <w:rFonts w:hint="eastAsia" w:ascii="仿宋_GB2312" w:hAnsi="宋体" w:eastAsia="仿宋_GB2312"/>
                <w:spacing w:val="-14"/>
                <w:sz w:val="32"/>
                <w:szCs w:val="32"/>
              </w:rPr>
              <w:t>）</w:t>
            </w:r>
          </w:p>
        </w:tc>
        <w:tc>
          <w:tcPr>
            <w:tcW w:w="6825"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eastAsia" w:ascii="仿宋_GB2312" w:hAnsi="宋体" w:eastAsia="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trPr>
        <w:tc>
          <w:tcPr>
            <w:tcW w:w="2160"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825"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p>
        </w:tc>
      </w:tr>
    </w:tbl>
    <w:p>
      <w:pPr>
        <w:spacing w:line="560" w:lineRule="exact"/>
        <w:rPr>
          <w:rFonts w:ascii="仿宋" w:hAnsi="仿宋" w:eastAsia="仿宋"/>
          <w:sz w:val="32"/>
          <w:szCs w:val="32"/>
        </w:rPr>
      </w:pPr>
      <w:r>
        <w:rPr>
          <w:rFonts w:hint="eastAsia" w:ascii="黑体" w:hAnsi="黑体" w:eastAsia="黑体"/>
          <w:sz w:val="32"/>
          <w:szCs w:val="32"/>
        </w:rPr>
        <w:t>根据实际情况在（）内打勾确认：</w:t>
      </w:r>
    </w:p>
    <w:p>
      <w:pPr>
        <w:spacing w:line="560" w:lineRule="exact"/>
        <w:rPr>
          <w:rFonts w:ascii="宋体" w:hAnsi="宋体"/>
          <w:b/>
          <w:sz w:val="30"/>
          <w:szCs w:val="30"/>
        </w:rPr>
      </w:pPr>
      <w:r>
        <w:rPr>
          <w:rFonts w:hint="eastAsia" w:ascii="宋体" w:hAnsi="宋体"/>
          <w:b/>
          <w:sz w:val="30"/>
          <w:szCs w:val="30"/>
        </w:rPr>
        <w:t>是否同意公开：</w:t>
      </w:r>
    </w:p>
    <w:p>
      <w:pPr>
        <w:spacing w:line="440" w:lineRule="exact"/>
        <w:rPr>
          <w:rFonts w:ascii="宋体" w:hAnsi="宋体"/>
          <w:sz w:val="30"/>
          <w:szCs w:val="30"/>
        </w:rPr>
      </w:pPr>
      <w:r>
        <w:rPr>
          <w:rFonts w:hint="eastAsia" w:ascii="宋体" w:hAnsi="宋体"/>
          <w:sz w:val="30"/>
          <w:szCs w:val="30"/>
        </w:rPr>
        <w:t>是（</w:t>
      </w:r>
      <w:r>
        <w:rPr>
          <w:rFonts w:ascii="Arial" w:hAnsi="Arial" w:cs="Arial"/>
          <w:sz w:val="30"/>
          <w:szCs w:val="30"/>
        </w:rPr>
        <w:t>√</w:t>
      </w:r>
      <w:r>
        <w:rPr>
          <w:rFonts w:hint="eastAsia" w:ascii="宋体" w:hAnsi="宋体"/>
          <w:sz w:val="30"/>
          <w:szCs w:val="30"/>
        </w:rPr>
        <w:t>）</w:t>
      </w:r>
      <w:r>
        <w:rPr>
          <w:rFonts w:ascii="宋体" w:hAnsi="宋体"/>
          <w:sz w:val="30"/>
          <w:szCs w:val="30"/>
        </w:rPr>
        <w:t xml:space="preserve">  </w:t>
      </w:r>
      <w:r>
        <w:rPr>
          <w:rFonts w:hint="eastAsia" w:ascii="宋体" w:hAnsi="宋体"/>
          <w:sz w:val="30"/>
          <w:szCs w:val="30"/>
        </w:rPr>
        <w:t>否（）</w:t>
      </w:r>
    </w:p>
    <w:p>
      <w:pPr>
        <w:spacing w:line="440" w:lineRule="exact"/>
        <w:rPr>
          <w:rFonts w:hint="eastAsia" w:ascii="黑体" w:hAnsi="黑体" w:eastAsia="黑体"/>
          <w:b/>
          <w:sz w:val="32"/>
          <w:szCs w:val="32"/>
        </w:rPr>
      </w:pPr>
    </w:p>
    <w:p>
      <w:pPr>
        <w:pStyle w:val="2"/>
        <w:rPr>
          <w:rFonts w:hint="eastAsia" w:ascii="黑体" w:hAnsi="黑体" w:eastAsia="黑体"/>
          <w:b/>
          <w:sz w:val="32"/>
          <w:szCs w:val="32"/>
        </w:rPr>
      </w:pPr>
    </w:p>
    <w:p>
      <w:pPr>
        <w:pStyle w:val="2"/>
        <w:rPr>
          <w:rFonts w:hint="eastAsia" w:ascii="黑体" w:hAnsi="黑体" w:eastAsia="黑体"/>
          <w:b/>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sectPr>
          <w:pgSz w:w="11906" w:h="16838"/>
          <w:pgMar w:top="1440" w:right="1800" w:bottom="1440" w:left="1800" w:header="851" w:footer="992" w:gutter="0"/>
          <w:pgNumType w:start="1"/>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理由</w:t>
      </w:r>
      <w:r>
        <w:rPr>
          <w:rFonts w:hint="eastAsia" w:ascii="黑体" w:hAnsi="黑体" w:eastAsia="黑体" w:cs="黑体"/>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习近平主席在二十大会议提出：实现人才强国战略、科教兴国战略、创新驱动发展战略有效联动。实现产业高质量发展，人才是重要保障和支撑。</w:t>
      </w:r>
      <w:r>
        <w:rPr>
          <w:rFonts w:hint="eastAsia" w:ascii="仿宋_GB2312" w:hAnsi="仿宋_GB2312" w:eastAsia="仿宋_GB2312" w:cs="仿宋_GB2312"/>
          <w:sz w:val="32"/>
          <w:szCs w:val="32"/>
          <w:lang w:eastAsia="zh-CN"/>
        </w:rPr>
        <w:t>2019年（新冠疫情期间），番禺区累计各类市场主体共27.16万户,注册资本4528.50亿元，地区生产总值为2079.50亿元。</w:t>
      </w:r>
      <w:r>
        <w:rPr>
          <w:rFonts w:hint="eastAsia" w:ascii="仿宋_GB2312" w:hAnsi="仿宋_GB2312" w:eastAsia="仿宋_GB2312" w:cs="仿宋_GB2312"/>
          <w:sz w:val="32"/>
          <w:szCs w:val="32"/>
          <w:lang w:val="en-US" w:eastAsia="zh-CN"/>
        </w:rPr>
        <w:t>2022年，番禺区累计各类市场主体共35.91万户,注册资本9436.87亿元，</w:t>
      </w:r>
      <w:r>
        <w:rPr>
          <w:rFonts w:hint="eastAsia" w:ascii="仿宋_GB2312" w:hAnsi="仿宋_GB2312" w:eastAsia="仿宋_GB2312" w:cs="仿宋_GB2312"/>
          <w:sz w:val="32"/>
          <w:szCs w:val="32"/>
          <w:lang w:eastAsia="zh-CN"/>
        </w:rPr>
        <w:t>地区生产总值为2705.47亿元</w:t>
      </w:r>
      <w:r>
        <w:rPr>
          <w:rFonts w:hint="eastAsia" w:ascii="仿宋_GB2312" w:hAnsi="仿宋_GB2312" w:eastAsia="仿宋_GB2312" w:cs="仿宋_GB2312"/>
          <w:sz w:val="32"/>
          <w:szCs w:val="32"/>
          <w:lang w:val="en-US" w:eastAsia="zh-CN"/>
        </w:rPr>
        <w:t>。其中小型企业占主要份额。中小型企业由于自身规模小，人、财、物等资源相对有限，既无力经营多种产品以分散风险，也无法在某一产品的大规模生产上与大企业竞争，特别在人才引进、培育、留驻方面更是无法抵御人才流动的大潮。企业一旦没有稳定的人才储备就如空中楼阁，随时有倒塌的可能。这对具有代表性五大支柱产业的番禺经济体系来说无疑是潜在的巨大风险。</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一、强化引进人才、培育厚植人才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政策是保障，落地是关键。政府及有关部门进一步加大组织保障力度。一是资金的保障；二是加大统筹推进力度；三是加大督促指导及监督力度。利用大学城人才资源优势，打造企校沟通联系平台，让人才培养更具专业性针对性。现在涉及全市全区人才引进、人才落户等旧政策纷繁，新政策层出不穷，但对新旧政策的解读、宣传及实施却常常滞后，这严重影响政策的落地时效性。致使部分中小型企业的政策因无法及时获取资讯而倒闭，有些则因解读不详无法满足企业需求。建议强化政府部门政策解读和宣传职能，强化引进人才、培育厚值人才、服务企业所需。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二、创新人才激励制度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留住人才是共识，创新机制是动能。政府部门要主动作为，根据番禺区中小型企业人才需求创新具有番禺经济特色的人才激励制度。让高技能人才更多享受各类的服务、培训机会、高技能人才卡，廉租房、买房捷便、小孩入学、夫妻工作安排等。建议参考江浙等地高端人才“揭榜挂帅”的先进模式，或者通过举办各种技能赛事，给予专业技术人员颁发技能证书、荣誉称号、奖励等，从而增强人才的归属感和向心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三、建设人才资源库，打造公开透明平台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资源是核心，平台是渠道。支持和引导符合条件的院校，培训机构对新战略性新兴产业、现代服务业等的中小微企业结合产业发展需求开展技能培训。建议政府部门根据企业需求建设具有针对性的人才资源库，打造公平公开透明招标平台，把具培训资质的培训机构纳入资源库中，向企业提供各类人才培训资源。此外，政府及有关部门可进一步加大组织保障力度。一是资金的保障；二是统筹推进力度；三是督促指导及监督力度。</w:t>
      </w:r>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jNmIyZGRiZGExNGM1MTU1ODBiNWJlZDk1MWU0MDYifQ=="/>
  </w:docVars>
  <w:rsids>
    <w:rsidRoot w:val="0CDA54F1"/>
    <w:rsid w:val="0CDA54F1"/>
    <w:rsid w:val="142E7580"/>
    <w:rsid w:val="33FF0C4D"/>
    <w:rsid w:val="376A5A19"/>
    <w:rsid w:val="393D38BD"/>
    <w:rsid w:val="3E3F1C2A"/>
    <w:rsid w:val="43152620"/>
    <w:rsid w:val="712451AC"/>
    <w:rsid w:val="72850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区法制办</Company>
  <Pages>3</Pages>
  <Words>1231</Words>
  <Characters>1297</Characters>
  <Lines>0</Lines>
  <Paragraphs>0</Paragraphs>
  <TotalTime>1</TotalTime>
  <ScaleCrop>false</ScaleCrop>
  <LinksUpToDate>false</LinksUpToDate>
  <CharactersWithSpaces>1317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2023-02-17T00:53:00Z</dcterms:created>
  <dc:creator>charin</dc:creator>
  <cp:lastModifiedBy>user</cp:lastModifiedBy>
  <dcterms:modified xsi:type="dcterms:W3CDTF">2023-12-04T02:53:43Z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837F0BBDA65A456AB4E4236A4C70A3E3</vt:lpwstr>
  </property>
</Properties>
</file>