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theme/themeOverride1.xml" ContentType="application/vnd.openxmlformats-officedocument.themeOverride+xml"/>
  <Override PartName="/word/theme/themeOverride2.xml" ContentType="application/vnd.openxmlformats-officedocument.themeOverrid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ind w:right="96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jc w:val="right"/>
        <w:textAlignment w:val="auto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第</w:t>
      </w:r>
      <w:r>
        <w:rPr>
          <w:rFonts w:hint="default" w:ascii="宋体" w:hAnsi="宋体"/>
          <w:sz w:val="32"/>
          <w:szCs w:val="32"/>
          <w:u w:val="single"/>
        </w:rPr>
        <w:t xml:space="preserve">   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>20</w:t>
      </w:r>
      <w:r>
        <w:rPr>
          <w:rFonts w:hint="default" w:ascii="宋体" w:hAnsi="宋体"/>
          <w:sz w:val="32"/>
          <w:szCs w:val="32"/>
          <w:u w:val="single"/>
        </w:rPr>
        <w:t xml:space="preserve">   </w:t>
      </w:r>
      <w:r>
        <w:rPr>
          <w:rFonts w:hint="eastAsia" w:ascii="宋体" w:hAnsi="宋体"/>
          <w:sz w:val="32"/>
          <w:szCs w:val="32"/>
        </w:rPr>
        <w:t>号</w:t>
      </w:r>
    </w:p>
    <w:p>
      <w:pPr>
        <w:rPr>
          <w:rFonts w:hint="eastAsia"/>
        </w:rPr>
      </w:pPr>
    </w:p>
    <w:p>
      <w:pPr>
        <w:jc w:val="center"/>
      </w:pPr>
      <w:r>
        <w:rPr>
          <w:rFonts w:hint="eastAsia" w:ascii="小标宋" w:hAnsi="黑体" w:eastAsia="小标宋"/>
          <w:sz w:val="44"/>
          <w:szCs w:val="44"/>
        </w:rPr>
        <w:t>番禺区政协十五届三次会议提案</w:t>
      </w:r>
    </w:p>
    <w:tbl>
      <w:tblPr>
        <w:tblStyle w:val="10"/>
        <w:tblW w:w="8985" w:type="dxa"/>
        <w:tblInd w:w="-26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0"/>
        <w:gridCol w:w="2745"/>
        <w:gridCol w:w="435"/>
        <w:gridCol w:w="1305"/>
        <w:gridCol w:w="945"/>
        <w:gridCol w:w="1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80" w:lineRule="exact"/>
              <w:jc w:val="center"/>
              <w:rPr>
                <w:rFonts w:ascii="FangSong_GB2312" w:hAnsi="宋体" w:eastAsia="FangSong_GB2312"/>
                <w:sz w:val="32"/>
                <w:szCs w:val="32"/>
              </w:rPr>
            </w:pPr>
            <w:r>
              <w:rPr>
                <w:rFonts w:hint="eastAsia" w:ascii="FangSong_GB2312" w:hAnsi="宋体" w:eastAsia="FangSong_GB2312"/>
                <w:sz w:val="32"/>
                <w:szCs w:val="32"/>
              </w:rPr>
              <w:t>题目</w:t>
            </w:r>
          </w:p>
        </w:tc>
        <w:tc>
          <w:tcPr>
            <w:tcW w:w="68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FangSong_GB2312" w:hAnsi="宋体" w:eastAsia="FangSong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关于加快发展智能机器人产业的建议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80" w:lineRule="exact"/>
              <w:jc w:val="center"/>
              <w:rPr>
                <w:rFonts w:ascii="FangSong_GB2312" w:hAnsi="宋体" w:eastAsia="FangSong_GB2312"/>
                <w:sz w:val="32"/>
                <w:szCs w:val="32"/>
              </w:rPr>
            </w:pPr>
            <w:r>
              <w:rPr>
                <w:rFonts w:hint="eastAsia" w:ascii="FangSong_GB2312" w:hAnsi="宋体" w:eastAsia="FangSong_GB2312"/>
                <w:sz w:val="32"/>
                <w:szCs w:val="32"/>
              </w:rPr>
              <w:t>提案者</w:t>
            </w:r>
          </w:p>
        </w:tc>
        <w:tc>
          <w:tcPr>
            <w:tcW w:w="31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80" w:lineRule="exact"/>
              <w:jc w:val="center"/>
              <w:rPr>
                <w:rFonts w:hint="eastAsia" w:ascii="FangSong_GB2312" w:hAnsi="宋体" w:eastAsia="FangSong_GB2312"/>
                <w:sz w:val="32"/>
                <w:szCs w:val="32"/>
                <w:lang w:val="en-US" w:eastAsia="zh-CN"/>
              </w:rPr>
            </w:pPr>
            <w:r>
              <w:rPr>
                <w:rFonts w:hint="eastAsia" w:ascii="FangSong_GB2312" w:hAnsi="宋体" w:eastAsia="FangSong_GB2312"/>
                <w:sz w:val="32"/>
                <w:szCs w:val="32"/>
              </w:rPr>
              <w:t>番禺民建</w:t>
            </w:r>
            <w:r>
              <w:rPr>
                <w:rFonts w:hint="eastAsia" w:ascii="FangSong_GB2312" w:hAnsi="宋体" w:eastAsia="FangSong_GB2312"/>
                <w:sz w:val="32"/>
                <w:szCs w:val="32"/>
                <w:lang w:eastAsia="zh-CN"/>
              </w:rPr>
              <w:t>、洛浦街工作室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80" w:lineRule="exact"/>
              <w:jc w:val="center"/>
              <w:rPr>
                <w:rFonts w:ascii="FangSong_GB2312" w:hAnsi="宋体" w:eastAsia="FangSong_GB2312"/>
                <w:sz w:val="32"/>
                <w:szCs w:val="32"/>
              </w:rPr>
            </w:pPr>
            <w:r>
              <w:rPr>
                <w:rFonts w:hint="eastAsia" w:ascii="FangSong_GB2312" w:hAnsi="宋体" w:eastAsia="FangSong_GB2312"/>
                <w:sz w:val="32"/>
                <w:szCs w:val="32"/>
              </w:rPr>
              <w:t>联系人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80" w:lineRule="exact"/>
              <w:jc w:val="center"/>
              <w:rPr>
                <w:rFonts w:ascii="FangSong_GB2312" w:hAnsi="宋体" w:eastAsia="FangSong_GB2312"/>
                <w:sz w:val="32"/>
                <w:szCs w:val="32"/>
              </w:rPr>
            </w:pPr>
            <w:r>
              <w:rPr>
                <w:rFonts w:hint="eastAsia" w:ascii="FangSong_GB2312" w:hAnsi="宋体" w:eastAsia="FangSong_GB2312"/>
                <w:sz w:val="32"/>
                <w:szCs w:val="32"/>
              </w:rPr>
              <w:t>任玉桐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80" w:lineRule="exact"/>
              <w:jc w:val="center"/>
              <w:rPr>
                <w:rFonts w:ascii="FangSong_GB2312" w:hAnsi="宋体" w:eastAsia="FangSong_GB2312"/>
                <w:sz w:val="32"/>
                <w:szCs w:val="32"/>
              </w:rPr>
            </w:pPr>
            <w:r>
              <w:rPr>
                <w:rFonts w:hint="eastAsia" w:ascii="FangSong_GB2312" w:hAnsi="宋体" w:eastAsia="FangSong_GB2312"/>
                <w:sz w:val="32"/>
                <w:szCs w:val="32"/>
              </w:rPr>
              <w:t>工作单位</w:t>
            </w:r>
          </w:p>
        </w:tc>
        <w:tc>
          <w:tcPr>
            <w:tcW w:w="31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80" w:lineRule="exact"/>
              <w:jc w:val="center"/>
              <w:rPr>
                <w:rFonts w:ascii="FangSong_GB2312" w:hAnsi="宋体" w:eastAsia="FangSong_GB2312"/>
                <w:sz w:val="32"/>
                <w:szCs w:val="32"/>
              </w:rPr>
            </w:pPr>
            <w:r>
              <w:rPr>
                <w:rFonts w:hint="eastAsia" w:ascii="FangSong_GB2312" w:hAnsi="宋体" w:eastAsia="FangSong_GB2312"/>
                <w:sz w:val="32"/>
                <w:szCs w:val="32"/>
              </w:rPr>
              <w:t>广东省机器人协会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80" w:lineRule="exact"/>
              <w:jc w:val="center"/>
              <w:rPr>
                <w:rFonts w:ascii="FangSong_GB2312" w:hAnsi="宋体" w:eastAsia="FangSong_GB2312"/>
                <w:sz w:val="32"/>
                <w:szCs w:val="32"/>
              </w:rPr>
            </w:pPr>
            <w:r>
              <w:rPr>
                <w:rFonts w:hint="eastAsia" w:ascii="FangSong_GB2312" w:hAnsi="宋体" w:eastAsia="FangSong_GB2312"/>
                <w:sz w:val="32"/>
                <w:szCs w:val="32"/>
              </w:rPr>
              <w:t>职</w:t>
            </w:r>
            <w:r>
              <w:rPr>
                <w:rFonts w:ascii="FangSong_GB2312" w:hAnsi="宋体" w:eastAsia="FangSong_GB2312"/>
                <w:sz w:val="32"/>
                <w:szCs w:val="32"/>
              </w:rPr>
              <w:t xml:space="preserve">  </w:t>
            </w:r>
            <w:r>
              <w:rPr>
                <w:rFonts w:hint="eastAsia" w:ascii="FangSong_GB2312" w:hAnsi="宋体" w:eastAsia="FangSong_GB2312"/>
                <w:sz w:val="32"/>
                <w:szCs w:val="32"/>
              </w:rPr>
              <w:t>务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80" w:lineRule="exact"/>
              <w:jc w:val="center"/>
              <w:rPr>
                <w:rFonts w:ascii="FangSong_GB2312" w:hAnsi="宋体" w:eastAsia="FangSong_GB2312"/>
                <w:sz w:val="32"/>
                <w:szCs w:val="32"/>
              </w:rPr>
            </w:pPr>
            <w:r>
              <w:rPr>
                <w:rFonts w:hint="eastAsia" w:ascii="FangSong_GB2312" w:hAnsi="宋体" w:eastAsia="FangSong_GB2312"/>
                <w:sz w:val="32"/>
                <w:szCs w:val="32"/>
              </w:rPr>
              <w:t>执行会长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80" w:lineRule="exact"/>
              <w:jc w:val="center"/>
              <w:rPr>
                <w:rFonts w:ascii="FangSong_GB2312" w:hAnsi="宋体" w:eastAsia="FangSong_GB2312"/>
                <w:sz w:val="32"/>
                <w:szCs w:val="32"/>
              </w:rPr>
            </w:pPr>
            <w:r>
              <w:rPr>
                <w:rFonts w:hint="eastAsia" w:ascii="FangSong_GB2312" w:hAnsi="宋体" w:eastAsia="FangSong_GB2312"/>
                <w:sz w:val="32"/>
                <w:szCs w:val="32"/>
              </w:rPr>
              <w:t>手机号码</w:t>
            </w:r>
          </w:p>
        </w:tc>
        <w:tc>
          <w:tcPr>
            <w:tcW w:w="2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80" w:lineRule="exact"/>
              <w:jc w:val="center"/>
              <w:rPr>
                <w:rFonts w:ascii="FangSong_GB2312" w:hAnsi="宋体" w:eastAsia="FangSong_GB2312"/>
                <w:sz w:val="32"/>
                <w:szCs w:val="32"/>
              </w:rPr>
            </w:pPr>
          </w:p>
        </w:tc>
        <w:tc>
          <w:tcPr>
            <w:tcW w:w="17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80" w:lineRule="exact"/>
              <w:jc w:val="center"/>
              <w:rPr>
                <w:rFonts w:ascii="FangSong_GB2312" w:hAnsi="宋体" w:eastAsia="FangSong_GB2312"/>
                <w:sz w:val="32"/>
                <w:szCs w:val="32"/>
              </w:rPr>
            </w:pPr>
            <w:r>
              <w:rPr>
                <w:rFonts w:hint="eastAsia" w:ascii="FangSong_GB2312" w:hAnsi="宋体" w:eastAsia="FangSong_GB2312"/>
                <w:sz w:val="32"/>
                <w:szCs w:val="32"/>
              </w:rPr>
              <w:t>办公电话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80" w:lineRule="exact"/>
              <w:jc w:val="center"/>
              <w:rPr>
                <w:rFonts w:ascii="FangSong_GB2312" w:hAnsi="宋体" w:eastAsia="FangSong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80" w:lineRule="exact"/>
              <w:jc w:val="center"/>
              <w:rPr>
                <w:rFonts w:ascii="FangSong_GB2312" w:hAnsi="宋体" w:eastAsia="FangSong_GB2312"/>
                <w:sz w:val="32"/>
                <w:szCs w:val="32"/>
              </w:rPr>
            </w:pPr>
            <w:r>
              <w:rPr>
                <w:rFonts w:hint="eastAsia" w:ascii="FangSong_GB2312" w:hAnsi="宋体" w:eastAsia="FangSong_GB2312"/>
                <w:sz w:val="32"/>
                <w:szCs w:val="32"/>
              </w:rPr>
              <w:t>通讯地址</w:t>
            </w:r>
          </w:p>
        </w:tc>
        <w:tc>
          <w:tcPr>
            <w:tcW w:w="4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80" w:lineRule="exact"/>
              <w:jc w:val="center"/>
              <w:rPr>
                <w:rFonts w:ascii="FangSong_GB2312" w:hAnsi="宋体" w:eastAsia="FangSong_GB2312"/>
                <w:sz w:val="30"/>
                <w:szCs w:val="3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80" w:lineRule="exact"/>
              <w:jc w:val="center"/>
              <w:rPr>
                <w:rFonts w:ascii="FangSong_GB2312" w:hAnsi="宋体" w:eastAsia="FangSong_GB2312"/>
                <w:sz w:val="32"/>
                <w:szCs w:val="32"/>
              </w:rPr>
            </w:pPr>
            <w:r>
              <w:rPr>
                <w:rFonts w:hint="eastAsia" w:ascii="FangSong_GB2312" w:hAnsi="宋体" w:eastAsia="FangSong_GB2312"/>
                <w:sz w:val="32"/>
                <w:szCs w:val="32"/>
              </w:rPr>
              <w:t>邮编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80" w:lineRule="exact"/>
              <w:jc w:val="center"/>
              <w:rPr>
                <w:rFonts w:ascii="FangSong_GB2312" w:hAnsi="宋体" w:eastAsia="FangSong_GB2312"/>
                <w:sz w:val="32"/>
                <w:szCs w:val="32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4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80" w:lineRule="exact"/>
              <w:jc w:val="center"/>
              <w:rPr>
                <w:rFonts w:ascii="FangSong_GB2312" w:hAnsi="宋体" w:eastAsia="FangSong_GB2312"/>
                <w:sz w:val="32"/>
                <w:szCs w:val="32"/>
              </w:rPr>
            </w:pPr>
            <w:r>
              <w:rPr>
                <w:rFonts w:hint="eastAsia" w:ascii="FangSong_GB2312" w:hAnsi="宋体" w:eastAsia="FangSong_GB2312"/>
                <w:sz w:val="32"/>
                <w:szCs w:val="32"/>
              </w:rPr>
              <w:t>联名提案人</w:t>
            </w:r>
          </w:p>
          <w:p>
            <w:pPr>
              <w:spacing w:line="680" w:lineRule="exact"/>
              <w:jc w:val="center"/>
              <w:rPr>
                <w:rFonts w:ascii="FangSong_GB2312" w:hAnsi="宋体" w:eastAsia="FangSong_GB2312"/>
                <w:spacing w:val="-14"/>
                <w:sz w:val="32"/>
                <w:szCs w:val="32"/>
              </w:rPr>
            </w:pPr>
            <w:r>
              <w:rPr>
                <w:rFonts w:hint="eastAsia" w:ascii="FangSong_GB2312" w:hAnsi="宋体" w:eastAsia="FangSong_GB2312"/>
                <w:spacing w:val="-14"/>
                <w:sz w:val="32"/>
                <w:szCs w:val="32"/>
              </w:rPr>
              <w:t>（如</w:t>
            </w:r>
            <w:r>
              <w:rPr>
                <w:rFonts w:hint="eastAsia" w:ascii="FangSong_GB2312" w:hAnsi="宋体" w:eastAsia="FangSong_GB2312"/>
                <w:spacing w:val="-14"/>
                <w:sz w:val="28"/>
                <w:szCs w:val="28"/>
              </w:rPr>
              <w:t>人数较多，可另附于文后</w:t>
            </w:r>
            <w:r>
              <w:rPr>
                <w:rFonts w:hint="eastAsia" w:ascii="FangSong_GB2312" w:hAnsi="宋体" w:eastAsia="FangSong_GB2312"/>
                <w:spacing w:val="-14"/>
                <w:sz w:val="32"/>
                <w:szCs w:val="32"/>
              </w:rPr>
              <w:t>）</w:t>
            </w:r>
          </w:p>
        </w:tc>
        <w:tc>
          <w:tcPr>
            <w:tcW w:w="68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80" w:lineRule="exact"/>
              <w:jc w:val="center"/>
              <w:rPr>
                <w:rFonts w:ascii="KaiTi_GB2312" w:hAnsi="宋体" w:eastAsia="KaiTi_GB2312"/>
                <w:sz w:val="32"/>
                <w:szCs w:val="32"/>
              </w:rPr>
            </w:pPr>
            <w:r>
              <w:rPr>
                <w:rFonts w:hint="eastAsia" w:ascii="FangSong_GB2312" w:hAnsi="宋体" w:eastAsia="FangSong_GB2312"/>
                <w:sz w:val="32"/>
                <w:szCs w:val="32"/>
              </w:rPr>
              <w:t>蒋伟楷，王立辉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80" w:lineRule="exact"/>
              <w:jc w:val="center"/>
              <w:rPr>
                <w:rFonts w:ascii="FangSong_GB2312" w:hAnsi="宋体" w:eastAsia="FangSong_GB2312"/>
                <w:sz w:val="32"/>
                <w:szCs w:val="32"/>
              </w:rPr>
            </w:pPr>
            <w:r>
              <w:rPr>
                <w:rFonts w:hint="eastAsia" w:ascii="FangSong_GB2312" w:hAnsi="宋体" w:eastAsia="FangSong_GB2312"/>
                <w:sz w:val="32"/>
                <w:szCs w:val="32"/>
              </w:rPr>
              <w:t>提案委员会</w:t>
            </w:r>
          </w:p>
          <w:p>
            <w:pPr>
              <w:spacing w:line="680" w:lineRule="exact"/>
              <w:jc w:val="center"/>
              <w:rPr>
                <w:rFonts w:ascii="FangSong_GB2312" w:hAnsi="宋体" w:eastAsia="FangSong_GB2312"/>
                <w:sz w:val="32"/>
                <w:szCs w:val="32"/>
              </w:rPr>
            </w:pPr>
            <w:r>
              <w:rPr>
                <w:rFonts w:hint="eastAsia" w:ascii="FangSong_GB2312" w:hAnsi="宋体" w:eastAsia="FangSong_GB2312"/>
                <w:sz w:val="32"/>
                <w:szCs w:val="32"/>
              </w:rPr>
              <w:t>审查意见</w:t>
            </w:r>
          </w:p>
        </w:tc>
        <w:tc>
          <w:tcPr>
            <w:tcW w:w="68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80" w:lineRule="exact"/>
              <w:jc w:val="center"/>
              <w:rPr>
                <w:rFonts w:ascii="FangSong_GB2312" w:hAnsi="宋体" w:eastAsia="FangSong_GB2312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根据实际情况在</w:t>
      </w:r>
      <w:r>
        <w:rPr>
          <w:rFonts w:hint="eastAsia" w:ascii="黑体" w:hAnsi="黑体" w:eastAsia="黑体"/>
          <w:sz w:val="32"/>
          <w:szCs w:val="32"/>
          <w:lang w:eastAsia="zh-CN"/>
        </w:rPr>
        <w:t>（）</w:t>
      </w:r>
      <w:r>
        <w:rPr>
          <w:rFonts w:hint="eastAsia" w:ascii="黑体" w:hAnsi="黑体" w:eastAsia="黑体"/>
          <w:sz w:val="32"/>
          <w:szCs w:val="32"/>
        </w:rPr>
        <w:t>内打勾确认：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textAlignment w:val="auto"/>
        <w:rPr>
          <w:rFonts w:hint="default"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  <w:lang w:eastAsia="zh-CN"/>
        </w:rPr>
        <w:t>是否同意公开</w:t>
      </w:r>
      <w:r>
        <w:rPr>
          <w:rFonts w:hint="eastAsia" w:ascii="宋体" w:hAnsi="宋体"/>
          <w:b/>
          <w:sz w:val="30"/>
          <w:szCs w:val="30"/>
        </w:rPr>
        <w:t>：</w:t>
      </w:r>
    </w:p>
    <w:p>
      <w:pPr>
        <w:spacing w:line="440" w:lineRule="exact"/>
        <w:rPr>
          <w:rFonts w:hint="eastAsia" w:ascii="宋体" w:hAnsi="宋体"/>
          <w:sz w:val="30"/>
          <w:szCs w:val="30"/>
          <w:lang w:eastAsia="zh-CN"/>
        </w:rPr>
      </w:pPr>
      <w:r>
        <w:rPr>
          <w:rFonts w:hint="eastAsia" w:ascii="宋体" w:hAnsi="宋体"/>
          <w:sz w:val="30"/>
          <w:szCs w:val="30"/>
          <w:lang w:eastAsia="zh-CN"/>
        </w:rPr>
        <w:t>是（</w:t>
      </w:r>
      <w:r>
        <w:rPr>
          <w:rFonts w:hint="default" w:ascii="Arial" w:hAnsi="Arial" w:cs="Arial"/>
          <w:sz w:val="30"/>
          <w:szCs w:val="30"/>
          <w:lang w:eastAsia="zh-CN"/>
        </w:rPr>
        <w:t>√</w:t>
      </w:r>
      <w:r>
        <w:rPr>
          <w:rFonts w:hint="eastAsia" w:ascii="宋体" w:hAnsi="宋体"/>
          <w:sz w:val="30"/>
          <w:szCs w:val="30"/>
          <w:lang w:eastAsia="zh-CN"/>
        </w:rPr>
        <w:t>）</w:t>
      </w:r>
      <w:r>
        <w:rPr>
          <w:rFonts w:hint="default" w:ascii="宋体" w:hAnsi="宋体"/>
          <w:sz w:val="30"/>
          <w:szCs w:val="30"/>
        </w:rPr>
        <w:t xml:space="preserve">  </w:t>
      </w:r>
      <w:r>
        <w:rPr>
          <w:rFonts w:hint="eastAsia" w:ascii="宋体" w:hAnsi="宋体"/>
          <w:sz w:val="30"/>
          <w:szCs w:val="30"/>
          <w:lang w:eastAsia="zh-CN"/>
        </w:rPr>
        <w:t>否（）</w:t>
      </w:r>
    </w:p>
    <w:p>
      <w:pPr>
        <w:jc w:val="right"/>
        <w:rPr>
          <w:rFonts w:hint="eastAsia" w:ascii="宋体" w:hAnsi="宋体"/>
          <w:sz w:val="32"/>
          <w:szCs w:val="32"/>
        </w:rPr>
      </w:pPr>
    </w:p>
    <w:p>
      <w:pPr>
        <w:pStyle w:val="4"/>
      </w:pPr>
    </w:p>
    <w:p>
      <w:pPr>
        <w:pStyle w:val="4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baseline"/>
        <w:rPr>
          <w:rStyle w:val="12"/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baseline"/>
        <w:rPr>
          <w:rStyle w:val="12"/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 w:bidi="ar-SA"/>
        </w:rPr>
      </w:pPr>
      <w:r>
        <w:rPr>
          <w:rStyle w:val="12"/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 w:bidi="ar-SA"/>
        </w:rPr>
        <w:t>理由：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/>
        <w:textAlignment w:val="baseline"/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机器人被誉为“制造业皇冠顶端的明珠”，其研发、制造、应用是衡量一个国家科技创新和高端制造业水平的重要标志。作为深入实施制造强国战略的重要一环，国家“十四五”规划和2035年远景目标纲要都强调要推动机器人产业创新发展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2021年12月21日，工业和信息化部、科学技术部等15个机器人产业主管部门、监管部门及应用部门正式发布《“十四五”机器人产业发展规划》(以下简称《规划》)。《规划》提出了到2025年，我国成为全球机器人技术创新策源地、高端制造集聚地和集成应用新高地。十四五期间，机器人产业营业收入年均增速超过20%，建成3到5个有国际影响力的产业集群，制造业机器人密度实现翻番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广东省国民经济和社会发展第十四个五年规划和2035年远景目标纲要》提出：积极推动产业高端化发展，深度融入全球产业链，提升产业基础高级化、产业链现代化水平，加快先进制造业和现代服务业深度融合发展，推动广东制造向广东智造转型，打造具有国际竞争力的现代产业体系。着力抓好产业链稳链、补链、强链、控链工作，打好产业基础高级化、产业链现代化攻坚战，强化产业转型升级和质量品牌建设，推动重点产业加快迈向全球价值链中高端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作为全国三大通信枢纽、互联网交换中心和互联网三大国际出口之一，依托于人工智能、5G技术、数字经济、物联网等，广州市机器人产业链条日趋完善，集聚效应正逐步凸显，机器人相关企业注册数量在全省排名第一，发展规模不断壮大，在汽车、教育、医疗、农业、军事、城市等方面的应用进一步拓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根据爱企查统计数据显示，2021年广州机器人相关企业注册数量达到3.3万家以上，占全省已注册机器人企业近40%，同比增长22.8%。近年来，广州市企业注册数量持续增长，增长趋势如图所示。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488950</wp:posOffset>
            </wp:positionH>
            <wp:positionV relativeFrom="paragraph">
              <wp:posOffset>232410</wp:posOffset>
            </wp:positionV>
            <wp:extent cx="4324350" cy="2552700"/>
            <wp:effectExtent l="4445" t="5080" r="14605" b="13970"/>
            <wp:wrapSquare wrapText="bothSides"/>
            <wp:docPr id="2" name="图表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anchor>
        </w:drawing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2017-2021年广州市机器人相关企业注册量增长趋势图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数据来源：爱企查公开数据整理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2021年广州市各区机器人企业注册数量（占比）情况如图所示。从企业数量来看，天河区聚集的机器人相关企业最多，达到10518家，占比31%，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番禺区与</w:t>
      </w:r>
      <w:r>
        <w:rPr>
          <w:rFonts w:hint="eastAsia" w:ascii="仿宋_GB2312" w:hAnsi="仿宋_GB2312" w:eastAsia="仿宋_GB2312" w:cs="仿宋_GB2312"/>
          <w:sz w:val="32"/>
          <w:szCs w:val="32"/>
        </w:rPr>
        <w:t>黄埔区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同样</w:t>
      </w:r>
      <w:r>
        <w:rPr>
          <w:rFonts w:hint="eastAsia" w:ascii="仿宋_GB2312" w:hAnsi="仿宋_GB2312" w:eastAsia="仿宋_GB2312" w:cs="仿宋_GB2312"/>
          <w:sz w:val="32"/>
          <w:szCs w:val="32"/>
        </w:rPr>
        <w:t>4459家，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并</w:t>
      </w:r>
      <w:r>
        <w:rPr>
          <w:rFonts w:hint="eastAsia" w:ascii="仿宋_GB2312" w:hAnsi="仿宋_GB2312" w:eastAsia="仿宋_GB2312" w:cs="仿宋_GB2312"/>
          <w:sz w:val="32"/>
          <w:szCs w:val="32"/>
        </w:rPr>
        <w:t>列第二，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</w:t>
      </w:r>
      <w:r>
        <w:rPr>
          <w:rFonts w:hint="eastAsia" w:ascii="仿宋_GB2312" w:hAnsi="仿宋_GB2312" w:eastAsia="仿宋_GB2312" w:cs="仿宋_GB2312"/>
          <w:sz w:val="32"/>
          <w:szCs w:val="32"/>
        </w:rPr>
        <w:t>占比13%；其它区域南沙区、白云区分别达到3497家、3333家。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298450</wp:posOffset>
            </wp:positionH>
            <wp:positionV relativeFrom="paragraph">
              <wp:posOffset>-8675370</wp:posOffset>
            </wp:positionV>
            <wp:extent cx="4667250" cy="2838450"/>
            <wp:effectExtent l="4445" t="5080" r="14605" b="13970"/>
            <wp:wrapSquare wrapText="bothSides"/>
            <wp:docPr id="3" name="图表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2021年广州市各区机器人企业注册数量（占比）情况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数据来源：爱企查公开数据整理</w:t>
      </w:r>
    </w:p>
    <w:p>
      <w:pPr>
        <w:pStyle w:val="13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  <w:t>一、番禺区智能机器人产业发展面临的新挑战</w:t>
      </w:r>
    </w:p>
    <w:p>
      <w:pPr>
        <w:pStyle w:val="13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（1）国际发展环境日益复杂多变、不确定性增加，逆全球化成为常态。影响产业链、供应链稳定；影响技术引进、国际交流、技术合作、人才流动；创新难度加大。                                                                             </w:t>
      </w:r>
    </w:p>
    <w:p>
      <w:pPr>
        <w:pStyle w:val="13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（2）世界工业发达国家均把机器人产业上升为国家战略予以布局，如美国的《国家机器人计划》，日本的《机器 人新战略》，德国的《高科技战略2025》等，国际竞争进一步加剧。</w:t>
      </w:r>
    </w:p>
    <w:p>
      <w:pPr>
        <w:pStyle w:val="13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3）番禺区中高端产品在技术水平上与国外同类产品仍存在较大差距，总体上仍处于全球智能机器人产业链、价值链中低端。国际巨头机器人核心技术垄断、核心零部件价格昂贵，番禺区机器人企业在关键核心技术上受制于人。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（4）番禺区智能机器人产业领军人才偏少，创新型人才队伍总量不足，制约智能机器人产业集群创新发展。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FF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（5）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番禺</w:t>
      </w:r>
      <w:r>
        <w:rPr>
          <w:rFonts w:hint="eastAsia" w:ascii="仿宋_GB2312" w:hAnsi="仿宋_GB2312" w:eastAsia="仿宋_GB2312" w:cs="仿宋_GB2312"/>
          <w:sz w:val="32"/>
          <w:szCs w:val="32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没有</w:t>
      </w:r>
      <w:r>
        <w:rPr>
          <w:rFonts w:hint="eastAsia" w:ascii="仿宋_GB2312" w:hAnsi="仿宋_GB2312" w:eastAsia="仿宋_GB2312" w:cs="仿宋_GB2312"/>
          <w:sz w:val="32"/>
          <w:szCs w:val="32"/>
        </w:rPr>
        <w:t>具有较强竞争力的机器人骨干企业，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没有</w:t>
      </w:r>
      <w:r>
        <w:rPr>
          <w:rFonts w:hint="eastAsia" w:ascii="仿宋_GB2312" w:hAnsi="仿宋_GB2312" w:eastAsia="仿宋_GB2312" w:cs="仿宋_GB2312"/>
          <w:sz w:val="32"/>
          <w:szCs w:val="32"/>
        </w:rPr>
        <w:t>形成从上游关键零部件、中游整机到下游应用集成的完整链条。</w:t>
      </w:r>
    </w:p>
    <w:p>
      <w:pPr>
        <w:pStyle w:val="13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  <w:t>二、番禺区智能机器人发展的机遇</w:t>
      </w:r>
    </w:p>
    <w:p>
      <w:pPr>
        <w:pStyle w:val="13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（1）新一代信息技术、人工智能、生物技术、新材料等与机器人技术深度融合，极大地增强机器人智能化、柔性 化和精准控制能力，提升工业机器人应用潜力，推动机器人步入发展“快车道”。</w:t>
      </w:r>
    </w:p>
    <w:p>
      <w:pPr>
        <w:pStyle w:val="13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2）当前，广州的经济发展已转向高质量发展阶段，智能制造、智能矿山、智慧农业、智能建造等战略深入推进，大众消费升级、社会服务需求、科学考察与应急救援、航空航天等新场景不断涌现，对机器人提出大量且迫切的需求。</w:t>
      </w:r>
    </w:p>
    <w:p>
      <w:pPr>
        <w:pStyle w:val="13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（3）国家对机器人产业的政策。《中华人民共和国国民经济和社会发展第十四个五年规划和2035年 远景目标纲要》提出，培育先进制造业集群，推动集成电路、航空 航天、船舶与海洋工程装备、机器人、先进轨道交通装备、先进电 力装备、工程机械、高端数控机床、医药及医疗设备等产业创新发展。</w:t>
      </w:r>
    </w:p>
    <w:p>
      <w:pPr>
        <w:pStyle w:val="13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（4）番禺区机器人企业数量更多，对加快智能机器人发展、培育骨干龙头企业有着雄厚的基础。</w:t>
      </w:r>
    </w:p>
    <w:p>
      <w:pPr>
        <w:pStyle w:val="13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pStyle w:val="13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办法：</w:t>
      </w:r>
    </w:p>
    <w:p>
      <w:pPr>
        <w:pStyle w:val="13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（1）以《“十四五”机器人产业发展规划》为指导，抓住新场景与新兴技术融合发展机遇。以技术创新为抓手，向高端化、智能化、高质量发展。</w:t>
      </w:r>
    </w:p>
    <w:p>
      <w:pPr>
        <w:pStyle w:val="13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（2）而鼓励不断攻关与创新核心技术（核心零部件、芯片、机器人系统软件和工业软件）。</w:t>
      </w:r>
    </w:p>
    <w:p>
      <w:pPr>
        <w:pStyle w:val="13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（3）融合创新。机器人技术与新一代信息技术（互联网、物联网、云计算、大数据、通讯）、5G技术、区块链、集成电路、人工智能等深度融合，助力机器人高端化、智能化。</w:t>
      </w:r>
    </w:p>
    <w:p>
      <w:pPr>
        <w:pStyle w:val="13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4）重点支持具有自主创新能力的企业做大做强，打造一批具有国际影响力、竞争力的机器人龙头企业。鼓励番禺区内的机器人龙头企业对标日本发那科、ABB等全球机器人一流企业，加强技术研发、人才引进和重大研发平台建设。</w:t>
      </w:r>
    </w:p>
    <w:p>
      <w:pPr>
        <w:pStyle w:val="13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（5）解决人才问题，一是要加大引进人才的政策力度；二是要健全人才培养机制，加大机器人领域人才培养力度。</w:t>
      </w:r>
    </w:p>
    <w:p>
      <w:pPr>
        <w:pStyle w:val="13"/>
        <w:numPr>
          <w:ilvl w:val="0"/>
          <w:numId w:val="0"/>
        </w:numPr>
        <w:ind w:firstLine="560" w:firstLineChars="200"/>
        <w:rPr>
          <w:rFonts w:hint="default" w:ascii="Times New Roman" w:hAnsi="Times New Roman" w:eastAsia="仿宋_GB2312" w:cs="宋体"/>
          <w:kern w:val="2"/>
          <w:sz w:val="28"/>
          <w:szCs w:val="28"/>
          <w:lang w:val="en-US" w:eastAsia="zh-CN" w:bidi="ar-SA"/>
        </w:rPr>
      </w:pPr>
    </w:p>
    <w:p>
      <w:pPr>
        <w:pStyle w:val="13"/>
        <w:numPr>
          <w:ilvl w:val="0"/>
          <w:numId w:val="0"/>
        </w:numPr>
        <w:ind w:firstLine="560" w:firstLineChars="200"/>
        <w:rPr>
          <w:rFonts w:hint="default" w:ascii="Times New Roman" w:hAnsi="Times New Roman" w:eastAsia="仿宋_GB2312" w:cs="宋体"/>
          <w:kern w:val="2"/>
          <w:sz w:val="28"/>
          <w:szCs w:val="28"/>
          <w:lang w:val="en-US" w:eastAsia="zh-CN" w:bidi="ar-SA"/>
        </w:rPr>
      </w:pPr>
    </w:p>
    <w:p>
      <w:pPr>
        <w:pStyle w:val="13"/>
        <w:numPr>
          <w:ilvl w:val="0"/>
          <w:numId w:val="0"/>
        </w:numPr>
        <w:ind w:firstLine="560" w:firstLineChars="200"/>
        <w:rPr>
          <w:rFonts w:hint="default" w:ascii="Times New Roman" w:hAnsi="Times New Roman" w:eastAsia="仿宋_GB2312" w:cs="宋体"/>
          <w:kern w:val="2"/>
          <w:sz w:val="28"/>
          <w:szCs w:val="28"/>
          <w:lang w:val="en-US" w:eastAsia="zh-CN" w:bidi="ar-SA"/>
        </w:rPr>
      </w:pPr>
    </w:p>
    <w:p>
      <w:pPr>
        <w:pStyle w:val="13"/>
        <w:numPr>
          <w:ilvl w:val="0"/>
          <w:numId w:val="0"/>
        </w:numPr>
        <w:ind w:firstLine="560" w:firstLineChars="200"/>
        <w:rPr>
          <w:rFonts w:hint="default" w:ascii="Times New Roman" w:hAnsi="Times New Roman" w:eastAsia="仿宋_GB2312" w:cs="宋体"/>
          <w:kern w:val="2"/>
          <w:sz w:val="28"/>
          <w:szCs w:val="28"/>
          <w:lang w:val="en-US" w:eastAsia="zh-CN" w:bidi="ar-SA"/>
        </w:rPr>
      </w:pPr>
    </w:p>
    <w:p>
      <w:pPr>
        <w:pStyle w:val="13"/>
        <w:numPr>
          <w:ilvl w:val="0"/>
          <w:numId w:val="0"/>
        </w:numPr>
        <w:ind w:firstLine="560" w:firstLineChars="200"/>
        <w:rPr>
          <w:rFonts w:hint="eastAsia" w:ascii="Times New Roman" w:hAnsi="Times New Roman" w:eastAsia="仿宋_GB2312" w:cs="宋体"/>
          <w:kern w:val="2"/>
          <w:sz w:val="28"/>
          <w:szCs w:val="28"/>
          <w:lang w:val="en-US" w:eastAsia="zh-CN" w:bidi="ar-SA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FangSong_GB2312">
    <w:altName w:val="仿宋_GB2312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KaiTi_GB2312">
    <w:altName w:val="微软雅黑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t>—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t>—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5NzU4ZjBkMmNiODcyYjUwNzgxMTUwZmYwZjBmZTkifQ=="/>
  </w:docVars>
  <w:rsids>
    <w:rsidRoot w:val="00172A27"/>
    <w:rsid w:val="00071C94"/>
    <w:rsid w:val="00164DEC"/>
    <w:rsid w:val="00172A27"/>
    <w:rsid w:val="001B79ED"/>
    <w:rsid w:val="001E4BB4"/>
    <w:rsid w:val="0028522A"/>
    <w:rsid w:val="002A5772"/>
    <w:rsid w:val="0030002A"/>
    <w:rsid w:val="003F6B23"/>
    <w:rsid w:val="0042596A"/>
    <w:rsid w:val="0044348B"/>
    <w:rsid w:val="0060138B"/>
    <w:rsid w:val="00655C19"/>
    <w:rsid w:val="006A253C"/>
    <w:rsid w:val="00703C52"/>
    <w:rsid w:val="0071369A"/>
    <w:rsid w:val="007F312A"/>
    <w:rsid w:val="00815D72"/>
    <w:rsid w:val="009A7867"/>
    <w:rsid w:val="00B43089"/>
    <w:rsid w:val="00B76745"/>
    <w:rsid w:val="00C26089"/>
    <w:rsid w:val="00EF7BFB"/>
    <w:rsid w:val="00F73720"/>
    <w:rsid w:val="00F801AF"/>
    <w:rsid w:val="00FA37D9"/>
    <w:rsid w:val="01E4322D"/>
    <w:rsid w:val="0C4D72F7"/>
    <w:rsid w:val="107835C4"/>
    <w:rsid w:val="12130DF0"/>
    <w:rsid w:val="14F52D96"/>
    <w:rsid w:val="201A097E"/>
    <w:rsid w:val="23F83291"/>
    <w:rsid w:val="287725E0"/>
    <w:rsid w:val="2BF67C24"/>
    <w:rsid w:val="2FCB1C5D"/>
    <w:rsid w:val="39011B8D"/>
    <w:rsid w:val="3B5B51CB"/>
    <w:rsid w:val="3CE602BD"/>
    <w:rsid w:val="3EF530C4"/>
    <w:rsid w:val="430E180E"/>
    <w:rsid w:val="47B916EB"/>
    <w:rsid w:val="48335C8C"/>
    <w:rsid w:val="485553D9"/>
    <w:rsid w:val="48FA215D"/>
    <w:rsid w:val="4956080A"/>
    <w:rsid w:val="4B7C465C"/>
    <w:rsid w:val="4C373B2C"/>
    <w:rsid w:val="4E453A7C"/>
    <w:rsid w:val="52F33621"/>
    <w:rsid w:val="5380656C"/>
    <w:rsid w:val="53A66E0C"/>
    <w:rsid w:val="53C155DC"/>
    <w:rsid w:val="589F402A"/>
    <w:rsid w:val="593F0795"/>
    <w:rsid w:val="5DA07922"/>
    <w:rsid w:val="5E0B2B11"/>
    <w:rsid w:val="5FEC2704"/>
    <w:rsid w:val="60ED7224"/>
    <w:rsid w:val="63E4530A"/>
    <w:rsid w:val="6888787F"/>
    <w:rsid w:val="68EC37BA"/>
    <w:rsid w:val="6B583D29"/>
    <w:rsid w:val="6B9F6BFC"/>
    <w:rsid w:val="6C252BD7"/>
    <w:rsid w:val="6EBE5374"/>
    <w:rsid w:val="6FE369C4"/>
    <w:rsid w:val="72ED0BB9"/>
    <w:rsid w:val="76F9147F"/>
    <w:rsid w:val="7AEB0436"/>
    <w:rsid w:val="7C946212"/>
    <w:rsid w:val="7DB315B4"/>
    <w:rsid w:val="7E373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 21"/>
    <w:basedOn w:val="3"/>
    <w:qFormat/>
    <w:uiPriority w:val="0"/>
    <w:pPr>
      <w:spacing w:after="0" w:line="360" w:lineRule="auto"/>
      <w:ind w:left="0" w:leftChars="0" w:firstLine="1040" w:firstLineChars="200"/>
    </w:pPr>
    <w:rPr>
      <w:sz w:val="24"/>
    </w:rPr>
  </w:style>
  <w:style w:type="paragraph" w:styleId="3">
    <w:name w:val="Body Text Indent"/>
    <w:basedOn w:val="1"/>
    <w:qFormat/>
    <w:uiPriority w:val="99"/>
    <w:pPr>
      <w:ind w:firstLine="645"/>
    </w:pPr>
    <w:rPr>
      <w:rFonts w:ascii="仿宋_GB2312" w:eastAsia="仿宋_GB2312"/>
      <w:sz w:val="32"/>
    </w:rPr>
  </w:style>
  <w:style w:type="paragraph" w:styleId="4">
    <w:name w:val="Body Text"/>
    <w:basedOn w:val="1"/>
    <w:link w:val="19"/>
    <w:qFormat/>
    <w:uiPriority w:val="0"/>
    <w:pPr>
      <w:spacing w:after="120"/>
    </w:pPr>
  </w:style>
  <w:style w:type="paragraph" w:styleId="5">
    <w:name w:val="Plain Text"/>
    <w:basedOn w:val="1"/>
    <w:qFormat/>
    <w:uiPriority w:val="0"/>
    <w:rPr>
      <w:rFonts w:hAnsi="Courier New"/>
    </w:rPr>
  </w:style>
  <w:style w:type="paragraph" w:styleId="6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First Indent 2"/>
    <w:basedOn w:val="3"/>
    <w:qFormat/>
    <w:uiPriority w:val="99"/>
    <w:pPr>
      <w:spacing w:line="360" w:lineRule="auto"/>
      <w:ind w:firstLine="1040" w:firstLineChars="200"/>
    </w:pPr>
    <w:rPr>
      <w:sz w:val="24"/>
    </w:rPr>
  </w:style>
  <w:style w:type="character" w:styleId="12">
    <w:name w:val="Hyperlink"/>
    <w:unhideWhenUsed/>
    <w:qFormat/>
    <w:uiPriority w:val="99"/>
    <w:rPr>
      <w:color w:val="223399"/>
      <w:u w:val="none"/>
    </w:rPr>
  </w:style>
  <w:style w:type="paragraph" w:customStyle="1" w:styleId="13">
    <w:name w:val="_Style 1"/>
    <w:basedOn w:val="1"/>
    <w:qFormat/>
    <w:uiPriority w:val="0"/>
    <w:pPr>
      <w:ind w:firstLine="420" w:firstLineChars="200"/>
    </w:pPr>
    <w:rPr>
      <w:rFonts w:ascii="Times New Roman" w:hAnsi="Times New Roman" w:eastAsia="仿宋_GB2312"/>
      <w:sz w:val="32"/>
      <w:szCs w:val="20"/>
    </w:rPr>
  </w:style>
  <w:style w:type="character" w:customStyle="1" w:styleId="14">
    <w:name w:val="页眉 Char"/>
    <w:basedOn w:val="11"/>
    <w:link w:val="8"/>
    <w:qFormat/>
    <w:uiPriority w:val="99"/>
    <w:rPr>
      <w:rFonts w:ascii="Calibri" w:hAnsi="Calibri" w:cs="宋体"/>
      <w:kern w:val="2"/>
      <w:sz w:val="18"/>
      <w:szCs w:val="18"/>
    </w:rPr>
  </w:style>
  <w:style w:type="character" w:customStyle="1" w:styleId="15">
    <w:name w:val="页脚 Char"/>
    <w:basedOn w:val="11"/>
    <w:link w:val="7"/>
    <w:qFormat/>
    <w:uiPriority w:val="99"/>
    <w:rPr>
      <w:rFonts w:ascii="Calibri" w:hAnsi="Calibri" w:cs="宋体"/>
      <w:kern w:val="2"/>
      <w:sz w:val="18"/>
      <w:szCs w:val="18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批注框文本 Char"/>
    <w:basedOn w:val="11"/>
    <w:link w:val="6"/>
    <w:semiHidden/>
    <w:qFormat/>
    <w:uiPriority w:val="99"/>
    <w:rPr>
      <w:rFonts w:ascii="Calibri" w:hAnsi="Calibri" w:cs="宋体"/>
      <w:kern w:val="2"/>
      <w:sz w:val="18"/>
      <w:szCs w:val="18"/>
    </w:rPr>
  </w:style>
  <w:style w:type="paragraph" w:customStyle="1" w:styleId="18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ascii="楷体" w:hAnsi="楷体" w:eastAsia="楷体" w:cs="Times New Roman"/>
      <w:color w:val="000000"/>
      <w:sz w:val="24"/>
      <w:lang w:val="en-US" w:eastAsia="zh-CN" w:bidi="ar-SA"/>
    </w:rPr>
  </w:style>
  <w:style w:type="character" w:customStyle="1" w:styleId="19">
    <w:name w:val="正文文本 Char"/>
    <w:basedOn w:val="11"/>
    <w:link w:val="4"/>
    <w:qFormat/>
    <w:uiPriority w:val="0"/>
    <w:rPr>
      <w:rFonts w:ascii="Calibri" w:hAnsi="Calibri" w:cs="宋体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1.xml"/><Relationship Id="rId3" Type="http://schemas.microsoft.com/office/2011/relationships/chartStyle" Target="style1.xml"/><Relationship Id="rId2" Type="http://schemas.openxmlformats.org/officeDocument/2006/relationships/themeOverride" Target="../theme/themeOverride1.xml"/><Relationship Id="rId1" Type="http://schemas.openxmlformats.org/officeDocument/2006/relationships/oleObject" Target="&#24037;&#20316;&#31807;1" TargetMode="External"/></Relationships>
</file>

<file path=word/charts/_rels/chart2.xml.rels><?xml version="1.0" encoding="UTF-8" standalone="yes"?>
<Relationships xmlns="http://schemas.openxmlformats.org/package/2006/relationships"><Relationship Id="rId4" Type="http://schemas.microsoft.com/office/2011/relationships/chartColorStyle" Target="colors2.xml"/><Relationship Id="rId3" Type="http://schemas.microsoft.com/office/2011/relationships/chartStyle" Target="style2.xml"/><Relationship Id="rId2" Type="http://schemas.openxmlformats.org/officeDocument/2006/relationships/themeOverride" Target="../theme/themeOverride2.xml"/><Relationship Id="rId1" Type="http://schemas.openxmlformats.org/officeDocument/2006/relationships/oleObject" Target="file:///\\Users\joycetam\Desktop\&#20225;&#19994;&#24635;&#25968;&#25968;&#25454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200" b="1" i="0" u="none" strike="noStrike" kern="1200" cap="all" spc="120" normalizeH="0" baseline="0">
                <a:solidFill>
                  <a:srgbClr val="000000"/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  <a:r>
              <a:rPr lang="en-US" altLang="zh-CN" sz="1200" b="1" i="0" cap="all" baseline="0">
                <a:solidFill>
                  <a:srgbClr val="000000"/>
                </a:solidFill>
                <a:effectLst/>
                <a:latin typeface="Times New Roman" panose="02020603050405020304" charset="0"/>
                <a:cs typeface="Times New Roman" panose="02020603050405020304" charset="0"/>
              </a:rPr>
              <a:t>2017-2021</a:t>
            </a:r>
            <a:r>
              <a:rPr lang="zh-CN" altLang="zh-CN" sz="1200" b="1" i="0" cap="all" baseline="0">
                <a:solidFill>
                  <a:srgbClr val="000000"/>
                </a:solidFill>
                <a:effectLst/>
                <a:latin typeface="Times New Roman" panose="02020603050405020304" charset="0"/>
                <a:cs typeface="Times New Roman" panose="02020603050405020304" charset="0"/>
              </a:rPr>
              <a:t>年</a:t>
            </a:r>
            <a:r>
              <a:rPr lang="zh-CN" altLang="en-US" sz="1200" b="1" i="0" cap="all" baseline="0">
                <a:solidFill>
                  <a:srgbClr val="000000"/>
                </a:solidFill>
                <a:effectLst/>
                <a:latin typeface="Times New Roman" panose="02020603050405020304" charset="0"/>
                <a:cs typeface="Times New Roman" panose="02020603050405020304" charset="0"/>
              </a:rPr>
              <a:t>广州</a:t>
            </a:r>
            <a:r>
              <a:rPr lang="zh-CN" altLang="zh-CN" sz="1200" b="1" i="0" cap="all" baseline="0">
                <a:solidFill>
                  <a:srgbClr val="000000"/>
                </a:solidFill>
                <a:effectLst/>
                <a:latin typeface="Times New Roman" panose="02020603050405020304" charset="0"/>
                <a:cs typeface="Times New Roman" panose="02020603050405020304" charset="0"/>
              </a:rPr>
              <a:t>市机器人相关企业</a:t>
            </a:r>
            <a:endParaRPr lang="zh-CN" altLang="zh-CN" sz="1200" b="1" i="0" cap="all" baseline="0">
              <a:solidFill>
                <a:srgbClr val="000000"/>
              </a:solidFill>
              <a:effectLst/>
              <a:latin typeface="Times New Roman" panose="02020603050405020304" charset="0"/>
              <a:cs typeface="Times New Roman" panose="02020603050405020304" charset="0"/>
            </a:endParaRPr>
          </a:p>
          <a:p>
            <a:pPr>
              <a:defRPr lang="zh-CN" sz="1200" b="1" i="0" u="none" strike="noStrike" kern="1200" cap="all" spc="120" normalizeH="0" baseline="0">
                <a:solidFill>
                  <a:srgbClr val="000000"/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  <a:r>
              <a:rPr lang="zh-CN" altLang="zh-CN" sz="1200" b="1" i="0" cap="all" baseline="0">
                <a:solidFill>
                  <a:srgbClr val="000000"/>
                </a:solidFill>
                <a:effectLst/>
                <a:latin typeface="Times New Roman" panose="02020603050405020304" charset="0"/>
                <a:cs typeface="Times New Roman" panose="02020603050405020304" charset="0"/>
              </a:rPr>
              <a:t>注册量增长趋势</a:t>
            </a:r>
            <a:endParaRPr lang="zh-CN" altLang="zh-CN" sz="1200">
              <a:solidFill>
                <a:srgbClr val="000000"/>
              </a:solidFill>
              <a:effectLst/>
              <a:latin typeface="Times New Roman" panose="02020603050405020304" charset="0"/>
              <a:cs typeface="Times New Roman" panose="02020603050405020304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Sheet1!$E$1</c:f>
              <c:strCache>
                <c:ptCount val="1"/>
                <c:pt idx="0">
                  <c:v>广州市</c:v>
                </c:pt>
              </c:strCache>
            </c:strRef>
          </c:tx>
          <c:spPr>
            <a:ln w="22225" cap="rnd">
              <a:solidFill>
                <a:srgbClr val="5B9BD5"/>
              </a:solidFill>
              <a:round/>
            </a:ln>
            <a:effectLst/>
          </c:spPr>
          <c:marker>
            <c:symbol val="diamond"/>
            <c:size val="6"/>
            <c:spPr>
              <a:solidFill>
                <a:srgbClr val="5B9BD5"/>
              </a:solidFill>
              <a:ln w="9525">
                <a:solidFill>
                  <a:srgbClr val="5B9BD5"/>
                </a:solidFill>
                <a:round/>
              </a:ln>
              <a:effectLst/>
            </c:spPr>
          </c:marker>
          <c:dLbls>
            <c:delete val="1"/>
          </c:dLbls>
          <c:cat>
            <c:strRef>
              <c:f>Sheet1!$D$2:$D$6</c:f>
              <c:strCache>
                <c:ptCount val="5"/>
                <c:pt idx="0">
                  <c:v>2017年</c:v>
                </c:pt>
                <c:pt idx="1">
                  <c:v>2018年</c:v>
                </c:pt>
                <c:pt idx="2">
                  <c:v>2019年</c:v>
                </c:pt>
                <c:pt idx="3">
                  <c:v>2020年</c:v>
                </c:pt>
                <c:pt idx="4">
                  <c:v>2021年</c:v>
                </c:pt>
              </c:strCache>
            </c:strRef>
          </c:cat>
          <c:val>
            <c:numRef>
              <c:f>Sheet1!$E$2:$E$6</c:f>
              <c:numCache>
                <c:formatCode>General</c:formatCode>
                <c:ptCount val="5"/>
                <c:pt idx="0">
                  <c:v>10982</c:v>
                </c:pt>
                <c:pt idx="1">
                  <c:v>16908</c:v>
                </c:pt>
                <c:pt idx="2">
                  <c:v>23055</c:v>
                </c:pt>
                <c:pt idx="3">
                  <c:v>27473</c:v>
                </c:pt>
                <c:pt idx="4">
                  <c:v>33736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853725888"/>
        <c:axId val="853728592"/>
      </c:lineChart>
      <c:catAx>
        <c:axId val="85372588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rgbClr val="D9D9D9">
                  <a:lumMod val="15000"/>
                  <a:lumOff val="85000"/>
                </a:srgb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rgbClr val="D9D9D9">
                <a:lumMod val="15000"/>
                <a:lumOff val="85000"/>
              </a:srgb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800" b="0" i="0" u="none" strike="noStrike" kern="1200" cap="all" spc="120" normalizeH="0" baseline="0">
                <a:solidFill>
                  <a:srgbClr val="000000"/>
                </a:solidFill>
                <a:latin typeface="+mn-lt"/>
                <a:ea typeface="+mn-ea"/>
                <a:cs typeface="+mn-cs"/>
              </a:defRPr>
            </a:pPr>
          </a:p>
        </c:txPr>
        <c:crossAx val="853728592"/>
        <c:crosses val="autoZero"/>
        <c:auto val="1"/>
        <c:lblAlgn val="ctr"/>
        <c:lblOffset val="100"/>
        <c:noMultiLvlLbl val="0"/>
      </c:catAx>
      <c:valAx>
        <c:axId val="853728592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rgbClr val="D9D9D9">
                <a:lumMod val="15000"/>
                <a:lumOff val="85000"/>
              </a:srgb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rgbClr val="000000"/>
                </a:solidFill>
                <a:latin typeface="+mn-lt"/>
                <a:ea typeface="+mn-ea"/>
                <a:cs typeface="+mn-cs"/>
              </a:defRPr>
            </a:pPr>
          </a:p>
        </c:txPr>
        <c:crossAx val="85372588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rgbClr val="FFFFFF"/>
    </a:solidFill>
    <a:ln w="9525" cap="flat" cmpd="sng" algn="ctr">
      <a:solidFill>
        <a:srgbClr val="D9D9D9">
          <a:lumMod val="15000"/>
          <a:lumOff val="85000"/>
        </a:srgb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200" b="1" i="0" u="none" strike="noStrike" kern="1200" spc="0" baseline="0">
                <a:solidFill>
                  <a:srgbClr val="000000"/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  <a:r>
              <a:rPr lang="en-US" sz="1200" b="1">
                <a:solidFill>
                  <a:srgbClr val="000000"/>
                </a:solidFill>
                <a:latin typeface="Times New Roman" panose="02020603050405020304" charset="0"/>
                <a:cs typeface="Times New Roman" panose="02020603050405020304" charset="0"/>
              </a:rPr>
              <a:t>2021</a:t>
            </a:r>
            <a:r>
              <a:rPr lang="zh-CN" sz="1200" b="1">
                <a:solidFill>
                  <a:srgbClr val="000000"/>
                </a:solidFill>
                <a:latin typeface="Times New Roman" panose="02020603050405020304" charset="0"/>
                <a:cs typeface="Times New Roman" panose="02020603050405020304" charset="0"/>
              </a:rPr>
              <a:t>年广州市各区机器人企业注册数量（占比）情况</a:t>
            </a:r>
            <a:endParaRPr lang="zh-CN" sz="1200" b="1">
              <a:solidFill>
                <a:srgbClr val="000000"/>
              </a:solidFill>
              <a:latin typeface="Times New Roman" panose="02020603050405020304" charset="0"/>
              <a:cs typeface="Times New Roman" panose="02020603050405020304" charset="0"/>
            </a:endParaRPr>
          </a:p>
        </c:rich>
      </c:tx>
      <c:layout>
        <c:manualLayout>
          <c:xMode val="edge"/>
          <c:yMode val="edge"/>
          <c:x val="0.121450889824752"/>
          <c:y val="0.0178531577772819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pieChart>
        <c:varyColors val="1"/>
        <c:ser>
          <c:idx val="0"/>
          <c:order val="0"/>
          <c:tx>
            <c:strRef>
              <c:f>Sheet1!$I$16</c:f>
              <c:strCache>
                <c:ptCount val="1"/>
                <c:pt idx="0">
                  <c:v>企业数量（占比）</c:v>
                </c:pt>
              </c:strCache>
            </c:strRef>
          </c:tx>
          <c:spPr/>
          <c:explosion val="0"/>
          <c:dPt>
            <c:idx val="0"/>
            <c:bubble3D val="0"/>
            <c:spPr>
              <a:solidFill>
                <a:srgbClr val="5B9BD5"/>
              </a:solidFill>
              <a:ln w="19050">
                <a:solidFill>
                  <a:srgbClr val="FFFFFF"/>
                </a:solidFill>
              </a:ln>
              <a:effectLst/>
            </c:spPr>
          </c:dPt>
          <c:dPt>
            <c:idx val="1"/>
            <c:bubble3D val="0"/>
            <c:spPr>
              <a:solidFill>
                <a:srgbClr val="ED7D31"/>
              </a:solidFill>
              <a:ln w="19050">
                <a:solidFill>
                  <a:srgbClr val="FFFFFF"/>
                </a:solidFill>
              </a:ln>
              <a:effectLst/>
            </c:spPr>
          </c:dPt>
          <c:dPt>
            <c:idx val="2"/>
            <c:bubble3D val="0"/>
            <c:spPr>
              <a:solidFill>
                <a:srgbClr val="A5A5A5"/>
              </a:solidFill>
              <a:ln w="19050">
                <a:solidFill>
                  <a:srgbClr val="FFFFFF"/>
                </a:solidFill>
              </a:ln>
              <a:effectLst/>
            </c:spPr>
          </c:dPt>
          <c:dPt>
            <c:idx val="3"/>
            <c:bubble3D val="0"/>
            <c:spPr>
              <a:solidFill>
                <a:srgbClr val="FFC000"/>
              </a:solidFill>
              <a:ln w="19050">
                <a:solidFill>
                  <a:srgbClr val="FFFFFF"/>
                </a:solidFill>
              </a:ln>
              <a:effectLst/>
            </c:spPr>
          </c:dPt>
          <c:dPt>
            <c:idx val="4"/>
            <c:bubble3D val="0"/>
            <c:spPr>
              <a:solidFill>
                <a:srgbClr val="4472C4"/>
              </a:solidFill>
              <a:ln w="19050">
                <a:solidFill>
                  <a:srgbClr val="FFFFFF"/>
                </a:solidFill>
              </a:ln>
              <a:effectLst/>
            </c:spPr>
          </c:dPt>
          <c:dPt>
            <c:idx val="5"/>
            <c:bubble3D val="0"/>
            <c:spPr>
              <a:solidFill>
                <a:srgbClr val="70AD47"/>
              </a:solidFill>
              <a:ln w="19050">
                <a:solidFill>
                  <a:srgbClr val="FFFFFF"/>
                </a:solidFill>
              </a:ln>
              <a:effectLst/>
            </c:spPr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rgbClr val="404040">
                        <a:lumMod val="75000"/>
                        <a:lumOff val="25000"/>
                      </a:srgb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inEnd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rgbClr val="A6A6A6">
                          <a:lumMod val="35000"/>
                          <a:lumOff val="65000"/>
                        </a:srgb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Sheet1!$H$17:$H$22</c:f>
              <c:strCache>
                <c:ptCount val="6"/>
                <c:pt idx="0">
                  <c:v>其他</c:v>
                </c:pt>
                <c:pt idx="1">
                  <c:v>黄埔区</c:v>
                </c:pt>
                <c:pt idx="2">
                  <c:v>天河区</c:v>
                </c:pt>
                <c:pt idx="3">
                  <c:v>番禺区</c:v>
                </c:pt>
                <c:pt idx="4">
                  <c:v>白云区</c:v>
                </c:pt>
                <c:pt idx="5">
                  <c:v>南沙区</c:v>
                </c:pt>
              </c:strCache>
            </c:strRef>
          </c:cat>
          <c:val>
            <c:numRef>
              <c:f>Sheet1!$I$17:$I$22</c:f>
              <c:numCache>
                <c:formatCode>0%</c:formatCode>
                <c:ptCount val="6"/>
                <c:pt idx="0">
                  <c:v>0.23</c:v>
                </c:pt>
                <c:pt idx="1">
                  <c:v>0.13</c:v>
                </c:pt>
                <c:pt idx="2">
                  <c:v>0.31</c:v>
                </c:pt>
                <c:pt idx="3">
                  <c:v>0.13</c:v>
                </c:pt>
                <c:pt idx="4">
                  <c:v>0.1</c:v>
                </c:pt>
                <c:pt idx="5">
                  <c:v>0.1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rgbClr val="000000"/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rgbClr val="FFFFFF"/>
    </a:solidFill>
    <a:ln w="9525" cap="flat" cmpd="sng" algn="ctr">
      <a:solidFill>
        <a:srgbClr val="D9D9D9">
          <a:lumMod val="15000"/>
          <a:lumOff val="85000"/>
        </a:srgb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rgbClr val="5B9BD5"/>
  <a:srgbClr val="ED7D31"/>
  <a:srgbClr val="A5A5A5"/>
  <a:srgbClr val="FFC000"/>
  <a:srgbClr val="4472C4"/>
  <a:srgbClr val="70AD47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rgbClr val="5B9BD5"/>
  <a:srgbClr val="ED7D31"/>
  <a:srgbClr val="A5A5A5"/>
  <a:srgbClr val="FFC000"/>
  <a:srgbClr val="4472C4"/>
  <a:srgbClr val="70AD47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39">
  <cs:axisTitle>
    <cs:lnRef idx="0"/>
    <cs:fillRef idx="0"/>
    <cs:effectRef idx="0"/>
    <cs:fontRef idx="minor">
      <a:srgbClr val="595959">
        <a:lumMod val="65000"/>
        <a:lumOff val="35000"/>
      </a:srgbClr>
    </cs:fontRef>
    <cs:defRPr sz="900" kern="1200" cap="all"/>
  </cs:axisTitle>
  <cs:categoryAxis>
    <cs:lnRef idx="0"/>
    <cs:fillRef idx="0"/>
    <cs:effectRef idx="0"/>
    <cs:fontRef idx="minor">
      <a:srgbClr val="595959">
        <a:lumMod val="65000"/>
        <a:lumOff val="35000"/>
      </a:srgbClr>
    </cs:fontRef>
    <cs:spPr>
      <a:ln w="9525" cap="flat" cmpd="sng" algn="ctr">
        <a:solidFill>
          <a:srgbClr val="D9D9D9">
            <a:lumMod val="15000"/>
            <a:lumOff val="85000"/>
          </a:srgbClr>
        </a:solidFill>
        <a:round/>
      </a:ln>
    </cs:spPr>
    <cs:defRPr sz="800" kern="1200" cap="all" spc="120" normalizeH="0" baseline="0"/>
  </cs:categoryAxis>
  <cs:chartArea mods="allowNoFillOverride allowNoLineOverride">
    <cs:lnRef idx="0"/>
    <cs:fillRef idx="0"/>
    <cs:effectRef idx="0"/>
    <cs:fontRef idx="minor">
      <a:srgbClr val="000000"/>
    </cs:fontRef>
    <cs:spPr>
      <a:solidFill>
        <a:srgbClr val="FFFFFF"/>
      </a:solidFill>
      <a:ln w="9525" cap="flat" cmpd="sng" algn="ctr">
        <a:solidFill>
          <a:srgbClr val="D9D9D9">
            <a:lumMod val="15000"/>
            <a:lumOff val="85000"/>
          </a:srgbClr>
        </a:solidFill>
        <a:round/>
      </a:ln>
    </cs:spPr>
    <cs:defRPr sz="900" kern="1200"/>
  </cs:chartArea>
  <cs:dataLabel>
    <cs:lnRef idx="0"/>
    <cs:fillRef idx="0"/>
    <cs:effectRef idx="0"/>
    <cs:fontRef idx="minor">
      <a:srgbClr val="808080">
        <a:lumMod val="50000"/>
        <a:lumOff val="50000"/>
      </a:srgbClr>
    </cs:fontRef>
    <cs:defRPr sz="900" b="0" i="0" u="none" strike="noStrike" kern="1200" baseline="0"/>
  </cs:dataLabel>
  <cs:dataLabelCallout>
    <cs:lnRef idx="0"/>
    <cs:fillRef idx="0"/>
    <cs:effectRef idx="0"/>
    <cs:fontRef idx="minor">
      <a:srgbClr val="595959">
        <a:lumMod val="65000"/>
        <a:lumOff val="35000"/>
      </a:srgbClr>
    </cs:fontRef>
    <cs:spPr>
      <a:solidFill>
        <a:srgbClr val="FFFFFF"/>
      </a:solidFill>
      <a:ln>
        <a:solidFill>
          <a:srgbClr val="BFBFBF">
            <a:lumMod val="25000"/>
            <a:lumOff val="75000"/>
          </a:srgb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rgbClr val="000000"/>
    </cs:fontRef>
    <cs:spPr>
      <a:solidFill>
        <a:srgbClr val="FFFFFF"/>
      </a:solidFill>
    </cs:spPr>
  </cs:dataPoint>
  <cs:dataPoint3D>
    <cs:lnRef idx="0"/>
    <cs:fillRef idx="0">
      <cs:styleClr val="auto"/>
    </cs:fillRef>
    <cs:effectRef idx="0"/>
    <cs:fontRef idx="minor">
      <a:srgbClr val="000000"/>
    </cs:fontRef>
    <cs:spPr>
      <a:solidFill>
        <a:srgbClr val="FFFFFF"/>
      </a:solidFill>
    </cs:spPr>
  </cs:dataPoint3D>
  <cs:dataPointLine>
    <cs:lnRef idx="0">
      <cs:styleClr val="auto"/>
    </cs:lnRef>
    <cs:fillRef idx="0"/>
    <cs:effectRef idx="0"/>
    <cs:fontRef idx="minor">
      <a:srgbClr val="000000"/>
    </cs:fontRef>
    <cs:spPr>
      <a:ln w="22225" cap="rnd">
        <a:solidFill>
          <a:srgbClr val="FFFFFF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rgbClr val="000000"/>
    </cs:fontRef>
    <cs:spPr>
      <a:solidFill>
        <a:srgbClr val="FFFFFF"/>
      </a:solidFill>
      <a:ln w="9525">
        <a:solidFill>
          <a:srgbClr val="FFFFFF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rgbClr val="000000"/>
    </cs:fontRef>
    <cs:spPr>
      <a:ln w="9525" cap="rnd">
        <a:solidFill>
          <a:srgbClr val="FFFFFF"/>
        </a:solidFill>
        <a:round/>
      </a:ln>
    </cs:spPr>
  </cs:dataPointWireframe>
  <cs:dataTable>
    <cs:lnRef idx="0"/>
    <cs:fillRef idx="0"/>
    <cs:effectRef idx="0"/>
    <cs:fontRef idx="minor">
      <a:srgbClr val="595959">
        <a:lumMod val="65000"/>
        <a:lumOff val="35000"/>
      </a:srgbClr>
    </cs:fontRef>
    <cs:spPr>
      <a:ln w="9525">
        <a:solidFill>
          <a:srgbClr val="D9D9D9">
            <a:lumMod val="15000"/>
            <a:lumOff val="85000"/>
          </a:srgbClr>
        </a:solidFill>
      </a:ln>
    </cs:spPr>
    <cs:defRPr sz="900" kern="1200"/>
  </cs:dataTable>
  <cs:downBar>
    <cs:lnRef idx="0"/>
    <cs:fillRef idx="0"/>
    <cs:effectRef idx="0"/>
    <cs:fontRef idx="minor">
      <a:srgbClr val="000000"/>
    </cs:fontRef>
    <cs:spPr>
      <a:solidFill>
        <a:srgbClr val="404040">
          <a:lumMod val="75000"/>
          <a:lumOff val="25000"/>
        </a:srgbClr>
      </a:solidFill>
      <a:ln w="9525">
        <a:solidFill>
          <a:srgbClr val="D9D9D9">
            <a:lumMod val="15000"/>
            <a:lumOff val="85000"/>
          </a:srgbClr>
        </a:solidFill>
      </a:ln>
    </cs:spPr>
  </cs:downBar>
  <cs:dropLine>
    <cs:lnRef idx="0"/>
    <cs:fillRef idx="0"/>
    <cs:effectRef idx="0"/>
    <cs:fontRef idx="minor">
      <a:srgbClr val="000000"/>
    </cs:fontRef>
    <cs:spPr>
      <a:ln w="9525">
        <a:solidFill>
          <a:srgbClr val="A6A6A6">
            <a:lumMod val="35000"/>
            <a:lumOff val="65000"/>
          </a:srgbClr>
        </a:solidFill>
      </a:ln>
    </cs:spPr>
  </cs:dropLine>
  <cs:errorBar>
    <cs:lnRef idx="0"/>
    <cs:fillRef idx="0"/>
    <cs:effectRef idx="0"/>
    <cs:fontRef idx="minor">
      <a:srgbClr val="000000"/>
    </cs:fontRef>
    <cs:spPr>
      <a:ln w="9525">
        <a:solidFill>
          <a:srgbClr val="595959">
            <a:lumMod val="65000"/>
            <a:lumOff val="35000"/>
          </a:srgbClr>
        </a:solidFill>
        <a:round/>
      </a:ln>
    </cs:spPr>
  </cs:errorBar>
  <cs:floor>
    <cs:lnRef idx="0"/>
    <cs:fillRef idx="0"/>
    <cs:effectRef idx="0"/>
    <cs:fontRef idx="minor">
      <a:srgbClr val="000000"/>
    </cs:fontRef>
  </cs:floor>
  <cs:gridlineMajor>
    <cs:lnRef idx="0"/>
    <cs:fillRef idx="0"/>
    <cs:effectRef idx="0"/>
    <cs:fontRef idx="minor">
      <a:srgbClr val="000000"/>
    </cs:fontRef>
    <cs:spPr>
      <a:ln w="9525" cap="flat" cmpd="sng" algn="ctr">
        <a:solidFill>
          <a:srgbClr val="D9D9D9">
            <a:lumMod val="15000"/>
            <a:lumOff val="85000"/>
          </a:srgbClr>
        </a:solidFill>
        <a:round/>
      </a:ln>
    </cs:spPr>
  </cs:gridlineMajor>
  <cs:gridlineMinor>
    <cs:lnRef idx="0"/>
    <cs:fillRef idx="0"/>
    <cs:effectRef idx="0"/>
    <cs:fontRef idx="minor">
      <a:srgbClr val="000000"/>
    </cs:fontRef>
    <cs:spPr>
      <a:ln>
        <a:solidFill>
          <a:srgbClr val="F2F2F2">
            <a:lumMod val="5000"/>
            <a:lumOff val="95000"/>
          </a:srgbClr>
        </a:solidFill>
      </a:ln>
    </cs:spPr>
  </cs:gridlineMinor>
  <cs:hiLoLine>
    <cs:lnRef idx="0"/>
    <cs:fillRef idx="0"/>
    <cs:effectRef idx="0"/>
    <cs:fontRef idx="minor">
      <a:srgbClr val="000000"/>
    </cs:fontRef>
    <cs:spPr>
      <a:ln w="9525">
        <a:solidFill>
          <a:srgbClr val="808080">
            <a:lumMod val="50000"/>
            <a:lumOff val="50000"/>
          </a:srgbClr>
        </a:solidFill>
      </a:ln>
    </cs:spPr>
  </cs:hiLoLine>
  <cs:leaderLine>
    <cs:lnRef idx="0"/>
    <cs:fillRef idx="0"/>
    <cs:effectRef idx="0"/>
    <cs:fontRef idx="minor">
      <a:srgbClr val="000000"/>
    </cs:fontRef>
    <cs:spPr>
      <a:ln w="9525">
        <a:solidFill>
          <a:srgbClr val="A6A6A6">
            <a:lumMod val="35000"/>
            <a:lumOff val="65000"/>
          </a:srgbClr>
        </a:solidFill>
      </a:ln>
    </cs:spPr>
  </cs:leaderLine>
  <cs:legend>
    <cs:lnRef idx="0"/>
    <cs:fillRef idx="0"/>
    <cs:effectRef idx="0"/>
    <cs:fontRef idx="minor">
      <a:srgbClr val="595959">
        <a:lumMod val="65000"/>
        <a:lumOff val="35000"/>
      </a:srgbClr>
    </cs:fontRef>
    <cs:defRPr sz="900" kern="1200"/>
  </cs:legend>
  <cs:plotArea mods="allowNoFillOverride allowNoLineOverride">
    <cs:lnRef idx="0"/>
    <cs:fillRef idx="0"/>
    <cs:effectRef idx="0"/>
    <cs:fontRef idx="minor">
      <a:srgbClr val="000000"/>
    </cs:fontRef>
  </cs:plotArea>
  <cs:plotArea3D mods="allowNoFillOverride allowNoLineOverride">
    <cs:lnRef idx="0"/>
    <cs:fillRef idx="0"/>
    <cs:effectRef idx="0"/>
    <cs:fontRef idx="minor">
      <a:srgbClr val="000000"/>
    </cs:fontRef>
  </cs:plotArea3D>
  <cs:seriesAxis>
    <cs:lnRef idx="0"/>
    <cs:fillRef idx="0"/>
    <cs:effectRef idx="0"/>
    <cs:fontRef idx="minor">
      <a:srgbClr val="595959">
        <a:lumMod val="65000"/>
        <a:lumOff val="35000"/>
      </a:srgbClr>
    </cs:fontRef>
    <cs:spPr>
      <a:ln w="9525" cap="flat" cmpd="sng" algn="ctr">
        <a:solidFill>
          <a:srgbClr val="D9D9D9">
            <a:lumMod val="15000"/>
            <a:lumOff val="85000"/>
          </a:srgbClr>
        </a:solidFill>
        <a:round/>
      </a:ln>
    </cs:spPr>
    <cs:defRPr sz="900" kern="1200"/>
  </cs:seriesAxis>
  <cs:seriesLine>
    <cs:lnRef idx="0"/>
    <cs:fillRef idx="0"/>
    <cs:effectRef idx="0"/>
    <cs:fontRef idx="minor">
      <a:srgbClr val="000000"/>
    </cs:fontRef>
    <cs:spPr>
      <a:ln w="9525">
        <a:solidFill>
          <a:srgbClr val="A6A6A6">
            <a:lumMod val="35000"/>
            <a:lumOff val="65000"/>
          </a:srgbClr>
        </a:solidFill>
        <a:round/>
      </a:ln>
    </cs:spPr>
  </cs:seriesLine>
  <cs:title>
    <cs:lnRef idx="0"/>
    <cs:fillRef idx="0"/>
    <cs:effectRef idx="0"/>
    <cs:fontRef idx="minor">
      <a:srgbClr val="595959">
        <a:lumMod val="65000"/>
        <a:lumOff val="35000"/>
      </a:srgb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rgbClr val="000000"/>
    </cs:fontRef>
    <cs:spPr>
      <a:ln w="19050" cap="rnd">
        <a:solidFill>
          <a:srgbClr val="FFFFFF"/>
        </a:solidFill>
        <a:prstDash val="sysDash"/>
      </a:ln>
    </cs:spPr>
  </cs:trendline>
  <cs:trendlineLabel>
    <cs:lnRef idx="0"/>
    <cs:fillRef idx="0"/>
    <cs:effectRef idx="0"/>
    <cs:fontRef idx="minor">
      <a:srgbClr val="595959">
        <a:lumMod val="65000"/>
        <a:lumOff val="35000"/>
      </a:srgbClr>
    </cs:fontRef>
    <cs:defRPr sz="800" kern="1200"/>
  </cs:trendlineLabel>
  <cs:upBar>
    <cs:lnRef idx="0"/>
    <cs:fillRef idx="0"/>
    <cs:effectRef idx="0"/>
    <cs:fontRef idx="minor">
      <a:srgbClr val="000000"/>
    </cs:fontRef>
    <cs:spPr>
      <a:solidFill>
        <a:srgbClr val="FFFFFF"/>
      </a:solidFill>
      <a:ln w="9525">
        <a:solidFill>
          <a:srgbClr val="595959">
            <a:lumMod val="65000"/>
            <a:lumOff val="35000"/>
          </a:srgbClr>
        </a:solidFill>
      </a:ln>
    </cs:spPr>
  </cs:upBar>
  <cs:valueAxis>
    <cs:lnRef idx="0"/>
    <cs:fillRef idx="0"/>
    <cs:effectRef idx="0"/>
    <cs:fontRef idx="minor">
      <a:srgbClr val="595959">
        <a:lumMod val="65000"/>
        <a:lumOff val="35000"/>
      </a:srgbClr>
    </cs:fontRef>
    <cs:spPr>
      <a:ln w="9525" cap="flat" cmpd="sng" algn="ctr">
        <a:solidFill>
          <a:srgbClr val="D9D9D9">
            <a:lumMod val="15000"/>
            <a:lumOff val="85000"/>
          </a:srgbClr>
        </a:solidFill>
        <a:round/>
      </a:ln>
    </cs:spPr>
    <cs:defRPr sz="900" kern="1200"/>
  </cs:valueAxis>
  <cs:wall>
    <cs:lnRef idx="0"/>
    <cs:fillRef idx="0"/>
    <cs:effectRef idx="0"/>
    <cs:fontRef idx="minor">
      <a:srgbClr val="000000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rgbClr val="595959">
        <a:lumMod val="65000"/>
        <a:lumOff val="35000"/>
      </a:srgbClr>
    </cs:fontRef>
    <cs:defRPr sz="1000" kern="1200"/>
  </cs:axisTitle>
  <cs:categoryAxis>
    <cs:lnRef idx="0"/>
    <cs:fillRef idx="0"/>
    <cs:effectRef idx="0"/>
    <cs:fontRef idx="minor">
      <a:srgbClr val="595959">
        <a:lumMod val="65000"/>
        <a:lumOff val="35000"/>
      </a:srgbClr>
    </cs:fontRef>
    <cs:spPr>
      <a:ln w="9525" cap="flat" cmpd="sng" algn="ctr">
        <a:solidFill>
          <a:srgbClr val="D9D9D9">
            <a:lumMod val="15000"/>
            <a:lumOff val="85000"/>
          </a:srgb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rgbClr val="000000"/>
    </cs:fontRef>
    <cs:spPr>
      <a:solidFill>
        <a:srgbClr val="FFFFFF"/>
      </a:solidFill>
      <a:ln w="9525" cap="flat" cmpd="sng" algn="ctr">
        <a:solidFill>
          <a:srgbClr val="D9D9D9">
            <a:lumMod val="15000"/>
            <a:lumOff val="85000"/>
          </a:srgbClr>
        </a:solidFill>
        <a:round/>
      </a:ln>
    </cs:spPr>
    <cs:defRPr sz="900" kern="1200"/>
  </cs:chartArea>
  <cs:dataLabel>
    <cs:lnRef idx="0"/>
    <cs:fillRef idx="0"/>
    <cs:effectRef idx="0"/>
    <cs:fontRef idx="minor">
      <a:srgbClr val="404040">
        <a:lumMod val="75000"/>
        <a:lumOff val="25000"/>
      </a:srgbClr>
    </cs:fontRef>
    <cs:defRPr sz="900" kern="1200"/>
  </cs:dataLabel>
  <cs:dataLabelCallout>
    <cs:lnRef idx="0"/>
    <cs:fillRef idx="0"/>
    <cs:effectRef idx="0"/>
    <cs:fontRef idx="minor">
      <a:srgbClr val="595959">
        <a:lumMod val="65000"/>
        <a:lumOff val="35000"/>
      </a:srgbClr>
    </cs:fontRef>
    <cs:spPr>
      <a:solidFill>
        <a:srgbClr val="FFFFFF"/>
      </a:solidFill>
      <a:ln>
        <a:solidFill>
          <a:srgbClr val="BFBFBF">
            <a:lumMod val="25000"/>
            <a:lumOff val="75000"/>
          </a:srgb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rgbClr val="000000"/>
    </cs:fontRef>
    <cs:spPr>
      <a:ln w="19050">
        <a:solidFill>
          <a:srgbClr val="FFFFFF"/>
        </a:solidFill>
      </a:ln>
    </cs:spPr>
  </cs:dataPoint>
  <cs:dataPoint3D>
    <cs:lnRef idx="0"/>
    <cs:fillRef idx="1">
      <cs:styleClr val="auto"/>
    </cs:fillRef>
    <cs:effectRef idx="0"/>
    <cs:fontRef idx="minor">
      <a:srgbClr val="000000"/>
    </cs:fontRef>
    <cs:spPr>
      <a:ln w="25400">
        <a:solidFill>
          <a:srgbClr val="FFFFFF"/>
        </a:solidFill>
      </a:ln>
    </cs:spPr>
  </cs:dataPoint3D>
  <cs:dataPointLine>
    <cs:lnRef idx="0">
      <cs:styleClr val="auto"/>
    </cs:lnRef>
    <cs:fillRef idx="0"/>
    <cs:effectRef idx="0"/>
    <cs:fontRef idx="minor">
      <a:srgbClr val="000000"/>
    </cs:fontRef>
    <cs:spPr>
      <a:ln w="28575" cap="rnd">
        <a:solidFill>
          <a:srgbClr val="FFFFFF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rgbClr val="000000"/>
    </cs:fontRef>
    <cs:spPr>
      <a:ln w="9525">
        <a:solidFill>
          <a:srgbClr val="FFFFFF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rgbClr val="000000"/>
    </cs:fontRef>
    <cs:spPr>
      <a:ln w="9525" cap="rnd">
        <a:solidFill>
          <a:srgbClr val="FFFFFF"/>
        </a:solidFill>
        <a:round/>
      </a:ln>
    </cs:spPr>
  </cs:dataPointWireframe>
  <cs:dataTable>
    <cs:lnRef idx="0"/>
    <cs:fillRef idx="0"/>
    <cs:effectRef idx="0"/>
    <cs:fontRef idx="minor">
      <a:srgbClr val="595959">
        <a:lumMod val="65000"/>
        <a:lumOff val="35000"/>
      </a:srgbClr>
    </cs:fontRef>
    <cs:spPr>
      <a:noFill/>
      <a:ln w="9525" cap="flat" cmpd="sng" algn="ctr">
        <a:solidFill>
          <a:srgbClr val="D9D9D9">
            <a:lumMod val="15000"/>
            <a:lumOff val="85000"/>
          </a:srgbClr>
        </a:solidFill>
        <a:round/>
      </a:ln>
    </cs:spPr>
    <cs:defRPr sz="900" kern="1200"/>
  </cs:dataTable>
  <cs:downBar>
    <cs:lnRef idx="0"/>
    <cs:fillRef idx="0"/>
    <cs:effectRef idx="0"/>
    <cs:fontRef idx="minor">
      <a:srgbClr val="000000"/>
    </cs:fontRef>
    <cs:spPr>
      <a:solidFill>
        <a:srgbClr val="404040">
          <a:lumMod val="75000"/>
          <a:lumOff val="25000"/>
        </a:srgbClr>
      </a:solidFill>
      <a:ln w="9525" cap="flat" cmpd="sng" algn="ctr">
        <a:solidFill>
          <a:srgbClr val="595959">
            <a:lumMod val="65000"/>
            <a:lumOff val="35000"/>
          </a:srgbClr>
        </a:solidFill>
        <a:round/>
      </a:ln>
    </cs:spPr>
  </cs:downBar>
  <cs:dropLine>
    <cs:lnRef idx="0"/>
    <cs:fillRef idx="0"/>
    <cs:effectRef idx="0"/>
    <cs:fontRef idx="minor">
      <a:srgbClr val="000000"/>
    </cs:fontRef>
    <cs:spPr>
      <a:ln w="9525" cap="flat" cmpd="sng" algn="ctr">
        <a:solidFill>
          <a:srgbClr val="A6A6A6">
            <a:lumMod val="35000"/>
            <a:lumOff val="65000"/>
          </a:srgbClr>
        </a:solidFill>
        <a:round/>
      </a:ln>
    </cs:spPr>
  </cs:dropLine>
  <cs:errorBar>
    <cs:lnRef idx="0"/>
    <cs:fillRef idx="0"/>
    <cs:effectRef idx="0"/>
    <cs:fontRef idx="minor">
      <a:srgbClr val="000000"/>
    </cs:fontRef>
    <cs:spPr>
      <a:ln w="9525" cap="flat" cmpd="sng" algn="ctr">
        <a:solidFill>
          <a:srgbClr val="595959">
            <a:lumMod val="65000"/>
            <a:lumOff val="35000"/>
          </a:srgbClr>
        </a:solidFill>
        <a:round/>
      </a:ln>
    </cs:spPr>
  </cs:errorBar>
  <cs:floor>
    <cs:lnRef idx="0"/>
    <cs:fillRef idx="0"/>
    <cs:effectRef idx="0"/>
    <cs:fontRef idx="minor">
      <a:srgbClr val="000000"/>
    </cs:fontRef>
    <cs:spPr>
      <a:noFill/>
      <a:ln>
        <a:noFill/>
      </a:ln>
    </cs:spPr>
  </cs:floor>
  <cs:gridlineMajor>
    <cs:lnRef idx="0"/>
    <cs:fillRef idx="0"/>
    <cs:effectRef idx="0"/>
    <cs:fontRef idx="minor">
      <a:srgbClr val="000000"/>
    </cs:fontRef>
    <cs:spPr>
      <a:ln w="9525" cap="flat" cmpd="sng" algn="ctr">
        <a:solidFill>
          <a:srgbClr val="D9D9D9">
            <a:lumMod val="15000"/>
            <a:lumOff val="85000"/>
          </a:srgbClr>
        </a:solidFill>
        <a:round/>
      </a:ln>
    </cs:spPr>
  </cs:gridlineMajor>
  <cs:gridlineMinor>
    <cs:lnRef idx="0"/>
    <cs:fillRef idx="0"/>
    <cs:effectRef idx="0"/>
    <cs:fontRef idx="minor">
      <a:srgbClr val="000000"/>
    </cs:fontRef>
    <cs:spPr>
      <a:ln w="9525" cap="flat" cmpd="sng" algn="ctr">
        <a:solidFill>
          <a:srgbClr val="F2F2F2">
            <a:lumMod val="5000"/>
            <a:lumOff val="95000"/>
          </a:srgbClr>
        </a:solidFill>
        <a:round/>
      </a:ln>
    </cs:spPr>
  </cs:gridlineMinor>
  <cs:hiLoLine>
    <cs:lnRef idx="0"/>
    <cs:fillRef idx="0"/>
    <cs:effectRef idx="0"/>
    <cs:fontRef idx="minor">
      <a:srgbClr val="000000"/>
    </cs:fontRef>
    <cs:spPr>
      <a:ln w="9525" cap="flat" cmpd="sng" algn="ctr">
        <a:solidFill>
          <a:srgbClr val="808080">
            <a:lumMod val="50000"/>
            <a:lumOff val="50000"/>
          </a:srgbClr>
        </a:solidFill>
        <a:round/>
      </a:ln>
    </cs:spPr>
  </cs:hiLoLine>
  <cs:leaderLine>
    <cs:lnRef idx="0"/>
    <cs:fillRef idx="0"/>
    <cs:effectRef idx="0"/>
    <cs:fontRef idx="minor">
      <a:srgbClr val="000000"/>
    </cs:fontRef>
    <cs:spPr>
      <a:ln w="9525" cap="flat" cmpd="sng" algn="ctr">
        <a:solidFill>
          <a:srgbClr val="A6A6A6">
            <a:lumMod val="35000"/>
            <a:lumOff val="65000"/>
          </a:srgbClr>
        </a:solidFill>
        <a:round/>
      </a:ln>
    </cs:spPr>
  </cs:leaderLine>
  <cs:legend>
    <cs:lnRef idx="0"/>
    <cs:fillRef idx="0"/>
    <cs:effectRef idx="0"/>
    <cs:fontRef idx="minor">
      <a:srgbClr val="595959">
        <a:lumMod val="65000"/>
        <a:lumOff val="35000"/>
      </a:srgbClr>
    </cs:fontRef>
    <cs:defRPr sz="900" kern="1200"/>
  </cs:legend>
  <cs:plotArea mods="allowNoFillOverride allowNoLineOverride">
    <cs:lnRef idx="0"/>
    <cs:fillRef idx="0"/>
    <cs:effectRef idx="0"/>
    <cs:fontRef idx="minor">
      <a:srgbClr val="000000"/>
    </cs:fontRef>
  </cs:plotArea>
  <cs:plotArea3D mods="allowNoFillOverride allowNoLineOverride">
    <cs:lnRef idx="0"/>
    <cs:fillRef idx="0"/>
    <cs:effectRef idx="0"/>
    <cs:fontRef idx="minor">
      <a:srgbClr val="000000"/>
    </cs:fontRef>
  </cs:plotArea3D>
  <cs:seriesAxis>
    <cs:lnRef idx="0"/>
    <cs:fillRef idx="0"/>
    <cs:effectRef idx="0"/>
    <cs:fontRef idx="minor">
      <a:srgbClr val="595959">
        <a:lumMod val="65000"/>
        <a:lumOff val="35000"/>
      </a:srgbClr>
    </cs:fontRef>
    <cs:defRPr sz="900" kern="1200"/>
  </cs:seriesAxis>
  <cs:seriesLine>
    <cs:lnRef idx="0"/>
    <cs:fillRef idx="0"/>
    <cs:effectRef idx="0"/>
    <cs:fontRef idx="minor">
      <a:srgbClr val="000000"/>
    </cs:fontRef>
    <cs:spPr>
      <a:ln w="9525" cap="flat" cmpd="sng" algn="ctr">
        <a:solidFill>
          <a:srgbClr val="A6A6A6">
            <a:lumMod val="35000"/>
            <a:lumOff val="65000"/>
          </a:srgbClr>
        </a:solidFill>
        <a:round/>
      </a:ln>
    </cs:spPr>
  </cs:seriesLine>
  <cs:title>
    <cs:lnRef idx="0"/>
    <cs:fillRef idx="0"/>
    <cs:effectRef idx="0"/>
    <cs:fontRef idx="minor">
      <a:srgbClr val="595959">
        <a:lumMod val="65000"/>
        <a:lumOff val="35000"/>
      </a:srgb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rgbClr val="000000"/>
    </cs:fontRef>
    <cs:spPr>
      <a:ln w="19050" cap="rnd">
        <a:solidFill>
          <a:srgbClr val="FFFFFF"/>
        </a:solidFill>
        <a:prstDash val="sysDot"/>
      </a:ln>
    </cs:spPr>
  </cs:trendline>
  <cs:trendlineLabel>
    <cs:lnRef idx="0"/>
    <cs:fillRef idx="0"/>
    <cs:effectRef idx="0"/>
    <cs:fontRef idx="minor">
      <a:srgbClr val="595959">
        <a:lumMod val="65000"/>
        <a:lumOff val="35000"/>
      </a:srgbClr>
    </cs:fontRef>
    <cs:defRPr sz="900" kern="1200"/>
  </cs:trendlineLabel>
  <cs:upBar>
    <cs:lnRef idx="0"/>
    <cs:fillRef idx="0"/>
    <cs:effectRef idx="0"/>
    <cs:fontRef idx="minor">
      <a:srgbClr val="000000"/>
    </cs:fontRef>
    <cs:spPr>
      <a:solidFill>
        <a:srgbClr val="FFFFFF"/>
      </a:solidFill>
      <a:ln w="9525" cap="flat" cmpd="sng" algn="ctr">
        <a:solidFill>
          <a:srgbClr val="595959">
            <a:lumMod val="65000"/>
            <a:lumOff val="35000"/>
          </a:srgbClr>
        </a:solidFill>
        <a:round/>
      </a:ln>
    </cs:spPr>
  </cs:upBar>
  <cs:valueAxis>
    <cs:lnRef idx="0"/>
    <cs:fillRef idx="0"/>
    <cs:effectRef idx="0"/>
    <cs:fontRef idx="minor">
      <a:srgbClr val="595959">
        <a:lumMod val="65000"/>
        <a:lumOff val="35000"/>
      </a:srgbClr>
    </cs:fontRef>
    <cs:defRPr sz="900" kern="1200"/>
  </cs:valueAxis>
  <cs:wall>
    <cs:lnRef idx="0"/>
    <cs:fillRef idx="0"/>
    <cs:effectRef idx="0"/>
    <cs:fontRef idx="minor">
      <a:srgbClr val="000000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等线 Light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等线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rgbClr val="FFFFFF"/>
      </a:solidFill>
      <a:gradFill rotWithShape="1">
        <a:gsLst>
          <a:gs pos="0">
            <a:srgbClr val="FFFFFF">
              <a:lumMod val="110000"/>
              <a:satMod val="105000"/>
              <a:tint val="67000"/>
            </a:srgbClr>
          </a:gs>
          <a:gs pos="50000">
            <a:srgbClr val="FFFFFF">
              <a:lumMod val="105000"/>
              <a:satMod val="103000"/>
              <a:tint val="73000"/>
            </a:srgbClr>
          </a:gs>
          <a:gs pos="100000">
            <a:srgbClr val="FFFFFF">
              <a:lumMod val="105000"/>
              <a:satMod val="109000"/>
              <a:tint val="81000"/>
            </a:srgbClr>
          </a:gs>
        </a:gsLst>
        <a:lin ang="5400000" scaled="0"/>
      </a:gradFill>
      <a:gradFill rotWithShape="1">
        <a:gsLst>
          <a:gs pos="0">
            <a:srgbClr val="FFFFFF">
              <a:satMod val="103000"/>
              <a:lumMod val="102000"/>
              <a:tint val="94000"/>
            </a:srgbClr>
          </a:gs>
          <a:gs pos="50000">
            <a:srgbClr val="FFFFFF">
              <a:satMod val="110000"/>
              <a:lumMod val="100000"/>
              <a:shade val="100000"/>
            </a:srgbClr>
          </a:gs>
          <a:gs pos="100000">
            <a:srgbClr val="E2E2E2">
              <a:lumMod val="99000"/>
              <a:satMod val="120000"/>
              <a:shade val="78000"/>
            </a:srgbClr>
          </a:gs>
        </a:gsLst>
        <a:lin ang="5400000" scaled="0"/>
      </a:gradFill>
    </a:fillStyleLst>
    <a:lnStyleLst>
      <a:ln w="6350" cap="flat" cmpd="sng" algn="ctr">
        <a:solidFill>
          <a:srgbClr val="FFFFFF"/>
        </a:solidFill>
        <a:prstDash val="solid"/>
        <a:miter lim="800000"/>
      </a:ln>
      <a:ln w="12700" cap="flat" cmpd="sng" algn="ctr">
        <a:solidFill>
          <a:srgbClr val="FFFFFF"/>
        </a:solidFill>
        <a:prstDash val="solid"/>
        <a:miter lim="800000"/>
      </a:ln>
      <a:ln w="19050" cap="flat" cmpd="sng" algn="ctr">
        <a:solidFill>
          <a:srgbClr val="FFFFFF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rgbClr val="FFFFFF"/>
      </a:solidFill>
      <a:solidFill>
        <a:srgbClr val="FFFFFF">
          <a:tint val="95000"/>
          <a:satMod val="170000"/>
        </a:srgbClr>
      </a:solidFill>
      <a:gradFill rotWithShape="1">
        <a:gsLst>
          <a:gs pos="0">
            <a:srgbClr val="FFFFFF">
              <a:tint val="93000"/>
              <a:satMod val="150000"/>
              <a:shade val="98000"/>
              <a:lumMod val="102000"/>
            </a:srgbClr>
          </a:gs>
          <a:gs pos="50000">
            <a:srgbClr val="FBFBFB">
              <a:tint val="98000"/>
              <a:satMod val="130000"/>
              <a:shade val="90000"/>
              <a:lumMod val="103000"/>
            </a:srgbClr>
          </a:gs>
          <a:gs pos="100000">
            <a:srgbClr val="D0D0D0">
              <a:shade val="63000"/>
              <a:satMod val="120000"/>
            </a:srgb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等线 Light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等线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rgbClr val="FFFFFF"/>
      </a:solidFill>
      <a:gradFill rotWithShape="1">
        <a:gsLst>
          <a:gs pos="0">
            <a:srgbClr val="FFFFFF">
              <a:lumMod val="110000"/>
              <a:satMod val="105000"/>
              <a:tint val="67000"/>
            </a:srgbClr>
          </a:gs>
          <a:gs pos="50000">
            <a:srgbClr val="FFFFFF">
              <a:lumMod val="105000"/>
              <a:satMod val="103000"/>
              <a:tint val="73000"/>
            </a:srgbClr>
          </a:gs>
          <a:gs pos="100000">
            <a:srgbClr val="FFFFFF">
              <a:lumMod val="105000"/>
              <a:satMod val="109000"/>
              <a:tint val="81000"/>
            </a:srgbClr>
          </a:gs>
        </a:gsLst>
        <a:lin ang="5400000" scaled="0"/>
      </a:gradFill>
      <a:gradFill rotWithShape="1">
        <a:gsLst>
          <a:gs pos="0">
            <a:srgbClr val="FFFFFF">
              <a:satMod val="103000"/>
              <a:lumMod val="102000"/>
              <a:tint val="94000"/>
            </a:srgbClr>
          </a:gs>
          <a:gs pos="50000">
            <a:srgbClr val="FFFFFF">
              <a:satMod val="110000"/>
              <a:lumMod val="100000"/>
              <a:shade val="100000"/>
            </a:srgbClr>
          </a:gs>
          <a:gs pos="100000">
            <a:srgbClr val="E2E2E2">
              <a:lumMod val="99000"/>
              <a:satMod val="120000"/>
              <a:shade val="78000"/>
            </a:srgbClr>
          </a:gs>
        </a:gsLst>
        <a:lin ang="5400000" scaled="0"/>
      </a:gradFill>
    </a:fillStyleLst>
    <a:lnStyleLst>
      <a:ln w="6350" cap="flat" cmpd="sng" algn="ctr">
        <a:solidFill>
          <a:srgbClr val="FFFFFF"/>
        </a:solidFill>
        <a:prstDash val="solid"/>
        <a:miter lim="800000"/>
      </a:ln>
      <a:ln w="12700" cap="flat" cmpd="sng" algn="ctr">
        <a:solidFill>
          <a:srgbClr val="FFFFFF"/>
        </a:solidFill>
        <a:prstDash val="solid"/>
        <a:miter lim="800000"/>
      </a:ln>
      <a:ln w="19050" cap="flat" cmpd="sng" algn="ctr">
        <a:solidFill>
          <a:srgbClr val="FFFFFF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rgbClr val="FFFFFF"/>
      </a:solidFill>
      <a:solidFill>
        <a:srgbClr val="FFFFFF">
          <a:tint val="95000"/>
          <a:satMod val="170000"/>
        </a:srgbClr>
      </a:solidFill>
      <a:gradFill rotWithShape="1">
        <a:gsLst>
          <a:gs pos="0">
            <a:srgbClr val="FFFFFF">
              <a:tint val="93000"/>
              <a:satMod val="150000"/>
              <a:shade val="98000"/>
              <a:lumMod val="102000"/>
            </a:srgbClr>
          </a:gs>
          <a:gs pos="50000">
            <a:srgbClr val="FBFBFB">
              <a:tint val="98000"/>
              <a:satMod val="130000"/>
              <a:shade val="90000"/>
              <a:lumMod val="103000"/>
            </a:srgbClr>
          </a:gs>
          <a:gs pos="100000">
            <a:srgbClr val="D0D0D0">
              <a:shade val="63000"/>
              <a:satMod val="120000"/>
            </a:srgb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4A080A6-E581-43B2-ABDF-29978B218BD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6</Pages>
  <Words>2180</Words>
  <Characters>2275</Characters>
  <Lines>28</Lines>
  <Paragraphs>7</Paragraphs>
  <TotalTime>0</TotalTime>
  <ScaleCrop>false</ScaleCrop>
  <LinksUpToDate>false</LinksUpToDate>
  <CharactersWithSpaces>2372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2022-12-10T08:01:00Z</dcterms:created>
  <dc:creator>陈鹏</dc:creator>
  <cp:lastModifiedBy>user</cp:lastModifiedBy>
  <dcterms:modified xsi:type="dcterms:W3CDTF">2023-12-04T02:44:04Z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KSORubyTemplateID" linkTarget="0">
    <vt:lpwstr>6</vt:lpwstr>
  </property>
  <property fmtid="{D5CDD505-2E9C-101B-9397-08002B2CF9AE}" pid="4" name="ICV">
    <vt:lpwstr>08D4D7AA7CB04D1798D4B258B4C8477E</vt:lpwstr>
  </property>
</Properties>
</file>