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960"/>
        <w:rPr>
          <w:rFonts w:hint="eastAsia" w:ascii="黑体" w:hAnsi="黑体" w:eastAsia="黑体" w:cs="黑体"/>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16</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号</w:t>
      </w:r>
    </w:p>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eastAsia="zh-CN"/>
        </w:rPr>
        <w:t>三</w:t>
      </w:r>
      <w:r>
        <w:rPr>
          <w:rFonts w:hint="eastAsia" w:ascii="方正小标宋_GBK" w:hAnsi="方正小标宋_GBK" w:eastAsia="方正小标宋_GBK" w:cs="方正小标宋_GBK"/>
          <w:sz w:val="44"/>
          <w:szCs w:val="44"/>
        </w:rPr>
        <w:t>次会议提案</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题目</w:t>
            </w:r>
          </w:p>
        </w:tc>
        <w:tc>
          <w:tcPr>
            <w:tcW w:w="6571" w:type="dxa"/>
            <w:gridSpan w:val="5"/>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关于加快我区制造业高质量发展的建议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提案者</w:t>
            </w:r>
          </w:p>
        </w:tc>
        <w:tc>
          <w:tcPr>
            <w:tcW w:w="2977" w:type="dxa"/>
            <w:gridSpan w:val="2"/>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蒋伟楷</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联系人</w:t>
            </w:r>
          </w:p>
        </w:tc>
        <w:tc>
          <w:tcPr>
            <w:tcW w:w="2318" w:type="dxa"/>
            <w:gridSpan w:val="2"/>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蒋伟楷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工作单位</w:t>
            </w:r>
          </w:p>
        </w:tc>
        <w:tc>
          <w:tcPr>
            <w:tcW w:w="2977" w:type="dxa"/>
            <w:gridSpan w:val="2"/>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广州市浩洋电子股份有限公司</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职  务</w:t>
            </w:r>
          </w:p>
        </w:tc>
        <w:tc>
          <w:tcPr>
            <w:tcW w:w="2318" w:type="dxa"/>
            <w:gridSpan w:val="2"/>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董事长兼总经理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手机号码</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default" w:ascii="仿宋_GB2312" w:hAnsi="宋体" w:eastAsia="仿宋_GB2312"/>
                <w:sz w:val="32"/>
                <w:szCs w:val="32"/>
                <w:lang w:val="en-US" w:eastAsia="zh-CN"/>
              </w:rPr>
            </w:pPr>
          </w:p>
        </w:tc>
        <w:tc>
          <w:tcPr>
            <w:tcW w:w="1560" w:type="dxa"/>
            <w:gridSpan w:val="2"/>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办公电话</w:t>
            </w:r>
          </w:p>
        </w:tc>
        <w:tc>
          <w:tcPr>
            <w:tcW w:w="2318" w:type="dxa"/>
            <w:gridSpan w:val="2"/>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default" w:ascii="仿宋_GB2312" w:hAnsi="宋体" w:eastAsia="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通讯地址</w:t>
            </w:r>
          </w:p>
        </w:tc>
        <w:tc>
          <w:tcPr>
            <w:tcW w:w="4253" w:type="dxa"/>
            <w:gridSpan w:val="3"/>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default" w:ascii="仿宋_GB2312" w:hAnsi="宋体" w:eastAsia="仿宋_GB2312"/>
                <w:sz w:val="32"/>
                <w:szCs w:val="32"/>
                <w:lang w:val="en-US" w:eastAsia="zh-CN"/>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邮编</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default" w:ascii="仿宋_GB2312" w:hAnsi="宋体" w:eastAsia="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联名提案人</w:t>
            </w:r>
          </w:p>
          <w:p>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（如人数较多，可另附于文后）</w:t>
            </w:r>
          </w:p>
        </w:tc>
        <w:tc>
          <w:tcPr>
            <w:tcW w:w="6571" w:type="dxa"/>
            <w:gridSpan w:val="5"/>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宋体" w:eastAsia="仿宋_GB2312"/>
                <w:sz w:val="32"/>
                <w:szCs w:val="32"/>
                <w:lang w:val="en-US"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提案委员会</w:t>
            </w:r>
          </w:p>
          <w:p>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审查意见</w:t>
            </w:r>
          </w:p>
        </w:tc>
        <w:tc>
          <w:tcPr>
            <w:tcW w:w="6571" w:type="dxa"/>
            <w:gridSpan w:val="5"/>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宋体" w:eastAsia="仿宋_GB2312"/>
                <w:sz w:val="32"/>
                <w:szCs w:val="32"/>
                <w:lang w:val="en-US" w:eastAsia="zh-CN"/>
              </w:rPr>
            </w:pPr>
          </w:p>
        </w:tc>
      </w:tr>
    </w:tbl>
    <w:p>
      <w:pPr>
        <w:spacing w:line="560" w:lineRule="exact"/>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ascii="宋体" w:hAnsi="宋体"/>
          <w:sz w:val="30"/>
          <w:szCs w:val="30"/>
        </w:rPr>
      </w:pPr>
      <w:r>
        <w:rPr>
          <w:rFonts w:hint="eastAsia" w:ascii="宋体" w:hAnsi="宋体"/>
          <w:sz w:val="30"/>
          <w:szCs w:val="30"/>
          <w:lang w:eastAsia="zh-CN"/>
        </w:rPr>
        <w:t>是（</w:t>
      </w:r>
      <w:r>
        <w:rPr>
          <w:rFonts w:hint="eastAsia" w:ascii="宋体" w:hAnsi="宋体"/>
          <w:sz w:val="30"/>
          <w:szCs w:val="30"/>
          <w:lang w:val="en-US"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pPr>
        <w:spacing w:line="440" w:lineRule="exact"/>
        <w:rPr>
          <w:rFonts w:hint="eastAsia" w:ascii="黑体" w:hAnsi="黑体" w:eastAsia="黑体"/>
          <w:b/>
          <w:sz w:val="32"/>
          <w:szCs w:val="32"/>
        </w:rPr>
        <w:sectPr>
          <w:headerReference r:id="rId3" w:type="default"/>
          <w:pgSz w:w="11906" w:h="16838"/>
          <w:pgMar w:top="2098" w:right="1474" w:bottom="1984" w:left="1588" w:header="851" w:footer="992" w:gutter="0"/>
          <w:cols w:space="720" w:num="1"/>
          <w:docGrid w:type="lines" w:linePitch="312" w:charSpace="0"/>
        </w:sectPr>
      </w:pPr>
    </w:p>
    <w:p>
      <w:pPr>
        <w:spacing w:line="440" w:lineRule="exact"/>
        <w:rPr>
          <w:rFonts w:hint="eastAsia" w:ascii="黑体" w:hAnsi="黑体" w:eastAsia="黑体"/>
          <w:b w:val="0"/>
          <w:bCs/>
          <w:sz w:val="32"/>
          <w:szCs w:val="32"/>
        </w:rPr>
      </w:pPr>
      <w:r>
        <w:rPr>
          <w:rFonts w:hint="eastAsia" w:ascii="黑体" w:hAnsi="黑体" w:eastAsia="黑体"/>
          <w:b w:val="0"/>
          <w:bCs/>
          <w:sz w:val="32"/>
          <w:szCs w:val="32"/>
        </w:rPr>
        <w:t>理由：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2022年10月16日，中国共产党第二十次全国代表大会在北京人民大会堂开幕，习近平总书记代表第十九届中央委员会向大会作了题为《高举中国特色社会主义伟大旗帜，为全面建设社会主义现代化国家而团结奋斗》的报告,明确提出“建设现代化产业体系，坚持把发展经济的着力点放在实体经济上，推进新型工业化，加快建设制造强国、质量强国、航天强国</w:t>
      </w:r>
      <w:r>
        <w:rPr>
          <w:rFonts w:hint="eastAsia" w:ascii="仿宋_GB2312" w:eastAsia="仿宋_GB2312"/>
          <w:sz w:val="32"/>
          <w:szCs w:val="32"/>
          <w:lang w:eastAsia="zh-CN"/>
        </w:rPr>
        <w:t>、</w:t>
      </w:r>
      <w:r>
        <w:rPr>
          <w:rFonts w:hint="eastAsia" w:ascii="仿宋_GB2312" w:eastAsia="仿宋_GB2312"/>
          <w:sz w:val="32"/>
          <w:szCs w:val="32"/>
        </w:rPr>
        <w:t>交通强国、网络强国、数字中国”。这就要求我们坚持发展实体经济，加快我区先进制造业的建设，实现制造业的高质量的发展。</w:t>
      </w:r>
    </w:p>
    <w:p>
      <w:pPr>
        <w:pStyle w:val="7"/>
      </w:pPr>
    </w:p>
    <w:p>
      <w:pPr>
        <w:spacing w:line="440" w:lineRule="exact"/>
        <w:rPr>
          <w:rFonts w:hint="eastAsia" w:ascii="黑体" w:hAnsi="黑体" w:eastAsia="黑体"/>
          <w:b w:val="0"/>
          <w:bCs/>
          <w:sz w:val="32"/>
          <w:szCs w:val="32"/>
        </w:rPr>
      </w:pPr>
      <w:r>
        <w:rPr>
          <w:rFonts w:hint="eastAsia" w:ascii="黑体" w:hAnsi="黑体" w:eastAsia="黑体"/>
          <w:b w:val="0"/>
          <w:bCs/>
          <w:sz w:val="32"/>
          <w:szCs w:val="32"/>
        </w:rPr>
        <w:t>办法：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b/>
          <w:bCs/>
          <w:sz w:val="32"/>
          <w:szCs w:val="32"/>
        </w:rPr>
      </w:pPr>
      <w:r>
        <w:rPr>
          <w:rFonts w:hint="eastAsia" w:ascii="仿宋_GB2312" w:eastAsia="仿宋_GB2312"/>
          <w:b/>
          <w:bCs/>
          <w:sz w:val="32"/>
          <w:szCs w:val="32"/>
        </w:rPr>
        <w:t>一、重视和加强企业自主研发，实现制造业的科技创新发展。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当前，我国制造业与国外欧美国家相比，科技创新能力不足，关键核心技术未完全掌握，部分元器件、关键零部件、核心材料以及控制系统等还需要进口，科技创新能力有待加强。因此，我们必须重视和加强企业科技研发力度，实现先进制造业的创新发展，需要：攻克核心技术＋核心零部件国产替代进口＋自动化智能制造。具体讲，一是要攻克装备制造业中核心技术与共性技术，提高全产业链创新能力；二是核心基础零配件、关键基础材料和工艺开展工程化、产业化，解决进口替代问题；三是装备制造从机械化向自动化升级，加强控制系统、平台建设，进行远程监测、远程维护等在线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建议番禺区政府继续支持企业创新工作，大力支持高新技术企业研发、技改等工作，给予政策和资金支持，特别是专精特新、单项冠军企业，积极促进先进制造业高质量发展。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b/>
          <w:bCs/>
          <w:sz w:val="32"/>
          <w:szCs w:val="32"/>
        </w:rPr>
      </w:pPr>
      <w:r>
        <w:rPr>
          <w:rFonts w:hint="eastAsia" w:ascii="仿宋_GB2312" w:eastAsia="仿宋_GB2312"/>
          <w:b/>
          <w:bCs/>
          <w:sz w:val="32"/>
          <w:szCs w:val="32"/>
        </w:rPr>
        <w:t>二、建立和完善科技成果转化的体制机制，进一步加强企业科技成果转化服务工作。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近年来，制造业企业，特别是中小企业对研发创新和成果转化的需求日益旺盛，越来越多的企业成立专门的研发机构进行自行研究开发和合作开发。但是，目前还是存在科技成果转化困难的情况，严重阻碍了企业的创新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建议区政府一是出台专门针对中小企业成果转化的政策文件，放低在政策上对中小企业成果转化的要求，找到符合市场规律接地气的转化方式；摒弃以专利作为唯一评判标准，避免出现为了高新技术企业认定和相关的税收优惠而购买和转让与企业发展方向不一致的专利，同时重视企业技术创新中新工艺、新产品、新设计等未形成专利的部分。政策风向标的转变将激发中小企业对成果转化的真实需求。二是为有真正研发需求和研发信心的企业多搭桥，多铺路，形成多层次、立体式对接渠道，通过创新挑战赛、难题招标制、创新服务券等多形式支持企业走出去，鼓励供需双方真正共享信息、相互促进学习、提升匹配成功率。三是建议我区对先进制造企业中研发投入大、占比高、科技转化成果多及科技转化成果优的企业，给予科技转化项目的补贴及奖励，发挥政府有形之手的积极作用，鼓励支持我区先进制造企业科技转化，实现企业的创新发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b/>
          <w:bCs/>
          <w:sz w:val="32"/>
          <w:szCs w:val="32"/>
        </w:rPr>
      </w:pPr>
      <w:r>
        <w:rPr>
          <w:rFonts w:hint="eastAsia" w:ascii="仿宋_GB2312" w:eastAsia="仿宋_GB2312"/>
          <w:b/>
          <w:bCs/>
          <w:sz w:val="32"/>
          <w:szCs w:val="32"/>
        </w:rPr>
        <w:t>三、加强知识产权建设，强化知识产权保护，为企业创新发展提供坚实保障。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中共中央、国务院印发了《知识产权强国建设纲要(2021—2035年)》明确提出：建设面向社会主义现代化的知识产权制度，国际一流营商环境的知识产权保护体系，要求推进知识产权强国建设，全面提升知识产权创造、运用、保护、管理和服务水平。这就要求我区加强区内企业的知识产权管理和指导工作，公司高度重视知识产权保护，着力提高自主创新和运用知识产权的能力，以“保护知识产权，促进创新发展”作为企业的知识产权方针，将知识产权的创造与管理融合到企业的发展战略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 xml:space="preserve">  建议区政府继续深入实施知识产权战略，强化知识产权保护，推进知识产权创造、运用、保护工作的高质量发展，严厉打击侵权行为，保护企业知识产权，实现区内企业高质量。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b/>
          <w:bCs/>
          <w:sz w:val="32"/>
          <w:szCs w:val="32"/>
        </w:rPr>
      </w:pPr>
      <w:r>
        <w:rPr>
          <w:rFonts w:hint="eastAsia" w:ascii="仿宋_GB2312" w:eastAsia="仿宋_GB2312"/>
          <w:b/>
          <w:bCs/>
          <w:sz w:val="32"/>
          <w:szCs w:val="32"/>
        </w:rPr>
        <w:t>四、加强制造业企业的品牌建设，形成自主品牌。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发展制造业，需要加强企业自主品牌建设。近年来，随着品牌在企业市场竞争中，甚至在世界范围内国家之间综合国力较量中的作用日渐凸显，党中央、国务院已将实施品牌战略提升到国家战略高度。但有些企业品牌意识不足，部分企业认为生产、研发、技术、销售是必要的，品牌建设是次要的，对品牌的价值和附加权益缺乏了解，没有将品牌建设加入到企业的发展战略和经营策略中。因此，必须加强企业的品牌建设，形成具有自主知识产权的自主品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建议区政府一是构建起品牌建设的综合协调工作机制，引导实施品牌宣传战略、品牌规划战略、品牌扶持战略、品牌公共服务战略、品牌监管战略等行动战略，真正发挥好品牌建设引航者的作用。二是进一步加强行业协会的品牌申报服务能力建设、质量基础管理能力建设、品牌信息咨询与传播服务能力建设，充分发挥行业协会在品牌建设中的推动作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b/>
          <w:bCs/>
          <w:sz w:val="32"/>
          <w:szCs w:val="32"/>
        </w:rPr>
      </w:pPr>
      <w:r>
        <w:rPr>
          <w:rFonts w:hint="eastAsia" w:ascii="仿宋_GB2312" w:eastAsia="仿宋_GB2312"/>
          <w:b/>
          <w:bCs/>
          <w:sz w:val="32"/>
          <w:szCs w:val="32"/>
        </w:rPr>
        <w:t>五、大力引进、培育人才，优化人才结构，为企业高质量发展提供人才支持与保障。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中共二十大报告，明确提出“必须坚持科技是第一生产力、人才是第一资源、创新是第一动力，深入实施科教兴国战略、人才强国战略、创新驱动发展战略，开辟发展新领域新赛道，不断塑造发展新动能新优势。”要实现企业高质量发展，必须大力引进、培育人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建议番禺区政府一是继续实施人才强区战略，支持和帮助企业及时补充和吸纳一线生产人员，以及包括博士等高层次的研发人员、技术人员、营销人员和管理人员，持续提升行业和企业的综合实力。二是也希望政府帮忙协调解决公司骨干员工入户、购房、子女入学等问题，解决员工后顾之忧。三是鼓励与支持企业与高校开展产学研合作教育，实施“科教兴国”和企业可持续发展战略，促进科技、教育与经济结合，逐步建立健全以企业为中心的技术创新体系和运行机制的重要举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p>
    <w:sectPr>
      <w:footerReference r:id="rId4" w:type="default"/>
      <w:pgSz w:w="11906" w:h="16838"/>
      <w:pgMar w:top="2098" w:right="1474" w:bottom="1984" w:left="1588"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r>
                      <w:t>—</w:t>
                    </w:r>
                  </w:p>
                </w:txbxContent>
              </v:textbox>
            </v:shape>
          </w:pict>
        </mc:Fallback>
      </mc:AlternateConten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VkNDZlYTIxOTc1NTI0NmY0NzA4MWIwMDhiOGU3NDEifQ=="/>
  </w:docVars>
  <w:rsids>
    <w:rsidRoot w:val="561D1B2D"/>
    <w:rsid w:val="0DFF7D4F"/>
    <w:rsid w:val="235E27D3"/>
    <w:rsid w:val="283707D7"/>
    <w:rsid w:val="2C2705C5"/>
    <w:rsid w:val="51DA43D4"/>
    <w:rsid w:val="523D40CC"/>
    <w:rsid w:val="561D1B2D"/>
    <w:rsid w:val="59012204"/>
    <w:rsid w:val="5AE57265"/>
    <w:rsid w:val="746E5A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w:basedOn w:val="3"/>
    <w:semiHidden/>
    <w:unhideWhenUsed/>
    <w:qFormat/>
    <w:uiPriority w:val="99"/>
    <w:pPr>
      <w:ind w:firstLine="420" w:firstLineChars="100"/>
    </w:pPr>
  </w:style>
  <w:style w:type="paragraph" w:styleId="3">
    <w:name w:val="Body Text"/>
    <w:basedOn w:val="1"/>
    <w:semiHidden/>
    <w:unhideWhenUsed/>
    <w:qFormat/>
    <w:uiPriority w:val="99"/>
    <w:pPr>
      <w:spacing w:after="120"/>
    </w:pPr>
  </w:style>
  <w:style w:type="paragraph" w:styleId="4">
    <w:name w:val="Body Text Indent"/>
    <w:basedOn w:val="1"/>
    <w:qFormat/>
    <w:uiPriority w:val="0"/>
    <w:pPr>
      <w:ind w:firstLine="645"/>
    </w:pPr>
    <w:rPr>
      <w:rFonts w:ascii="仿宋_GB2312" w:eastAsia="仿宋_GB2312"/>
      <w:sz w:val="32"/>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First Indent 2"/>
    <w:basedOn w:val="4"/>
    <w:qFormat/>
    <w:uiPriority w:val="0"/>
    <w:pPr>
      <w:spacing w:after="0" w:line="360" w:lineRule="auto"/>
      <w:ind w:left="0" w:leftChars="0" w:firstLine="1040" w:firstLineChars="200"/>
    </w:pPr>
    <w:rPr>
      <w:sz w:val="24"/>
    </w:rPr>
  </w:style>
  <w:style w:type="character" w:styleId="10">
    <w:name w:val="page number"/>
    <w:basedOn w:val="9"/>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1</Pages>
  <Words>110</Words>
  <Characters>110</Characters>
  <Lines>0</Lines>
  <Paragraphs>0</Paragraphs>
  <TotalTime>7</TotalTime>
  <ScaleCrop>false</ScaleCrop>
  <LinksUpToDate>false</LinksUpToDate>
  <CharactersWithSpaces>121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2021-12-31T03:34:00Z</dcterms:created>
  <dc:creator>Administrator</dc:creator>
  <cp:lastModifiedBy>user</cp:lastModifiedBy>
  <dcterms:modified xsi:type="dcterms:W3CDTF">2023-12-04T02:42:09Z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D9998D65C92341BEB470F5DC66EC356E</vt:lpwstr>
  </property>
</Properties>
</file>