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right="960"/>
        <w:textAlignment w:val="auto"/>
        <w:rPr>
          <w:rFonts w:hint="eastAsia" w:ascii="黑体" w:hAnsi="黑体" w:eastAsia="黑体" w:cs="黑体"/>
          <w:sz w:val="32"/>
          <w:szCs w:val="32"/>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宋体" w:hAnsi="宋体"/>
          <w:sz w:val="32"/>
          <w:szCs w:val="32"/>
        </w:rPr>
      </w:pPr>
      <w:r>
        <w:rPr>
          <w:rFonts w:hint="eastAsia" w:ascii="宋体" w:hAnsi="宋体"/>
          <w:sz w:val="32"/>
          <w:szCs w:val="32"/>
        </w:rPr>
        <w:t>第</w:t>
      </w:r>
      <w:r>
        <w:rPr>
          <w:rFonts w:ascii="宋体" w:hAnsi="宋体"/>
          <w:sz w:val="32"/>
          <w:szCs w:val="32"/>
          <w:u w:val="single"/>
        </w:rPr>
        <w:t xml:space="preserve">   </w:t>
      </w:r>
      <w:r>
        <w:rPr>
          <w:rFonts w:hint="eastAsia" w:ascii="宋体" w:hAnsi="宋体"/>
          <w:sz w:val="32"/>
          <w:szCs w:val="32"/>
          <w:u w:val="single"/>
          <w:lang w:val="en-US" w:eastAsia="zh-CN"/>
        </w:rPr>
        <w:t>13</w:t>
      </w:r>
      <w:r>
        <w:rPr>
          <w:rFonts w:ascii="宋体" w:hAnsi="宋体"/>
          <w:sz w:val="32"/>
          <w:szCs w:val="32"/>
          <w:u w:val="single"/>
        </w:rPr>
        <w:t xml:space="preserve">   </w:t>
      </w:r>
      <w:r>
        <w:rPr>
          <w:rFonts w:hint="eastAsia" w:ascii="宋体" w:hAnsi="宋体"/>
          <w:sz w:val="32"/>
          <w:szCs w:val="32"/>
        </w:rPr>
        <w:t>号</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番禺区政协十五届三次会议提案</w:t>
      </w:r>
    </w:p>
    <w:tbl>
      <w:tblPr>
        <w:tblStyle w:val="11"/>
        <w:tblW w:w="8985" w:type="dxa"/>
        <w:tblInd w:w="-2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2745"/>
        <w:gridCol w:w="435"/>
        <w:gridCol w:w="1305"/>
        <w:gridCol w:w="945"/>
        <w:gridCol w:w="1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Borders>
              <w:top w:val="single" w:color="auto" w:sz="4" w:space="0"/>
              <w:left w:val="single" w:color="auto" w:sz="4" w:space="0"/>
              <w:bottom w:val="single" w:color="auto" w:sz="4" w:space="0"/>
              <w:right w:val="single" w:color="auto" w:sz="4" w:space="0"/>
            </w:tcBorders>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题目</w:t>
            </w:r>
          </w:p>
        </w:tc>
        <w:tc>
          <w:tcPr>
            <w:tcW w:w="6825" w:type="dxa"/>
            <w:gridSpan w:val="5"/>
            <w:tcBorders>
              <w:top w:val="single" w:color="auto" w:sz="4" w:space="0"/>
              <w:left w:val="single" w:color="auto" w:sz="4" w:space="0"/>
              <w:bottom w:val="single" w:color="auto" w:sz="4" w:space="0"/>
              <w:right w:val="single" w:color="auto" w:sz="4" w:space="0"/>
            </w:tcBorders>
          </w:tcPr>
          <w:p>
            <w:pPr>
              <w:jc w:val="left"/>
              <w:rPr>
                <w:rFonts w:hint="eastAsia" w:ascii="仿宋_GB2312" w:hAnsi="宋体" w:eastAsia="仿宋_GB2312"/>
                <w:sz w:val="32"/>
                <w:szCs w:val="32"/>
                <w:lang w:eastAsia="zh-CN"/>
              </w:rPr>
            </w:pPr>
            <w:r>
              <w:rPr>
                <w:rFonts w:hint="eastAsia" w:ascii="仿宋_GB2312" w:hAnsi="宋体" w:eastAsia="仿宋_GB2312"/>
                <w:sz w:val="32"/>
                <w:szCs w:val="32"/>
                <w:lang w:val="en-US" w:eastAsia="zh-CN"/>
              </w:rPr>
              <w:t>关于</w:t>
            </w:r>
            <w:r>
              <w:rPr>
                <w:rFonts w:hint="eastAsia" w:ascii="仿宋_GB2312" w:hAnsi="宋体" w:eastAsia="仿宋_GB2312"/>
                <w:sz w:val="32"/>
                <w:szCs w:val="32"/>
              </w:rPr>
              <w:t>发挥粤港澳大湾区独特优势 打造国际美妆产业集聚地标</w:t>
            </w:r>
            <w:r>
              <w:rPr>
                <w:rFonts w:hint="eastAsia" w:ascii="仿宋_GB2312" w:hAnsi="宋体" w:eastAsia="仿宋_GB2312"/>
                <w:sz w:val="32"/>
                <w:szCs w:val="32"/>
                <w:lang w:eastAsia="zh-CN"/>
              </w:rPr>
              <w:t>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提案者</w:t>
            </w:r>
          </w:p>
        </w:tc>
        <w:tc>
          <w:tcPr>
            <w:tcW w:w="3180"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政协小谷围工作室</w:t>
            </w:r>
          </w:p>
        </w:tc>
        <w:tc>
          <w:tcPr>
            <w:tcW w:w="1305"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联系人</w:t>
            </w:r>
          </w:p>
        </w:tc>
        <w:tc>
          <w:tcPr>
            <w:tcW w:w="2340" w:type="dxa"/>
            <w:gridSpan w:val="2"/>
            <w:tcBorders>
              <w:top w:val="single" w:color="auto" w:sz="4" w:space="0"/>
              <w:left w:val="single" w:color="auto" w:sz="4" w:space="0"/>
              <w:bottom w:val="single" w:color="auto" w:sz="4" w:space="0"/>
              <w:right w:val="single" w:color="auto" w:sz="4" w:space="0"/>
            </w:tcBorders>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刘悦敏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工作单位</w:t>
            </w:r>
          </w:p>
        </w:tc>
        <w:tc>
          <w:tcPr>
            <w:tcW w:w="3180"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广州粤澳青创科技发展有限公司</w:t>
            </w:r>
          </w:p>
        </w:tc>
        <w:tc>
          <w:tcPr>
            <w:tcW w:w="1305" w:type="dxa"/>
            <w:tcBorders>
              <w:top w:val="single" w:color="auto" w:sz="4" w:space="0"/>
              <w:left w:val="single" w:color="auto" w:sz="4" w:space="0"/>
              <w:bottom w:val="single" w:color="auto" w:sz="4" w:space="0"/>
              <w:right w:val="single" w:color="auto" w:sz="4" w:space="0"/>
            </w:tcBorders>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340" w:type="dxa"/>
            <w:gridSpan w:val="2"/>
            <w:tcBorders>
              <w:top w:val="single" w:color="auto" w:sz="4" w:space="0"/>
              <w:left w:val="single" w:color="auto" w:sz="4" w:space="0"/>
              <w:bottom w:val="single" w:color="auto" w:sz="4" w:space="0"/>
              <w:right w:val="single" w:color="auto" w:sz="4" w:space="0"/>
            </w:tcBorders>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副总经理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60"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手机号码</w:t>
            </w:r>
          </w:p>
        </w:tc>
        <w:tc>
          <w:tcPr>
            <w:tcW w:w="2745"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p>
        </w:tc>
        <w:tc>
          <w:tcPr>
            <w:tcW w:w="1740"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办公电话</w:t>
            </w:r>
          </w:p>
        </w:tc>
        <w:tc>
          <w:tcPr>
            <w:tcW w:w="2340"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通讯地址</w:t>
            </w:r>
          </w:p>
        </w:tc>
        <w:tc>
          <w:tcPr>
            <w:tcW w:w="4485" w:type="dxa"/>
            <w:gridSpan w:val="3"/>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0"/>
                <w:szCs w:val="30"/>
              </w:rPr>
            </w:pPr>
            <w:bookmarkStart w:id="0" w:name="_GoBack"/>
            <w:bookmarkEnd w:id="0"/>
          </w:p>
        </w:tc>
        <w:tc>
          <w:tcPr>
            <w:tcW w:w="945"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邮编</w:t>
            </w:r>
          </w:p>
        </w:tc>
        <w:tc>
          <w:tcPr>
            <w:tcW w:w="1395"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4" w:hRule="atLeast"/>
        </w:trPr>
        <w:tc>
          <w:tcPr>
            <w:tcW w:w="2160"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联名提案人</w:t>
            </w:r>
          </w:p>
          <w:p>
            <w:pPr>
              <w:spacing w:line="680" w:lineRule="exact"/>
              <w:jc w:val="center"/>
              <w:rPr>
                <w:rFonts w:ascii="仿宋_GB2312" w:hAnsi="宋体" w:eastAsia="仿宋_GB2312"/>
                <w:spacing w:val="-14"/>
                <w:sz w:val="32"/>
                <w:szCs w:val="32"/>
              </w:rPr>
            </w:pPr>
            <w:r>
              <w:rPr>
                <w:rFonts w:hint="eastAsia" w:ascii="仿宋_GB2312" w:hAnsi="宋体" w:eastAsia="仿宋_GB2312"/>
                <w:spacing w:val="-14"/>
                <w:sz w:val="32"/>
                <w:szCs w:val="32"/>
              </w:rPr>
              <w:t>（如</w:t>
            </w:r>
            <w:r>
              <w:rPr>
                <w:rFonts w:hint="eastAsia" w:ascii="仿宋_GB2312" w:hAnsi="宋体" w:eastAsia="仿宋_GB2312"/>
                <w:spacing w:val="-14"/>
                <w:sz w:val="28"/>
                <w:szCs w:val="28"/>
              </w:rPr>
              <w:t>人数较多，可另附于文后</w:t>
            </w:r>
            <w:r>
              <w:rPr>
                <w:rFonts w:hint="eastAsia" w:ascii="仿宋_GB2312" w:hAnsi="宋体" w:eastAsia="仿宋_GB2312"/>
                <w:spacing w:val="-14"/>
                <w:sz w:val="32"/>
                <w:szCs w:val="32"/>
              </w:rPr>
              <w:t>）</w:t>
            </w:r>
          </w:p>
        </w:tc>
        <w:tc>
          <w:tcPr>
            <w:tcW w:w="6825" w:type="dxa"/>
            <w:gridSpan w:val="5"/>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高錦途，謝家銘，譚偉權，原勁滔，郭昌能，曹嘉豐，蔣永興，高永儉，蕭家浩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2160"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提案委员会</w:t>
            </w:r>
          </w:p>
          <w:p>
            <w:pPr>
              <w:spacing w:line="680" w:lineRule="exact"/>
              <w:jc w:val="center"/>
              <w:rPr>
                <w:rFonts w:ascii="仿宋_GB2312" w:hAnsi="宋体" w:eastAsia="仿宋_GB2312"/>
                <w:sz w:val="32"/>
                <w:szCs w:val="32"/>
              </w:rPr>
            </w:pPr>
            <w:r>
              <w:rPr>
                <w:rFonts w:hint="eastAsia" w:ascii="仿宋_GB2312" w:hAnsi="宋体" w:eastAsia="仿宋_GB2312"/>
                <w:sz w:val="32"/>
                <w:szCs w:val="32"/>
              </w:rPr>
              <w:t>审查意见</w:t>
            </w:r>
          </w:p>
        </w:tc>
        <w:tc>
          <w:tcPr>
            <w:tcW w:w="6825" w:type="dxa"/>
            <w:gridSpan w:val="5"/>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sz w:val="30"/>
          <w:szCs w:val="30"/>
        </w:rPr>
      </w:pPr>
      <w:r>
        <w:rPr>
          <w:rFonts w:hint="eastAsia" w:ascii="宋体" w:hAnsi="宋体"/>
          <w:sz w:val="30"/>
          <w:szCs w:val="30"/>
          <w:lang w:eastAsia="zh-CN"/>
        </w:rPr>
        <w:t>是（</w:t>
      </w:r>
      <w:r>
        <w:rPr>
          <w:rFonts w:hint="default" w:ascii="Arial" w:hAnsi="Arial" w:cs="Arial"/>
          <w:sz w:val="30"/>
          <w:szCs w:val="30"/>
          <w:lang w:eastAsia="zh-CN"/>
        </w:rPr>
        <w:t>√</w:t>
      </w:r>
      <w:r>
        <w:rPr>
          <w:rFonts w:hint="eastAsia" w:ascii="宋体" w:hAnsi="宋体"/>
          <w:sz w:val="30"/>
          <w:szCs w:val="30"/>
          <w:lang w:eastAsia="zh-CN"/>
        </w:rPr>
        <w:t>）</w:t>
      </w:r>
      <w:r>
        <w:rPr>
          <w:rFonts w:ascii="宋体" w:hAnsi="宋体"/>
          <w:sz w:val="30"/>
          <w:szCs w:val="30"/>
        </w:rPr>
        <w:t xml:space="preserve">  </w:t>
      </w:r>
      <w:r>
        <w:rPr>
          <w:rFonts w:hint="eastAsia" w:ascii="宋体" w:hAnsi="宋体"/>
          <w:sz w:val="30"/>
          <w:szCs w:val="30"/>
          <w:lang w:eastAsia="zh-CN"/>
        </w:rPr>
        <w:t>否（）</w:t>
      </w:r>
      <w:r>
        <w:rPr>
          <w:rFonts w:ascii="宋体" w:hAnsi="宋体"/>
          <w:sz w:val="30"/>
          <w:szCs w:val="30"/>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b/>
          <w:sz w:val="32"/>
          <w:szCs w:val="32"/>
        </w:rPr>
      </w:pPr>
    </w:p>
    <w:p>
      <w:pPr>
        <w:pStyle w:val="2"/>
        <w:rPr>
          <w:rFonts w:hint="eastAsia" w:ascii="仿宋_GB2312" w:hAnsi="宋体" w:eastAsia="仿宋_GB2312"/>
          <w:b/>
          <w:sz w:val="32"/>
          <w:szCs w:val="32"/>
        </w:rPr>
      </w:pPr>
    </w:p>
    <w:p>
      <w:pPr>
        <w:pStyle w:val="2"/>
        <w:rPr>
          <w:rFonts w:hint="eastAsia" w:ascii="仿宋_GB2312" w:hAnsi="宋体" w:eastAsia="仿宋_GB2312"/>
          <w:b/>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sz w:val="32"/>
          <w:szCs w:val="32"/>
          <w:lang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理由：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国美妆行业素有“朝阳行业”之称，市场规模位列全球第二，仅次于美国。中国美妆看广东，广东美妆看广州。以广州为代表的粤港澳大湾区是中国美妆产业最大的集聚地，其生产企业数量、工业产值、上下游供应链、品牌和消费市场均领跑全国，具有本土品牌众多、自主产业链逐步形成、发展迅猛的特点和优势，并依靠营销驱动，快速抢占市场份额，在原本被国外头部品牌独占的市场中赢得了一席之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州美妆产业主要分布在白云、黄埔、花都三个区域，番禺区美妆产业起步较晚，规模不大，尚未形成聚集效应，但起点较高，成果喜人，大有赶超之势。2022年11月，粤港澳大湾区美业（产业）青年双创基地在番禺区大学城成立，未来将进一步推动港澳及国际创新要素和资源在番禺区加速聚集，赋能番禺美妆产业，增强番禺美妆产业的内生动力，助力番禺区打造国际美妆产业新高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近年来番禺区着力打造世界级休闲旅游中心，以快时尚+国际消费中心城市为契机，构筑新消费平台经济，围绕珠宝首饰、美妆日化等产业，以适应时代需求的快时尚为方向，重组传统优势产业链供应链，争取建设成为专业化、特色化、区域性的重要国际消费中心城市节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粤港澳大湾区战略实施和番禺区战略规划双重机遇叠加的驱动下，引领时尚消费的美妆产业势必成为番禺区重点关注和发展的领域之一，并迎来突围崛起的重大机遇。但不容忽视的是，番禺区的美妆产业仍处于起步和探索阶段，发展面临两大挑战：一是基础研究和独立自主研发能力薄弱，核心原料依赖进口，原创品牌集中在中低端市场；二是重营销轻科研、重流量轻品质，沉淀不够、底蕴不足，无法保持旺盛的生命力、活力和核心竞争力，难以长久占领市场。未来番禺区要大力发展美妆产业，必然要重视和攻克以上短板，才能逐步做大做强，实现弯道超车。</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粤港澳大湾区人才、资金、科技研发力量的密度大，市场化程度高，发展美妆产业具有得天独厚的优势。在“湾区+”战略大力实施的背景下，粤港澳一体化发展全面提速，化妆品消费需求日益增大，美妆产业迎来新的发展契机。如何协同粤港澳三地的优势和资源，实现美妆产业的互补赋能、无缝对接，推动美妆产业破解“中低端锁定”困局、强化品牌价值，是番禺区发展美妆产业的重点课题，也是本土美妆产业有力参与国际竞争、有效赢取更大市场的迫切要求。</w:t>
      </w:r>
    </w:p>
    <w:p>
      <w:pPr>
        <w:pStyle w:val="2"/>
        <w:rPr>
          <w:rFonts w:hint="eastAsia" w:ascii="仿宋_GB2312" w:hAnsi="仿宋_GB2312" w:eastAsia="仿宋_GB2312" w:cs="仿宋_GB2312"/>
          <w:sz w:val="32"/>
          <w:szCs w:val="32"/>
        </w:rPr>
      </w:pPr>
    </w:p>
    <w:p>
      <w:pPr>
        <w:pStyle w:val="2"/>
        <w:ind w:left="0" w:leftChars="0" w:firstLine="0" w:firstLineChars="0"/>
        <w:rPr>
          <w:rFonts w:hint="default" w:ascii="黑体" w:hAnsi="黑体" w:eastAsia="黑体" w:cs="黑体"/>
          <w:b w:val="0"/>
          <w:bCs/>
          <w:kern w:val="2"/>
          <w:sz w:val="32"/>
          <w:szCs w:val="32"/>
          <w:lang w:val="en-US" w:eastAsia="zh-CN" w:bidi="ar-SA"/>
        </w:rPr>
      </w:pPr>
      <w:r>
        <w:rPr>
          <w:rFonts w:hint="eastAsia" w:ascii="黑体" w:hAnsi="黑体" w:eastAsia="黑体" w:cs="黑体"/>
          <w:b w:val="0"/>
          <w:bCs/>
          <w:kern w:val="2"/>
          <w:sz w:val="32"/>
          <w:szCs w:val="32"/>
          <w:lang w:val="en-US" w:eastAsia="zh-CN" w:bidi="ar-SA"/>
        </w:rPr>
        <w:t>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家“十四五”规划中明确提出，要在化妆品等快消领域培育属于中国的高端品牌，推进我国高端化妆品发展。要补齐番禺区美妆产业原料依赖进口、研发能力不强、品牌内涵不足等短板，必须要充分发挥粤港澳三地的科技创新、国际化等独特优势，以湾区优势开发湾区特色原料、打造湾区特色品牌，推动美妆产业走“特色化、高端化、国际化”发展道路，不断夯实美妆产业参与国际竞争的基础，构建国际竞争优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实施国家“一带一路”、《粤港澳大湾区发展规划纲要》和《广东省推动化妆品产业高质量发展实施方案》的战略部署，推动番禺区美妆产业高质量发展，助力番禺区打造国际美妆产业集聚地标，并以美妆产业为突破口打造有影响力的国际消费中心城市，主要从国际化产业及双创人才聚集、原料核心技术研发、企业发展、人才建设、品牌培育等方面切入，提出如下建议：</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国际化产业及双创人才集聚方面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（一）推动美妆产业国际知名品牌向番禺区集聚。</w:t>
      </w:r>
      <w:r>
        <w:rPr>
          <w:rFonts w:hint="eastAsia" w:ascii="仿宋_GB2312" w:hAnsi="仿宋_GB2312" w:eastAsia="仿宋_GB2312" w:cs="仿宋_GB2312"/>
          <w:sz w:val="32"/>
          <w:szCs w:val="32"/>
        </w:rPr>
        <w:t>发挥港澳链接国际市场的优势，吸引和推动国际知名的化妆品原料供应商、包材设计团队、包材制造商、检验检测机构、电商企业、国际品牌贸易机构等落地番禺区，推动番禺区美妆产业集群化、规模化、国际化发展，通过“强链”、“补链”、“优链”，不断强化番禺区美妆全产业链的国际元素和特色，提升美妆产业链全链条活力和国际竞争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（二）推动美妆产业双创蓬勃发展。</w:t>
      </w:r>
      <w:r>
        <w:rPr>
          <w:rFonts w:hint="eastAsia" w:ascii="仿宋_GB2312" w:hAnsi="仿宋_GB2312" w:eastAsia="仿宋_GB2312" w:cs="仿宋_GB2312"/>
          <w:sz w:val="32"/>
          <w:szCs w:val="32"/>
        </w:rPr>
        <w:t>推动建设一批美妆双创服务基地和平台，并强化政策扶持，吸引港澳及国际人才进入化妆品及原料的研发、生产、销售、智能制造、检验检测、品牌推广、质量提升及展示交易等领域创新创业，将番禺区打造为国际美妆产业双创人才聚集高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二、</w:t>
      </w:r>
      <w:r>
        <w:rPr>
          <w:rFonts w:hint="eastAsia" w:ascii="黑体" w:hAnsi="黑体" w:eastAsia="黑体" w:cs="黑体"/>
          <w:b w:val="0"/>
          <w:bCs/>
          <w:sz w:val="32"/>
          <w:szCs w:val="32"/>
        </w:rPr>
        <w:t>核心技术研发和科技创新方面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（一）加强粤港澳产学研合作，推动科研成果加速转化。</w:t>
      </w:r>
      <w:r>
        <w:rPr>
          <w:rFonts w:hint="eastAsia" w:ascii="仿宋_GB2312" w:hAnsi="仿宋_GB2312" w:eastAsia="仿宋_GB2312" w:cs="仿宋_GB2312"/>
          <w:sz w:val="32"/>
          <w:szCs w:val="32"/>
        </w:rPr>
        <w:t>积极引导番禺区美妆相关领域企业和机构与港澳两地高校、科研机构深入开展产学研合作，结合香港、澳门本地传统优势项目和特色中医药资源等优势产业要素，共同研究开发中国特色美妆精品，并围绕化妆品原料成分、工艺配方、功能功效、检测评价等领域“卡脖子”环节开展科技攻关，促进科技成果转化，推动番禺区美妆产业打破“中低端锁定”枷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（二）推动美妆产业数字化转型升级。</w:t>
      </w:r>
      <w:r>
        <w:rPr>
          <w:rFonts w:hint="eastAsia" w:ascii="仿宋_GB2312" w:hAnsi="仿宋_GB2312" w:eastAsia="仿宋_GB2312" w:cs="仿宋_GB2312"/>
          <w:sz w:val="32"/>
          <w:szCs w:val="32"/>
        </w:rPr>
        <w:t>引导番禺区美妆产业与香港、澳门本地数字经济产业深度融合，推动区块链技术在美妆行业供应链数据、生产数据、产品数据等方面的应用，通过现代信息技术、控制技术诊断美妆产业现状，创造条件推动番禺区美妆产业数字化转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 xml:space="preserve"> 三、企业发展方面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（一）培育一批“专精特新”美妆领军企业。</w:t>
      </w:r>
      <w:r>
        <w:rPr>
          <w:rFonts w:hint="eastAsia" w:ascii="仿宋_GB2312" w:hAnsi="仿宋_GB2312" w:eastAsia="仿宋_GB2312" w:cs="仿宋_GB2312"/>
          <w:sz w:val="32"/>
          <w:szCs w:val="32"/>
        </w:rPr>
        <w:t>发挥、利用和叠加粤港澳三地的资源禀赋和创新优势，着力培育一批“专而精、精而强”、有国际竞争力的的美妆硬核实力企业和团队，在研发、金融、税收等方面给予配套政策扶持，形成一批示范试点企业，切实发挥领军企业的引领和带动作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（二）引导美妆企业完成智能化改造、数字化转型。</w:t>
      </w:r>
      <w:r>
        <w:rPr>
          <w:rFonts w:hint="eastAsia" w:ascii="仿宋_GB2312" w:hAnsi="仿宋_GB2312" w:eastAsia="仿宋_GB2312" w:cs="仿宋_GB2312"/>
          <w:sz w:val="32"/>
          <w:szCs w:val="32"/>
        </w:rPr>
        <w:t>积极培育和扶持规模小、处于成长期的美妆中小微企业，支持企业扩大产能提升规模，进行清洁生产技术改造，实现数字化转型。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四、金融支持方面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（一）设立粤港澳美妆产业专项基金。</w:t>
      </w:r>
      <w:r>
        <w:rPr>
          <w:rFonts w:hint="eastAsia" w:ascii="仿宋_GB2312" w:hAnsi="仿宋_GB2312" w:eastAsia="仿宋_GB2312" w:cs="仿宋_GB2312"/>
          <w:sz w:val="32"/>
          <w:szCs w:val="32"/>
        </w:rPr>
        <w:t>充分发挥香港、澳门与葡语系国家等国际资本资源优势，引导及支持粤港澳及国际投融资机构融合发展，以资本助力大湾区美妆产业高质量发展。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（二）加大美妆领域财政支持力度，优化财政资金投入机制。</w:t>
      </w:r>
      <w:r>
        <w:rPr>
          <w:rFonts w:hint="eastAsia" w:ascii="仿宋_GB2312" w:hAnsi="仿宋_GB2312" w:eastAsia="仿宋_GB2312" w:cs="仿宋_GB2312"/>
          <w:sz w:val="32"/>
          <w:szCs w:val="32"/>
        </w:rPr>
        <w:t>以支撑企业开展自主研发为目的，优化金融财税、奖励表彰等激励制度，积极引导企业从事基础研究、科技攻关的意愿，对美妆领域重点核心科技创新项目予以“一条龙”支持。鼓励企业、科技园区与政府共同建立美妆研发和科技成果转化基金，开展关键技术攻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五、人才建设和培养方面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（一）推动粤港澳美妆产业产教融合。</w:t>
      </w:r>
      <w:r>
        <w:rPr>
          <w:rFonts w:hint="eastAsia" w:ascii="仿宋_GB2312" w:hAnsi="仿宋_GB2312" w:eastAsia="仿宋_GB2312" w:cs="仿宋_GB2312"/>
          <w:sz w:val="32"/>
          <w:szCs w:val="32"/>
        </w:rPr>
        <w:t>引导和支持番禺区美妆相关领域企业和机构与港澳两地知名专业院校合作建立湾区美妆大健康学院，组织开展美妆大健康相关领域的综合性跨学科教育培训，为番禺区培养和输送专业人才。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（二）建立美妆产业“人才库”。</w:t>
      </w:r>
      <w:r>
        <w:rPr>
          <w:rFonts w:hint="eastAsia" w:ascii="仿宋_GB2312" w:hAnsi="仿宋_GB2312" w:eastAsia="仿宋_GB2312" w:cs="仿宋_GB2312"/>
          <w:sz w:val="32"/>
          <w:szCs w:val="32"/>
        </w:rPr>
        <w:t>荟萃粤港澳三地政府、产业界、金融界、学术界、媒体界以及社会各界的共识与合力，搭建美妆产业“人才库”，每年开展“专家行”活动，组织专家为区域和企业提供政策研究、技术攻关、投融资、品牌建设、市场推广等方面的咨询和辅导，为番禺区美妆产业创新发展提供人才支撑和智力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六、标准体系建设方面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（一）打造美妆产业的“湾区标准”。</w:t>
      </w:r>
      <w:r>
        <w:rPr>
          <w:rFonts w:hint="eastAsia" w:ascii="仿宋_GB2312" w:hAnsi="仿宋_GB2312" w:eastAsia="仿宋_GB2312" w:cs="仿宋_GB2312"/>
          <w:sz w:val="32"/>
          <w:szCs w:val="32"/>
        </w:rPr>
        <w:t>引导番禺区加强与香港、澳门的标准、检验检测、认证等机构合作，促进粤港澳三地标准研究、对接与合作，组织粤港澳三地的标准化专家、技术专家，对标国际领先水平，制定并发布粤港澳大湾区美妆产业标准，以高标准引领推动行业质量水平整体提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（二）搭建粤港澳美妆产业质量交流平台。</w:t>
      </w:r>
      <w:r>
        <w:rPr>
          <w:rFonts w:hint="eastAsia" w:ascii="仿宋_GB2312" w:hAnsi="仿宋_GB2312" w:eastAsia="仿宋_GB2312" w:cs="仿宋_GB2312"/>
          <w:sz w:val="32"/>
          <w:szCs w:val="32"/>
        </w:rPr>
        <w:t>每年组织“粤港澳美妆质量品牌论坛”等大型活动，推动粤港澳三地美妆产业质量工作深度合作交流，打造以粤港澳为基地，辐射周边地区的美妆特色质量交流培训服务品牌，不断增强粤港澳三地美妆企业的质量意识，提升美妆企业的品牌内涵和价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七、品牌培育方面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（一）加强番禺区美妆国际品牌培育。</w:t>
      </w:r>
      <w:r>
        <w:rPr>
          <w:rFonts w:hint="eastAsia" w:ascii="仿宋_GB2312" w:hAnsi="仿宋_GB2312" w:eastAsia="仿宋_GB2312" w:cs="仿宋_GB2312"/>
          <w:sz w:val="32"/>
          <w:szCs w:val="32"/>
        </w:rPr>
        <w:t>利用穗港两地人才、科技、产业、政策的优势，加强两地的资源互动导向，引导和支持番禺区美妆相关领域企业与香港美妆知名品牌及各类创新主体“强强联合”，加快推进香港和番禺区之间美妆产业及人才的融合发展，培育一批具有国际竞争力和全球美誉度的美妆穗港合作专业品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（二）开展多元化品牌推广活动，提升番禺区美妆产业的品牌知名度。</w:t>
      </w:r>
      <w:r>
        <w:rPr>
          <w:rFonts w:hint="eastAsia" w:ascii="仿宋_GB2312" w:hAnsi="仿宋_GB2312" w:eastAsia="仿宋_GB2312" w:cs="仿宋_GB2312"/>
          <w:sz w:val="32"/>
          <w:szCs w:val="32"/>
        </w:rPr>
        <w:t>引导和促进番禺区美妆产业与香港文旅、商贸、服务业等产业深度融合，推动番禺区美妆元素进入香港各大卖场，并加强“走出去”服务，分利用香港国际商贸平台功能，引导和支持番禺区美妆相关领域企业和机构与“一带一路”沿线国家和地区交流合作，通过举办美妆大健康时尚文化主题展会，积极组织粤港澳大湾区美妆大健康国际产品展、美妆大健康国际论坛等产业推介、重点项目对接活动，持续推动番禺区美妆产业与国际接轨，走向世界舞台。</w:t>
      </w: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w:t>
                          </w: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8"/>
                    </w:pPr>
                    <w:r>
                      <w:t>—</w:t>
                    </w: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t xml:space="preserve"> —</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8"/>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30FDAB"/>
    <w:multiLevelType w:val="singleLevel"/>
    <w:tmpl w:val="C530FDAB"/>
    <w:lvl w:ilvl="0" w:tentative="0">
      <w:start w:val="1"/>
      <w:numFmt w:val="chineseCounting"/>
      <w:suff w:val="nothing"/>
      <w:lvlText w:val="%1、"/>
      <w:lvlJc w:val="left"/>
      <w:rPr>
        <w:rFonts w:hint="eastAsia"/>
      </w:rPr>
    </w:lvl>
  </w:abstractNum>
  <w:abstractNum w:abstractNumId="1">
    <w:nsid w:val="7D434B06"/>
    <w:multiLevelType w:val="multilevel"/>
    <w:tmpl w:val="7D434B06"/>
    <w:lvl w:ilvl="0" w:tentative="0">
      <w:start w:val="1"/>
      <w:numFmt w:val="none"/>
      <w:pStyle w:val="4"/>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2OTdmYjhmODVkMGYzZWU5NmI5ZGEzZDkzOTljMzMifQ=="/>
  </w:docVars>
  <w:rsids>
    <w:rsidRoot w:val="6D474148"/>
    <w:rsid w:val="006D596F"/>
    <w:rsid w:val="008B333C"/>
    <w:rsid w:val="009D7E95"/>
    <w:rsid w:val="00CB2BD5"/>
    <w:rsid w:val="02DB41D7"/>
    <w:rsid w:val="072D42A9"/>
    <w:rsid w:val="11DD425B"/>
    <w:rsid w:val="19E73463"/>
    <w:rsid w:val="1A361CF4"/>
    <w:rsid w:val="28270B90"/>
    <w:rsid w:val="2D8E50A5"/>
    <w:rsid w:val="30DE7A18"/>
    <w:rsid w:val="330F6957"/>
    <w:rsid w:val="35C67F79"/>
    <w:rsid w:val="43303D7C"/>
    <w:rsid w:val="46853538"/>
    <w:rsid w:val="47084895"/>
    <w:rsid w:val="4A965D14"/>
    <w:rsid w:val="51416A7A"/>
    <w:rsid w:val="53653760"/>
    <w:rsid w:val="5FAE72BE"/>
    <w:rsid w:val="6A90376A"/>
    <w:rsid w:val="6D474148"/>
    <w:rsid w:val="6F447B1B"/>
    <w:rsid w:val="6FF31302"/>
    <w:rsid w:val="78B638A1"/>
    <w:rsid w:val="7EAF50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nhideWhenUsed="0" w:uiPriority="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numPr>
        <w:ilvl w:val="0"/>
        <w:numId w:val="1"/>
      </w:numPr>
      <w:outlineLvl w:val="0"/>
    </w:pPr>
    <w:rPr>
      <w:rFonts w:eastAsia="黑体"/>
      <w:bCs/>
      <w:kern w:val="44"/>
      <w:sz w:val="30"/>
      <w:szCs w:val="44"/>
    </w:rPr>
  </w:style>
  <w:style w:type="paragraph" w:styleId="5">
    <w:name w:val="heading 3"/>
    <w:basedOn w:val="1"/>
    <w:next w:val="1"/>
    <w:qFormat/>
    <w:uiPriority w:val="99"/>
    <w:pPr>
      <w:spacing w:before="100" w:beforeAutospacing="1" w:after="100" w:afterAutospacing="1"/>
      <w:jc w:val="left"/>
      <w:outlineLvl w:val="2"/>
    </w:pPr>
    <w:rPr>
      <w:rFonts w:ascii="宋体" w:hAnsi="宋体" w:cs="宋体"/>
      <w:b/>
      <w:bCs/>
      <w:kern w:val="0"/>
      <w:sz w:val="27"/>
      <w:szCs w:val="27"/>
    </w:rPr>
  </w:style>
  <w:style w:type="paragraph" w:styleId="6">
    <w:name w:val="heading 6"/>
    <w:basedOn w:val="1"/>
    <w:next w:val="1"/>
    <w:qFormat/>
    <w:uiPriority w:val="9"/>
    <w:pPr>
      <w:spacing w:before="240" w:after="64" w:line="320" w:lineRule="auto"/>
      <w:outlineLvl w:val="5"/>
    </w:pPr>
    <w:rPr>
      <w:rFonts w:ascii="Cambria" w:hAnsi="Cambria"/>
      <w:b/>
      <w:bCs/>
      <w:sz w:val="24"/>
    </w:rPr>
  </w:style>
  <w:style w:type="character" w:default="1" w:styleId="12">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after="0" w:line="360" w:lineRule="auto"/>
      <w:ind w:left="0" w:leftChars="0" w:firstLine="1040" w:firstLineChars="200"/>
    </w:pPr>
    <w:rPr>
      <w:sz w:val="24"/>
    </w:rPr>
  </w:style>
  <w:style w:type="paragraph" w:styleId="3">
    <w:name w:val="Body Text Indent"/>
    <w:basedOn w:val="1"/>
    <w:qFormat/>
    <w:uiPriority w:val="0"/>
    <w:pPr>
      <w:ind w:firstLine="645"/>
    </w:pPr>
    <w:rPr>
      <w:rFonts w:ascii="仿宋_GB2312" w:eastAsia="仿宋_GB2312"/>
      <w:sz w:val="32"/>
    </w:rPr>
  </w:style>
  <w:style w:type="paragraph" w:styleId="7">
    <w:name w:val="Body Text"/>
    <w:basedOn w:val="1"/>
    <w:link w:val="15"/>
    <w:qFormat/>
    <w:uiPriority w:val="0"/>
    <w:pPr>
      <w:spacing w:after="120"/>
    </w:pPr>
    <w:rPr>
      <w:rFonts w:ascii="Calibri" w:hAnsi="Calibri" w:eastAsia="宋体" w:cs="宋体"/>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Autospacing="1" w:afterAutospacing="1"/>
      <w:jc w:val="left"/>
    </w:pPr>
    <w:rPr>
      <w:rFonts w:cs="Times New Roman"/>
      <w:kern w:val="0"/>
      <w:sz w:val="24"/>
    </w:rPr>
  </w:style>
  <w:style w:type="character" w:styleId="13">
    <w:name w:val="Strong"/>
    <w:basedOn w:val="12"/>
    <w:qFormat/>
    <w:uiPriority w:val="0"/>
    <w:rPr>
      <w:b/>
    </w:rPr>
  </w:style>
  <w:style w:type="character" w:styleId="14">
    <w:name w:val="Emphasis"/>
    <w:basedOn w:val="12"/>
    <w:qFormat/>
    <w:uiPriority w:val="0"/>
    <w:rPr>
      <w:i/>
    </w:rPr>
  </w:style>
  <w:style w:type="character" w:customStyle="1" w:styleId="15">
    <w:name w:val="正文文本 Char"/>
    <w:basedOn w:val="12"/>
    <w:link w:val="7"/>
    <w:qFormat/>
    <w:uiPriority w:val="0"/>
    <w:rPr>
      <w:rFonts w:ascii="Calibri" w:hAnsi="Calibri" w:cs="宋体"/>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7</Pages>
  <Words>546</Words>
  <Characters>3113</Characters>
  <Lines>25</Lines>
  <Paragraphs>7</Paragraphs>
  <TotalTime>4</TotalTime>
  <ScaleCrop>false</ScaleCrop>
  <LinksUpToDate>false</LinksUpToDate>
  <CharactersWithSpaces>3652</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2022-12-01T09:31:00Z</dcterms:created>
  <dc:creator>流年</dc:creator>
  <cp:lastModifiedBy>user</cp:lastModifiedBy>
  <dcterms:modified xsi:type="dcterms:W3CDTF">2023-12-04T02:35:34Z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RubyTemplateID" linkTarget="0">
    <vt:lpwstr>6</vt:lpwstr>
  </property>
  <property fmtid="{D5CDD505-2E9C-101B-9397-08002B2CF9AE}" pid="3" name="KSOProductBuildVer">
    <vt:lpwstr>2052-11.8.2.12085</vt:lpwstr>
  </property>
  <property fmtid="{D5CDD505-2E9C-101B-9397-08002B2CF9AE}" pid="4" name="ICV">
    <vt:lpwstr>BD05D789D1D64433AD652F95B7EC08C2</vt:lpwstr>
  </property>
</Properties>
</file>