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b/>
          <w:sz w:val="44"/>
          <w:szCs w:val="44"/>
        </w:rPr>
      </w:pPr>
      <w:bookmarkStart w:id="0" w:name="_Toc17647"/>
      <w:r>
        <w:rPr>
          <w:rFonts w:hint="eastAsia"/>
          <w:b/>
          <w:sz w:val="44"/>
          <w:szCs w:val="44"/>
        </w:rPr>
        <w:t>广州市番禺区第十八届人民代表大会</w:t>
      </w:r>
      <w:bookmarkEnd w:id="0"/>
    </w:p>
    <w:p>
      <w:pPr>
        <w:jc w:val="center"/>
        <w:rPr>
          <w:b/>
          <w:sz w:val="44"/>
          <w:szCs w:val="44"/>
        </w:rPr>
      </w:pPr>
      <w:r>
        <w:rPr>
          <w:rFonts w:hint="eastAsia"/>
          <w:b/>
          <w:sz w:val="44"/>
          <w:szCs w:val="44"/>
        </w:rPr>
        <w:t>代表建议、批评和意见</w:t>
      </w:r>
    </w:p>
    <w:p>
      <w:pPr>
        <w:jc w:val="center"/>
        <w:rPr>
          <w:rFonts w:ascii="仿宋_GB2312" w:eastAsia="仿宋_GB2312"/>
          <w:sz w:val="30"/>
          <w:szCs w:val="30"/>
        </w:rPr>
      </w:pPr>
      <w:r>
        <w:rPr>
          <w:rFonts w:hint="eastAsia" w:ascii="仿宋_GB2312" w:eastAsia="仿宋_GB2312"/>
          <w:sz w:val="30"/>
          <w:szCs w:val="30"/>
        </w:rPr>
        <w:t>第</w:t>
      </w:r>
      <w:r>
        <w:rPr>
          <w:rFonts w:hint="eastAsia" w:ascii="仿宋_GB2312" w:eastAsia="仿宋_GB2312"/>
          <w:sz w:val="30"/>
          <w:szCs w:val="30"/>
          <w:lang w:eastAsia="zh-CN"/>
        </w:rPr>
        <w:t>三</w:t>
      </w:r>
      <w:r>
        <w:rPr>
          <w:rFonts w:hint="eastAsia" w:ascii="仿宋_GB2312" w:eastAsia="仿宋_GB2312"/>
          <w:sz w:val="30"/>
          <w:szCs w:val="30"/>
        </w:rPr>
        <w:t>次会议                                   第</w:t>
      </w:r>
      <w:r>
        <w:rPr>
          <w:rFonts w:hint="eastAsia" w:ascii="仿宋_GB2312" w:eastAsia="仿宋_GB2312"/>
          <w:sz w:val="30"/>
          <w:szCs w:val="30"/>
          <w:lang w:val="en-US" w:eastAsia="zh-CN"/>
        </w:rPr>
        <w:t>107</w:t>
      </w:r>
      <w:r>
        <w:rPr>
          <w:rFonts w:hint="eastAsia" w:ascii="仿宋_GB2312" w:eastAsia="仿宋_GB2312"/>
          <w:sz w:val="30"/>
          <w:szCs w:val="30"/>
        </w:rPr>
        <w:t>号</w:t>
      </w:r>
    </w:p>
    <w:tbl>
      <w:tblPr>
        <w:tblStyle w:val="4"/>
        <w:tblW w:w="9336" w:type="dxa"/>
        <w:jc w:val="center"/>
        <w:tblLayout w:type="fixed"/>
        <w:tblCellMar>
          <w:top w:w="0" w:type="dxa"/>
          <w:left w:w="108" w:type="dxa"/>
          <w:bottom w:w="0" w:type="dxa"/>
          <w:right w:w="108" w:type="dxa"/>
        </w:tblCellMar>
      </w:tblPr>
      <w:tblGrid>
        <w:gridCol w:w="1439"/>
        <w:gridCol w:w="1915"/>
        <w:gridCol w:w="1127"/>
        <w:gridCol w:w="1503"/>
        <w:gridCol w:w="1444"/>
        <w:gridCol w:w="1890"/>
        <w:gridCol w:w="18"/>
      </w:tblGrid>
      <w:tr>
        <w:tblPrEx>
          <w:tblCellMar>
            <w:top w:w="0" w:type="dxa"/>
            <w:left w:w="108" w:type="dxa"/>
            <w:bottom w:w="0" w:type="dxa"/>
            <w:right w:w="108" w:type="dxa"/>
          </w:tblCellMar>
        </w:tblPrEx>
        <w:trPr>
          <w:gridAfter w:val="1"/>
          <w:wAfter w:w="18"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马超</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ascii="仿宋_GB2312" w:eastAsia="仿宋_GB2312"/>
                <w:sz w:val="30"/>
                <w:szCs w:val="30"/>
              </w:rPr>
            </w:pPr>
            <w:r>
              <w:rPr>
                <w:rFonts w:hint="eastAsia" w:ascii="仿宋_GB2312" w:eastAsia="仿宋_GB2312"/>
                <w:sz w:val="30"/>
                <w:szCs w:val="30"/>
              </w:rPr>
              <w:t>所  在</w:t>
            </w:r>
          </w:p>
          <w:p>
            <w:pPr>
              <w:spacing w:line="360" w:lineRule="exact"/>
              <w:jc w:val="center"/>
              <w:rPr>
                <w:rFonts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南村</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510000</w:t>
            </w:r>
          </w:p>
        </w:tc>
      </w:tr>
      <w:tr>
        <w:tblPrEx>
          <w:tblCellMar>
            <w:top w:w="0" w:type="dxa"/>
            <w:left w:w="108" w:type="dxa"/>
            <w:bottom w:w="0" w:type="dxa"/>
            <w:right w:w="108" w:type="dxa"/>
          </w:tblCellMar>
        </w:tblPrEx>
        <w:trPr>
          <w:gridAfter w:val="1"/>
          <w:wAfter w:w="18"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ascii="仿宋_GB2312" w:eastAsia="仿宋_GB2312"/>
                <w:sz w:val="30"/>
                <w:szCs w:val="30"/>
              </w:rPr>
            </w:pPr>
            <w:r>
              <w:rPr>
                <w:rFonts w:hint="eastAsia" w:ascii="仿宋_GB2312" w:eastAsia="仿宋_GB2312"/>
                <w:sz w:val="30"/>
                <w:szCs w:val="30"/>
              </w:rPr>
              <w:t>详    细</w:t>
            </w:r>
          </w:p>
          <w:p>
            <w:pPr>
              <w:spacing w:line="440" w:lineRule="exact"/>
              <w:jc w:val="center"/>
              <w:rPr>
                <w:rFonts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p>
        </w:tc>
      </w:tr>
      <w:tr>
        <w:tblPrEx>
          <w:tblCellMar>
            <w:top w:w="0" w:type="dxa"/>
            <w:left w:w="108" w:type="dxa"/>
            <w:bottom w:w="0" w:type="dxa"/>
            <w:right w:w="108" w:type="dxa"/>
          </w:tblCellMar>
        </w:tblPrEx>
        <w:trPr>
          <w:gridAfter w:val="1"/>
          <w:wAfter w:w="18"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p>
        </w:tc>
      </w:tr>
      <w:tr>
        <w:tblPrEx>
          <w:tblCellMar>
            <w:top w:w="0" w:type="dxa"/>
            <w:left w:w="108" w:type="dxa"/>
            <w:bottom w:w="0" w:type="dxa"/>
            <w:right w:w="108" w:type="dxa"/>
          </w:tblCellMar>
        </w:tblPrEx>
        <w:trPr>
          <w:gridAfter w:val="1"/>
          <w:wAfter w:w="18" w:type="dxa"/>
          <w:trHeight w:val="1265" w:hRule="exact"/>
          <w:jc w:val="center"/>
        </w:trPr>
        <w:tc>
          <w:tcPr>
            <w:tcW w:w="9318" w:type="dxa"/>
            <w:gridSpan w:val="6"/>
            <w:tcBorders>
              <w:top w:val="single" w:color="339966" w:sz="4" w:space="0"/>
            </w:tcBorders>
            <w:vAlign w:val="center"/>
          </w:tcPr>
          <w:p>
            <w:pPr>
              <w:rPr>
                <w:rFonts w:ascii="仿宋_GB2312" w:eastAsia="仿宋_GB2312"/>
                <w:sz w:val="30"/>
                <w:szCs w:val="30"/>
              </w:rPr>
            </w:pPr>
            <w:r>
              <w:rPr>
                <w:rFonts w:hint="eastAsia" w:ascii="仿宋_GB2312" w:eastAsia="仿宋_GB2312"/>
                <w:sz w:val="30"/>
                <w:szCs w:val="30"/>
              </w:rPr>
              <w:t>题目：</w:t>
            </w:r>
            <w:r>
              <w:rPr>
                <w:rFonts w:hint="eastAsia" w:ascii="方正小标宋简体" w:hAnsi="方正小标宋简体" w:eastAsia="方正小标宋简体" w:cs="方正小标宋简体"/>
                <w:sz w:val="32"/>
              </w:rPr>
              <w:t>关于解决工业用地因控规</w:t>
            </w:r>
            <w:r>
              <w:rPr>
                <w:rFonts w:hint="eastAsia" w:ascii="方正小标宋简体" w:hAnsi="方正小标宋简体" w:eastAsia="方正小标宋简体" w:cs="方正小标宋简体"/>
                <w:sz w:val="32"/>
                <w:lang w:val="en-US" w:eastAsia="zh-CN"/>
              </w:rPr>
              <w:t>原因</w:t>
            </w:r>
            <w:r>
              <w:rPr>
                <w:rFonts w:hint="eastAsia" w:ascii="方正小标宋简体" w:hAnsi="方正小标宋简体" w:eastAsia="方正小标宋简体" w:cs="方正小标宋简体"/>
                <w:sz w:val="32"/>
              </w:rPr>
              <w:t>无法提高容积率的建议</w:t>
            </w:r>
          </w:p>
        </w:tc>
      </w:tr>
      <w:tr>
        <w:tblPrEx>
          <w:tblCellMar>
            <w:top w:w="0" w:type="dxa"/>
            <w:left w:w="108" w:type="dxa"/>
            <w:bottom w:w="0" w:type="dxa"/>
            <w:right w:w="108" w:type="dxa"/>
          </w:tblCellMar>
        </w:tblPrEx>
        <w:trPr>
          <w:trHeight w:val="923" w:hRule="atLeast"/>
          <w:jc w:val="center"/>
        </w:trPr>
        <w:tc>
          <w:tcPr>
            <w:tcW w:w="9336" w:type="dxa"/>
            <w:gridSpan w:val="7"/>
          </w:tcPr>
          <w:p>
            <w:pPr>
              <w:pBdr>
                <w:bottom w:val="single" w:color="339966" w:sz="4" w:space="1"/>
              </w:pBdr>
              <w:spacing w:line="360" w:lineRule="auto"/>
              <w:rPr>
                <w:rFonts w:ascii="仿宋_GB2312" w:eastAsia="仿宋_GB2312"/>
                <w:sz w:val="32"/>
                <w:szCs w:val="32"/>
              </w:rPr>
            </w:pPr>
          </w:p>
        </w:tc>
      </w:tr>
      <w:tr>
        <w:tblPrEx>
          <w:tblCellMar>
            <w:top w:w="0" w:type="dxa"/>
            <w:left w:w="108" w:type="dxa"/>
            <w:bottom w:w="0" w:type="dxa"/>
            <w:right w:w="108" w:type="dxa"/>
          </w:tblCellMar>
        </w:tblPrEx>
        <w:trPr>
          <w:trHeight w:val="1055" w:hRule="atLeast"/>
          <w:jc w:val="center"/>
        </w:trPr>
        <w:tc>
          <w:tcPr>
            <w:tcW w:w="9336" w:type="dxa"/>
            <w:gridSpan w:val="7"/>
          </w:tcPr>
          <w:p>
            <w:pPr>
              <w:spacing w:line="360" w:lineRule="auto"/>
              <w:rPr>
                <w:sz w:val="24"/>
              </w:rPr>
            </w:pPr>
            <w:r>
              <w:rPr>
                <w:rFonts w:hint="eastAsia"/>
                <w:sz w:val="24"/>
              </w:rPr>
              <w:t>请代表选中并打“√”注明</w:t>
            </w:r>
          </w:p>
          <w:p>
            <w:pPr>
              <w:spacing w:line="360" w:lineRule="auto"/>
              <w:jc w:val="left"/>
              <w:rPr>
                <w:sz w:val="24"/>
              </w:rPr>
            </w:pPr>
            <w:r>
              <w:rPr>
                <w:rFonts w:hint="eastAsia"/>
                <w:sz w:val="24"/>
              </w:rPr>
              <w:t>1、</w:t>
            </w:r>
            <w:r>
              <w:rPr>
                <w:rFonts w:hint="eastAsia"/>
                <w:kern w:val="0"/>
                <w:sz w:val="24"/>
              </w:rPr>
              <w:t>此建议是否公开</w:t>
            </w:r>
          </w:p>
        </w:tc>
      </w:tr>
      <w:tr>
        <w:tblPrEx>
          <w:tblCellMar>
            <w:top w:w="0" w:type="dxa"/>
            <w:left w:w="108" w:type="dxa"/>
            <w:bottom w:w="0" w:type="dxa"/>
            <w:right w:w="108" w:type="dxa"/>
          </w:tblCellMar>
        </w:tblPrEx>
        <w:trPr>
          <w:trHeight w:val="612" w:hRule="atLeast"/>
          <w:jc w:val="center"/>
        </w:trPr>
        <w:tc>
          <w:tcPr>
            <w:tcW w:w="9336" w:type="dxa"/>
            <w:gridSpan w:val="7"/>
          </w:tcPr>
          <w:p>
            <w:pPr>
              <w:spacing w:line="360" w:lineRule="auto"/>
              <w:jc w:val="left"/>
              <w:rPr>
                <w:sz w:val="24"/>
              </w:rPr>
            </w:pPr>
            <w:r>
              <w:rPr>
                <w:sz w:val="24"/>
              </w:rPr>
              <mc:AlternateContent>
                <mc:Choice Requires="wpg">
                  <w:drawing>
                    <wp:anchor distT="0" distB="0" distL="114300" distR="114300" simplePos="0" relativeHeight="251659264" behindDoc="0" locked="0" layoutInCell="1" allowOverlap="1">
                      <wp:simplePos x="0" y="0"/>
                      <wp:positionH relativeFrom="column">
                        <wp:posOffset>108585</wp:posOffset>
                      </wp:positionH>
                      <wp:positionV relativeFrom="paragraph">
                        <wp:posOffset>46355</wp:posOffset>
                      </wp:positionV>
                      <wp:extent cx="2428240" cy="3262630"/>
                      <wp:effectExtent l="7620" t="7620" r="17780" b="21590"/>
                      <wp:wrapNone/>
                      <wp:docPr id="14" name="组合 3"/>
                      <wp:cNvGraphicFramePr/>
                      <a:graphic xmlns:a="http://schemas.openxmlformats.org/drawingml/2006/main">
                        <a:graphicData uri="http://schemas.microsoft.com/office/word/2010/wordprocessingGroup">
                          <wpg:wgp>
                            <wpg:cNvGrpSpPr/>
                            <wpg:grpSpPr>
                              <a:xfrm>
                                <a:off x="0" y="0"/>
                                <a:ext cx="2428240" cy="3262630"/>
                                <a:chOff x="3916" y="9100"/>
                                <a:chExt cx="3824" cy="5138"/>
                              </a:xfrm>
                              <a:effectLst/>
                            </wpg:grpSpPr>
                            <wps:wsp>
                              <wps:cNvPr id="11" name="矩形 11"/>
                              <wps:cNvSpPr/>
                              <wps:spPr>
                                <a:xfrm>
                                  <a:off x="5536" y="9100"/>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12" name="矩形 12"/>
                              <wps:cNvSpPr/>
                              <wps:spPr>
                                <a:xfrm>
                                  <a:off x="3961" y="9118"/>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10" name="矩形 10"/>
                              <wps:cNvSpPr/>
                              <wps:spPr>
                                <a:xfrm>
                                  <a:off x="5536" y="9574"/>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13" name="矩形 13"/>
                              <wps:cNvSpPr/>
                              <wps:spPr>
                                <a:xfrm>
                                  <a:off x="5542" y="10060"/>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4" name="矩形 4"/>
                              <wps:cNvSpPr/>
                              <wps:spPr>
                                <a:xfrm>
                                  <a:off x="5542" y="10504"/>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7" name="矩形 7"/>
                              <wps:cNvSpPr/>
                              <wps:spPr>
                                <a:xfrm>
                                  <a:off x="3916" y="11504"/>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9" name="矩形 9"/>
                              <wps:cNvSpPr/>
                              <wps:spPr>
                                <a:xfrm>
                                  <a:off x="7426" y="11537"/>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2" name="矩形 2"/>
                              <wps:cNvSpPr/>
                              <wps:spPr>
                                <a:xfrm>
                                  <a:off x="5521" y="11537"/>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5" name="矩形 5"/>
                              <wps:cNvSpPr/>
                              <wps:spPr>
                                <a:xfrm>
                                  <a:off x="5521" y="12748"/>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1" name="矩形 1"/>
                              <wps:cNvSpPr/>
                              <wps:spPr>
                                <a:xfrm>
                                  <a:off x="7426" y="12748"/>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6" name="矩形 6"/>
                              <wps:cNvSpPr/>
                              <wps:spPr>
                                <a:xfrm>
                                  <a:off x="3916" y="12715"/>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3" name="矩形 3"/>
                              <wps:cNvSpPr/>
                              <wps:spPr>
                                <a:xfrm>
                                  <a:off x="5536" y="13896"/>
                                  <a:ext cx="315" cy="330"/>
                                </a:xfrm>
                                <a:prstGeom prst="rect">
                                  <a:avLst/>
                                </a:prstGeom>
                                <a:noFill/>
                                <a:ln w="15875" cap="flat" cmpd="sng">
                                  <a:solidFill>
                                    <a:srgbClr val="339966"/>
                                  </a:solidFill>
                                  <a:prstDash val="solid"/>
                                  <a:miter/>
                                  <a:headEnd type="none" w="med" len="med"/>
                                  <a:tailEnd type="none" w="med" len="med"/>
                                </a:ln>
                                <a:effectLst/>
                              </wps:spPr>
                              <wps:bodyPr upright="1"/>
                            </wps:wsp>
                            <wps:wsp>
                              <wps:cNvPr id="8" name="矩形 8"/>
                              <wps:cNvSpPr/>
                              <wps:spPr>
                                <a:xfrm>
                                  <a:off x="3931" y="13908"/>
                                  <a:ext cx="315" cy="330"/>
                                </a:xfrm>
                                <a:prstGeom prst="rect">
                                  <a:avLst/>
                                </a:prstGeom>
                                <a:noFill/>
                                <a:ln w="15875" cap="flat" cmpd="sng">
                                  <a:solidFill>
                                    <a:srgbClr val="339966"/>
                                  </a:solidFill>
                                  <a:prstDash val="solid"/>
                                  <a:miter/>
                                  <a:headEnd type="none" w="med" len="med"/>
                                  <a:tailEnd type="none" w="med" len="med"/>
                                </a:ln>
                                <a:effectLst/>
                              </wps:spPr>
                              <wps:bodyPr upright="1"/>
                            </wps:wsp>
                          </wpg:wgp>
                        </a:graphicData>
                      </a:graphic>
                    </wp:anchor>
                  </w:drawing>
                </mc:Choice>
                <mc:Fallback>
                  <w:pict>
                    <v:group id="组合 3" o:spid="_x0000_s1026" o:spt="203" style="position:absolute;left:0pt;margin-left:8.55pt;margin-top:3.65pt;height:256.9pt;width:191.2pt;z-index:251659264;mso-width-relative:page;mso-height-relative:page;" coordorigin="3916,9100" coordsize="3824,5138" o:gfxdata="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">
                      <o:lock v:ext="edit" aspectratio="f"/>
                      <v:rect id="_x0000_s1026" o:spid="_x0000_s1026" o:spt="1" style="position:absolute;left:5536;top:9100;height:330;width:315;" filled="f" stroked="t" coordsize="21600,21600" o:gfxdata="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huYFsugAAANsA&#10;AAAPAAAAAAAAAAEAIAAAACIAAABkcnMvZG93bnJldi54bWxQSwECFAAUAAAACACHTuJAMy8FnjsA&#10;AAA5AAAAEAAAAAAAAAABACAAAAAJAQAAZHJzL3NoYXBleG1sLnhtbFBLBQYAAAAABgAGAFsBAACz&#10;AwAAAAA=&#10;">
                        <v:fill on="f" focussize="0,0"/>
                        <v:stroke weight="1.25pt" color="#339966" joinstyle="miter"/>
                        <v:imagedata o:title=""/>
                        <o:lock v:ext="edit" aspectratio="f"/>
                      </v:rect>
                      <v:rect id="_x0000_s1026" o:spid="_x0000_s1026" o:spt="1" style="position:absolute;left:3961;top:9118;height:330;width:315;" filled="f" stroked="t" coordsize="21600,21600" o:gfxdata="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rHxu5AAAA2wAA&#10;AA8AAAAAAAAAAQAgAAAAIgAAAGRycy9kb3ducmV2LnhtbFBLAQIUABQAAAAIAIdO4kAzLwWeOwAA&#10;ADkAAAAQAAAAAAAAAAEAIAAAAAgBAABkcnMvc2hhcGV4bWwueG1sUEsFBgAAAAAGAAYAWwEAALID&#10;AAAAAA==&#10;">
                        <v:fill on="f" focussize="0,0"/>
                        <v:stroke weight="1.25pt" color="#339966" joinstyle="miter"/>
                        <v:imagedata o:title=""/>
                        <o:lock v:ext="edit" aspectratio="f"/>
                      </v:rect>
                      <v:rect id="_x0000_s1026" o:spid="_x0000_s1026" o:spt="1" style="position:absolute;left:5536;top:9574;height:330;width:315;" filled="f" stroked="t" coordsize="21600,21600" o:gfxdata="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9ST3vQAA&#10;ANsAAAAPAAAAAAAAAAEAIAAAACIAAABkcnMvZG93bnJldi54bWxQSwECFAAUAAAACACHTuJAMy8F&#10;njsAAAA5AAAAEAAAAAAAAAABACAAAAAMAQAAZHJzL3NoYXBleG1sLnhtbFBLBQYAAAAABgAGAFsB&#10;AAC2AwAAAAA=&#10;">
                        <v:fill on="f" focussize="0,0"/>
                        <v:stroke weight="1.25pt" color="#339966" joinstyle="miter"/>
                        <v:imagedata o:title=""/>
                        <o:lock v:ext="edit" aspectratio="f"/>
                      </v:rect>
                      <v:rect id="_x0000_s1026" o:spid="_x0000_s1026" o:spt="1" style="position:absolute;left:5542;top:10060;height:330;width:315;" filled="f" stroked="t" coordsize="21600,21600" o:gfxdata="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4nuoC5AAAA2wAA&#10;AA8AAAAAAAAAAQAgAAAAIgAAAGRycy9kb3ducmV2LnhtbFBLAQIUABQAAAAIAIdO4kAzLwWeOwAA&#10;ADkAAAAQAAAAAAAAAAEAIAAAAAgBAABkcnMvc2hhcGV4bWwueG1sUEsFBgAAAAAGAAYAWwEAALID&#10;AAAAAA==&#10;">
                        <v:fill on="f" focussize="0,0"/>
                        <v:stroke weight="1.25pt" color="#339966" joinstyle="miter"/>
                        <v:imagedata o:title=""/>
                        <o:lock v:ext="edit" aspectratio="f"/>
                      </v:rect>
                      <v:rect id="_x0000_s1026" o:spid="_x0000_s1026" o:spt="1" style="position:absolute;left:5542;top:10504;height:330;width:315;" filled="f" stroked="t" coordsize="21600,21600" o:gfxdata="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Wbe28AAAA&#10;2gAAAA8AAAAAAAAAAQAgAAAAIgAAAGRycy9kb3ducmV2LnhtbFBLAQIUABQAAAAIAIdO4kAzLwWe&#10;OwAAADkAAAAQAAAAAAAAAAEAIAAAAAsBAABkcnMvc2hhcGV4bWwueG1sUEsFBgAAAAAGAAYAWwEA&#10;ALUDAAAAAA==&#10;">
                        <v:fill on="f" focussize="0,0"/>
                        <v:stroke weight="1.25pt" color="#339966" joinstyle="miter"/>
                        <v:imagedata o:title=""/>
                        <o:lock v:ext="edit" aspectratio="f"/>
                      </v:rect>
                      <v:rect id="_x0000_s1026" o:spid="_x0000_s1026" o:spt="1" style="position:absolute;left:3916;top:11504;height:330;width:315;" filled="f" stroked="t" coordsize="21600,21600" o:gfxdata="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kTzmrsAAADa&#10;AAAADwAAAAAAAAABACAAAAAiAAAAZHJzL2Rvd25yZXYueG1sUEsBAhQAFAAAAAgAh07iQDMvBZ47&#10;AAAAOQAAABAAAAAAAAAAAQAgAAAACgEAAGRycy9zaGFwZXhtbC54bWxQSwUGAAAAAAYABgBbAQAA&#10;tAMAAAAA&#10;">
                        <v:fill on="f" focussize="0,0"/>
                        <v:stroke weight="1.25pt" color="#339966" joinstyle="miter"/>
                        <v:imagedata o:title=""/>
                        <o:lock v:ext="edit" aspectratio="f"/>
                      </v:rect>
                      <v:rect id="_x0000_s1026" o:spid="_x0000_s1026" o:spt="1" style="position:absolute;left:7426;top:11537;height:330;width:315;" filled="f" stroked="t" coordsize="21600,21600" o:gfxdata="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yXwnO8AAAA&#10;2gAAAA8AAAAAAAAAAQAgAAAAIgAAAGRycy9kb3ducmV2LnhtbFBLAQIUABQAAAAIAIdO4kAzLwWe&#10;OwAAADkAAAAQAAAAAAAAAAEAIAAAAAsBAABkcnMvc2hhcGV4bWwueG1sUEsFBgAAAAAGAAYAWwEA&#10;ALUDAAAAAA==&#10;">
                        <v:fill on="f" focussize="0,0"/>
                        <v:stroke weight="1.25pt" color="#339966" joinstyle="miter"/>
                        <v:imagedata o:title=""/>
                        <o:lock v:ext="edit" aspectratio="f"/>
                      </v:rect>
                      <v:rect id="_x0000_s1026" o:spid="_x0000_s1026" o:spt="1" style="position:absolute;left:5521;top:11537;height:330;width:315;" filled="f" stroked="t" coordsize="21600,21600" o:gfxdata="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jNQArsAAADa&#10;AAAADwAAAAAAAAABACAAAAAiAAAAZHJzL2Rvd25yZXYueG1sUEsBAhQAFAAAAAgAh07iQDMvBZ47&#10;AAAAOQAAABAAAAAAAAAAAQAgAAAACgEAAGRycy9zaGFwZXhtbC54bWxQSwUGAAAAAAYABgBbAQAA&#10;tAMAAAAA&#10;">
                        <v:fill on="f" focussize="0,0"/>
                        <v:stroke weight="1.25pt" color="#339966" joinstyle="miter"/>
                        <v:imagedata o:title=""/>
                        <o:lock v:ext="edit" aspectratio="f"/>
                      </v:rect>
                      <v:rect id="_x0000_s1026" o:spid="_x0000_s1026" o:spt="1" style="position:absolute;left:5521;top:12748;height:330;width:315;" filled="f" stroked="t" coordsize="21600,21600" o:gfxdata="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drIdrsAAADa&#10;AAAADwAAAAAAAAABACAAAAAiAAAAZHJzL2Rvd25yZXYueG1sUEsBAhQAFAAAAAgAh07iQDMvBZ47&#10;AAAAOQAAABAAAAAAAAAAAQAgAAAACgEAAGRycy9zaGFwZXhtbC54bWxQSwUGAAAAAAYABgBbAQAA&#10;tAMAAAAA&#10;">
                        <v:fill on="f" focussize="0,0"/>
                        <v:stroke weight="1.25pt" color="#339966" joinstyle="miter"/>
                        <v:imagedata o:title=""/>
                        <o:lock v:ext="edit" aspectratio="f"/>
                      </v:rect>
                      <v:rect id="_x0000_s1026" o:spid="_x0000_s1026" o:spt="1" style="position:absolute;left:7426;top:12748;height:330;width:315;" filled="f" stroked="t" coordsize="21600,21600" o:gfxdata="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uHOdbgAAADaAAAA&#10;DwAAAAAAAAABACAAAAAiAAAAZHJzL2Rvd25yZXYueG1sUEsBAhQAFAAAAAgAh07iQDMvBZ47AAAA&#10;OQAAABAAAAAAAAAAAQAgAAAABwEAAGRycy9zaGFwZXhtbC54bWxQSwUGAAAAAAYABgBbAQAAsQMA&#10;AAAA&#10;">
                        <v:fill on="f" focussize="0,0"/>
                        <v:stroke weight="1.25pt" color="#339966" joinstyle="miter"/>
                        <v:imagedata o:title=""/>
                        <o:lock v:ext="edit" aspectratio="f"/>
                      </v:rect>
                      <v:rect id="_x0000_s1026" o:spid="_x0000_s1026" o:spt="1" style="position:absolute;left:3916;top:12715;height:330;width:315;" filled="f" stroked="t" coordsize="21600,21600" o:gfxdata="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0IVgG8AAAA&#10;2gAAAA8AAAAAAAAAAQAgAAAAIgAAAGRycy9kb3ducmV2LnhtbFBLAQIUABQAAAAIAIdO4kAzLwWe&#10;OwAAADkAAAAQAAAAAAAAAAEAIAAAAAsBAABkcnMvc2hhcGV4bWwueG1sUEsFBgAAAAAGAAYAWwEA&#10;ALUDAAAAAA==&#10;">
                        <v:fill on="f" focussize="0,0"/>
                        <v:stroke weight="1.25pt" color="#339966" joinstyle="miter"/>
                        <v:imagedata o:title=""/>
                        <o:lock v:ext="edit" aspectratio="f"/>
                      </v:rect>
                      <v:rect id="_x0000_s1026" o:spid="_x0000_s1026" o:spt="1" style="position:absolute;left:5536;top:13896;height:330;width:315;" filled="f" stroked="t" coordsize="21600,21600" o:gfxdata="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X/1mbsAAADa&#10;AAAADwAAAAAAAAABACAAAAAiAAAAZHJzL2Rvd25yZXYueG1sUEsBAhQAFAAAAAgAh07iQDMvBZ47&#10;AAAAOQAAABAAAAAAAAAAAQAgAAAACgEAAGRycy9zaGFwZXhtbC54bWxQSwUGAAAAAAYABgBbAQAA&#10;tAMAAAAA&#10;">
                        <v:fill on="f" focussize="0,0"/>
                        <v:stroke weight="1.25pt" color="#339966" joinstyle="miter"/>
                        <v:imagedata o:title=""/>
                        <o:lock v:ext="edit" aspectratio="f"/>
                      </v:rect>
                      <v:rect id="_x0000_s1026" o:spid="_x0000_s1026" o:spt="1" style="position:absolute;left:3931;top:13908;height:330;width:315;" filled="f" stroked="t" coordsize="21600,21600" o:gfxdata="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9tn6LgAAADaAAAA&#10;DwAAAAAAAAABACAAAAAiAAAAZHJzL2Rvd25yZXYueG1sUEsBAhQAFAAAAAgAh07iQDMvBZ47AAAA&#10;OQAAABAAAAAAAAAAAQAgAAAABwEAAGRycy9zaGFwZXhtbC54bWxQSwUGAAAAAAYABgBbAQAAsQMA&#10;AAAA&#10;">
                        <v:fill on="f" focussize="0,0"/>
                        <v:stroke weight="1.25pt" color="#339966" joinstyle="miter"/>
                        <v:imagedata o:title=""/>
                        <o:lock v:ext="edit" aspectratio="f"/>
                      </v:rect>
                    </v:group>
                  </w:pict>
                </mc:Fallback>
              </mc:AlternateContent>
            </w:r>
            <w:r>
              <w:rPr>
                <w:rFonts w:hint="eastAsia"/>
                <w:sz w:val="24"/>
              </w:rPr>
              <w:t xml:space="preserve">  </w:t>
            </w:r>
            <w:r>
              <w:rPr>
                <w:rFonts w:hint="default" w:ascii="Arial" w:hAnsi="Arial" w:cs="Arial"/>
                <w:sz w:val="24"/>
              </w:rPr>
              <w:t>√</w:t>
            </w:r>
            <w:r>
              <w:rPr>
                <w:rFonts w:hint="eastAsia"/>
                <w:sz w:val="24"/>
              </w:rPr>
              <w:t xml:space="preserve"> 公开         不公开（不公开请填写理由） </w:t>
            </w:r>
          </w:p>
          <w:p>
            <w:pPr>
              <w:spacing w:line="360" w:lineRule="auto"/>
              <w:jc w:val="left"/>
              <w:rPr>
                <w:sz w:val="24"/>
              </w:rPr>
            </w:pPr>
            <w:r>
              <w:rPr>
                <w:rFonts w:hint="eastAsia"/>
                <w:sz w:val="24"/>
              </w:rPr>
              <w:t xml:space="preserve">  不公开理由：    涉及国家秘密、商业秘密和个人隐私；</w:t>
            </w:r>
          </w:p>
          <w:p>
            <w:pPr>
              <w:spacing w:line="360" w:lineRule="auto"/>
              <w:jc w:val="left"/>
              <w:rPr>
                <w:sz w:val="24"/>
              </w:rPr>
            </w:pPr>
            <w:r>
              <w:rPr>
                <w:rFonts w:hint="eastAsia"/>
                <w:sz w:val="24"/>
              </w:rPr>
              <w:t xml:space="preserve">                  公开可能危害国家安全公共安全、经济利益和社会稳定； </w:t>
            </w:r>
          </w:p>
          <w:p>
            <w:pPr>
              <w:spacing w:line="360" w:lineRule="auto"/>
              <w:jc w:val="left"/>
              <w:rPr>
                <w:sz w:val="24"/>
              </w:rPr>
            </w:pPr>
            <w:r>
              <w:rPr>
                <w:rFonts w:hint="eastAsia"/>
                <w:sz w:val="24"/>
              </w:rPr>
              <w:t xml:space="preserve">                  其他原因（请填写）：</w:t>
            </w:r>
            <w:r>
              <w:rPr>
                <w:rFonts w:hint="eastAsia"/>
                <w:sz w:val="24"/>
                <w:u w:val="single"/>
              </w:rPr>
              <w:t xml:space="preserve">                              </w:t>
            </w:r>
            <w:r>
              <w:rPr>
                <w:rFonts w:hint="eastAsia"/>
                <w:sz w:val="24"/>
              </w:rPr>
              <w:t xml:space="preserve"> </w:t>
            </w:r>
          </w:p>
        </w:tc>
      </w:tr>
      <w:tr>
        <w:tblPrEx>
          <w:tblCellMar>
            <w:top w:w="0" w:type="dxa"/>
            <w:left w:w="108" w:type="dxa"/>
            <w:bottom w:w="0" w:type="dxa"/>
            <w:right w:w="108" w:type="dxa"/>
          </w:tblCellMar>
        </w:tblPrEx>
        <w:trPr>
          <w:trHeight w:val="547" w:hRule="atLeast"/>
          <w:jc w:val="center"/>
        </w:trPr>
        <w:tc>
          <w:tcPr>
            <w:tcW w:w="9336" w:type="dxa"/>
            <w:gridSpan w:val="7"/>
          </w:tcPr>
          <w:p>
            <w:pPr>
              <w:spacing w:line="360" w:lineRule="auto"/>
              <w:rPr>
                <w:sz w:val="24"/>
              </w:rPr>
            </w:pPr>
            <w:r>
              <w:rPr>
                <w:rFonts w:hint="eastAsia"/>
                <w:sz w:val="24"/>
              </w:rPr>
              <w:t>2、此建议来源</w:t>
            </w:r>
          </w:p>
        </w:tc>
      </w:tr>
      <w:tr>
        <w:tblPrEx>
          <w:tblCellMar>
            <w:top w:w="0" w:type="dxa"/>
            <w:left w:w="108" w:type="dxa"/>
            <w:bottom w:w="0" w:type="dxa"/>
            <w:right w:w="108" w:type="dxa"/>
          </w:tblCellMar>
        </w:tblPrEx>
        <w:trPr>
          <w:trHeight w:val="676" w:hRule="atLeast"/>
          <w:jc w:val="center"/>
        </w:trPr>
        <w:tc>
          <w:tcPr>
            <w:tcW w:w="9336" w:type="dxa"/>
            <w:gridSpan w:val="7"/>
          </w:tcPr>
          <w:p>
            <w:pPr>
              <w:spacing w:line="360" w:lineRule="auto"/>
              <w:jc w:val="left"/>
              <w:rPr>
                <w:sz w:val="24"/>
                <w:u w:val="single"/>
              </w:rPr>
            </w:pPr>
            <w:r>
              <w:rPr>
                <w:rFonts w:hint="eastAsia"/>
                <w:sz w:val="24"/>
              </w:rPr>
              <w:t xml:space="preserve">     视察         专题调研        其他方式（请填写）</w:t>
            </w:r>
            <w:r>
              <w:rPr>
                <w:rFonts w:hint="eastAsia"/>
                <w:sz w:val="24"/>
                <w:u w:val="single"/>
              </w:rPr>
              <w:t xml:space="preserve">               </w:t>
            </w:r>
          </w:p>
        </w:tc>
      </w:tr>
      <w:tr>
        <w:tblPrEx>
          <w:tblCellMar>
            <w:top w:w="0" w:type="dxa"/>
            <w:left w:w="108" w:type="dxa"/>
            <w:bottom w:w="0" w:type="dxa"/>
            <w:right w:w="108" w:type="dxa"/>
          </w:tblCellMar>
        </w:tblPrEx>
        <w:trPr>
          <w:trHeight w:val="528" w:hRule="atLeast"/>
          <w:jc w:val="center"/>
        </w:trPr>
        <w:tc>
          <w:tcPr>
            <w:tcW w:w="9336" w:type="dxa"/>
            <w:gridSpan w:val="7"/>
          </w:tcPr>
          <w:p>
            <w:pPr>
              <w:spacing w:line="360" w:lineRule="auto"/>
              <w:rPr>
                <w:sz w:val="24"/>
              </w:rPr>
            </w:pPr>
            <w:r>
              <w:rPr>
                <w:rFonts w:hint="eastAsia"/>
                <w:sz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6" w:type="dxa"/>
            <w:gridSpan w:val="7"/>
          </w:tcPr>
          <w:p>
            <w:pPr>
              <w:spacing w:line="360" w:lineRule="auto"/>
              <w:jc w:val="left"/>
              <w:rPr>
                <w:sz w:val="24"/>
              </w:rPr>
            </w:pPr>
            <w:r>
              <w:rPr>
                <w:rFonts w:hint="eastAsia"/>
                <w:sz w:val="24"/>
              </w:rPr>
              <w:t xml:space="preserve">     是           否              未详</w:t>
            </w:r>
          </w:p>
        </w:tc>
      </w:tr>
      <w:tr>
        <w:tblPrEx>
          <w:tblCellMar>
            <w:top w:w="0" w:type="dxa"/>
            <w:left w:w="108" w:type="dxa"/>
            <w:bottom w:w="0" w:type="dxa"/>
            <w:right w:w="108" w:type="dxa"/>
          </w:tblCellMar>
        </w:tblPrEx>
        <w:trPr>
          <w:trHeight w:val="527" w:hRule="atLeast"/>
          <w:jc w:val="center"/>
        </w:trPr>
        <w:tc>
          <w:tcPr>
            <w:tcW w:w="9336" w:type="dxa"/>
            <w:gridSpan w:val="7"/>
          </w:tcPr>
          <w:p>
            <w:pPr>
              <w:spacing w:line="360" w:lineRule="auto"/>
              <w:rPr>
                <w:sz w:val="24"/>
              </w:rPr>
            </w:pPr>
            <w:r>
              <w:rPr>
                <w:rFonts w:hint="eastAsia"/>
                <w:sz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6" w:type="dxa"/>
            <w:gridSpan w:val="7"/>
          </w:tcPr>
          <w:p>
            <w:pPr>
              <w:spacing w:line="360" w:lineRule="auto"/>
              <w:rPr>
                <w:sz w:val="24"/>
              </w:rPr>
            </w:pPr>
            <w:r>
              <w:rPr>
                <w:rFonts w:hint="eastAsia"/>
                <w:sz w:val="24"/>
              </w:rPr>
              <w:t xml:space="preserve">     是           否</w:t>
            </w:r>
          </w:p>
        </w:tc>
      </w:tr>
    </w:tbl>
    <w:p>
      <w:pPr>
        <w:pStyle w:val="6"/>
        <w:pBdr>
          <w:top w:val="single" w:color="auto" w:sz="6" w:space="0"/>
        </w:pBdr>
        <w:jc w:val="both"/>
        <w:rPr>
          <w:b/>
          <w:bCs/>
          <w:vanish w:val="0"/>
          <w:spacing w:val="12"/>
          <w:sz w:val="18"/>
          <w:szCs w:val="18"/>
        </w:rPr>
      </w:pPr>
      <w:r>
        <w:rPr>
          <w:rFonts w:hint="eastAsia"/>
          <w:b/>
          <w:bCs/>
          <w:vanish w:val="0"/>
          <w:spacing w:val="12"/>
          <w:sz w:val="18"/>
          <w:szCs w:val="18"/>
        </w:rPr>
        <w:t>注：提交书面建议时请附上电子文本。</w:t>
      </w:r>
    </w:p>
    <w:p>
      <w:pPr>
        <w:rPr>
          <w:rFonts w:ascii="仿宋_GB2312" w:eastAsia="仿宋_GB2312"/>
          <w:b/>
          <w:bCs/>
          <w:sz w:val="30"/>
          <w:szCs w:val="30"/>
        </w:rPr>
      </w:pPr>
    </w:p>
    <w:p>
      <w:pPr>
        <w:rPr>
          <w:rFonts w:ascii="仿宋_GB2312" w:eastAsia="仿宋_GB2312"/>
          <w:b w:val="0"/>
          <w:bCs w:val="0"/>
          <w:sz w:val="30"/>
          <w:szCs w:val="30"/>
        </w:rPr>
      </w:pPr>
      <w:r>
        <w:rPr>
          <w:rFonts w:hint="eastAsia" w:ascii="仿宋_GB2312" w:eastAsia="仿宋_GB2312"/>
          <w:b w:val="0"/>
          <w:bCs w:val="0"/>
          <w:sz w:val="30"/>
          <w:szCs w:val="30"/>
        </w:rPr>
        <w:t>正文内容：</w:t>
      </w:r>
    </w:p>
    <w:p>
      <w:pPr>
        <w:numPr>
          <w:ilvl w:val="0"/>
          <w:numId w:val="1"/>
        </w:num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现状及背景</w:t>
      </w:r>
    </w:p>
    <w:p>
      <w:pPr>
        <w:spacing w:line="560" w:lineRule="exact"/>
        <w:ind w:firstLine="640" w:firstLineChars="200"/>
        <w:rPr>
          <w:rFonts w:eastAsia="仿宋_GB2312"/>
          <w:sz w:val="32"/>
          <w:szCs w:val="32"/>
        </w:rPr>
      </w:pPr>
      <w:r>
        <w:rPr>
          <w:rFonts w:hint="eastAsia" w:eastAsia="仿宋_GB2312"/>
          <w:sz w:val="32"/>
          <w:szCs w:val="32"/>
        </w:rPr>
        <w:t>2022年12月30番禺区政府出台《番禺区存量国有普通工业用地提高容积率工作指引》（番府办</w:t>
      </w:r>
      <w:r>
        <w:rPr>
          <w:rFonts w:hint="eastAsia" w:ascii="仿宋_GB2312" w:hAnsi="仿宋_GB2312" w:eastAsia="仿宋_GB2312" w:cs="仿宋_GB2312"/>
          <w:sz w:val="32"/>
          <w:szCs w:val="32"/>
        </w:rPr>
        <w:t>〔</w:t>
      </w:r>
      <w:r>
        <w:rPr>
          <w:rFonts w:hint="eastAsia" w:eastAsia="仿宋_GB2312"/>
          <w:sz w:val="32"/>
          <w:szCs w:val="32"/>
        </w:rPr>
        <w:t>2022</w:t>
      </w:r>
      <w:r>
        <w:rPr>
          <w:rFonts w:hint="eastAsia" w:ascii="仿宋_GB2312" w:hAnsi="仿宋_GB2312" w:eastAsia="仿宋_GB2312" w:cs="仿宋_GB2312"/>
          <w:sz w:val="32"/>
          <w:szCs w:val="32"/>
        </w:rPr>
        <w:t>〕</w:t>
      </w:r>
      <w:r>
        <w:rPr>
          <w:rFonts w:hint="eastAsia" w:eastAsia="仿宋_GB2312"/>
          <w:sz w:val="32"/>
          <w:szCs w:val="32"/>
        </w:rPr>
        <w:t>56号</w:t>
      </w:r>
      <w:r>
        <w:rPr>
          <w:rFonts w:hint="eastAsia" w:eastAsia="仿宋_GB2312"/>
          <w:sz w:val="32"/>
          <w:szCs w:val="32"/>
          <w:lang w:eastAsia="zh-CN"/>
        </w:rPr>
        <w:t>，</w:t>
      </w:r>
      <w:r>
        <w:rPr>
          <w:rFonts w:hint="eastAsia" w:eastAsia="仿宋_GB2312"/>
          <w:sz w:val="32"/>
          <w:szCs w:val="32"/>
        </w:rPr>
        <w:t>以下简称《指引》），鼓励将存量工业用地提高容积率，加快推进存量工业用地高质量发展，扩大生产、增加产能，充分发挥土地要素在工业经济发展中的重要支撑作用。许多用地业主单位希望在客观条件及政策允许下对地块进行产业升级，提升容积率，助力工业经济高质量发展。</w:t>
      </w:r>
    </w:p>
    <w:p>
      <w:pPr>
        <w:numPr>
          <w:ilvl w:val="0"/>
          <w:numId w:val="1"/>
        </w:num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提出问题</w:t>
      </w:r>
    </w:p>
    <w:p>
      <w:pPr>
        <w:spacing w:line="300" w:lineRule="auto"/>
        <w:ind w:firstLine="640" w:firstLineChars="200"/>
        <w:rPr>
          <w:rFonts w:ascii="仿宋_GB2312" w:eastAsia="仿宋_GB2312"/>
          <w:sz w:val="32"/>
          <w:szCs w:val="32"/>
        </w:rPr>
      </w:pPr>
      <w:r>
        <w:rPr>
          <w:rFonts w:hint="eastAsia" w:ascii="仿宋_GB2312" w:eastAsia="仿宋_GB2312"/>
          <w:sz w:val="32"/>
          <w:szCs w:val="32"/>
        </w:rPr>
        <w:t>部分</w:t>
      </w:r>
      <w:r>
        <w:rPr>
          <w:rFonts w:hint="eastAsia" w:eastAsia="仿宋_GB2312"/>
          <w:sz w:val="32"/>
          <w:szCs w:val="32"/>
        </w:rPr>
        <w:t>国有普通工业用地的业主虽然</w:t>
      </w:r>
      <w:r>
        <w:rPr>
          <w:rFonts w:hint="eastAsia" w:ascii="仿宋_GB2312" w:eastAsia="仿宋_GB2312"/>
          <w:sz w:val="32"/>
          <w:szCs w:val="32"/>
        </w:rPr>
        <w:t>提高容积率的意愿非常强烈，却因为控规问题无法提容。例如，南村镇鹤溪路4-1号地块用地单位积极响应政府号召积极提出申请，却碰到以下情况：</w:t>
      </w:r>
    </w:p>
    <w:p>
      <w:pPr>
        <w:numPr>
          <w:ilvl w:val="0"/>
          <w:numId w:val="2"/>
        </w:numPr>
        <w:spacing w:line="300" w:lineRule="auto"/>
        <w:ind w:firstLine="640" w:firstLineChars="200"/>
        <w:rPr>
          <w:rFonts w:hint="eastAsia" w:eastAsia="仿宋_GB2312"/>
          <w:sz w:val="32"/>
          <w:szCs w:val="32"/>
        </w:rPr>
      </w:pPr>
      <w:r>
        <w:rPr>
          <w:rFonts w:hint="eastAsia" w:ascii="仿宋_GB2312" w:eastAsia="仿宋_GB2312"/>
          <w:sz w:val="32"/>
          <w:szCs w:val="32"/>
        </w:rPr>
        <w:t>此地块于1999年办理国有土地证，当时土地性质及用途为工业用地，</w:t>
      </w:r>
      <w:r>
        <w:rPr>
          <w:rFonts w:hint="eastAsia" w:eastAsia="仿宋_GB2312"/>
          <w:sz w:val="32"/>
          <w:szCs w:val="32"/>
        </w:rPr>
        <w:t>此地块符合《指引》第一条“本工作指引适用于我区内存量国有普通工业用地（M1、M2、M3）因用地主体自身扩大生产、增加产能，或用地主体将项目地块作为制造业园区开发建设运营，引入优质企业集聚发展，需要提高自有工业用地容积率（以下简称提容）的实施和管理。政府储备的工业用地不纳入本工作指引</w:t>
      </w:r>
      <w:r>
        <w:rPr>
          <w:rFonts w:hint="eastAsia" w:eastAsia="仿宋_GB2312"/>
          <w:sz w:val="32"/>
          <w:szCs w:val="32"/>
          <w:lang w:eastAsia="zh-CN"/>
        </w:rPr>
        <w:t>”</w:t>
      </w:r>
      <w:r>
        <w:rPr>
          <w:rFonts w:hint="eastAsia" w:eastAsia="仿宋_GB2312"/>
          <w:sz w:val="32"/>
          <w:szCs w:val="32"/>
        </w:rPr>
        <w:t>，根据《指引》可把地块提高相应的容积率到4.0。</w:t>
      </w:r>
    </w:p>
    <w:p>
      <w:pPr>
        <w:numPr>
          <w:ilvl w:val="0"/>
          <w:numId w:val="2"/>
        </w:numPr>
        <w:spacing w:line="300" w:lineRule="auto"/>
        <w:ind w:firstLine="640" w:firstLineChars="200"/>
        <w:rPr>
          <w:rFonts w:eastAsia="仿宋_GB2312"/>
          <w:sz w:val="32"/>
          <w:szCs w:val="32"/>
        </w:rPr>
      </w:pPr>
      <w:r>
        <w:rPr>
          <w:rFonts w:hint="eastAsia" w:ascii="仿宋_GB2312" w:eastAsia="仿宋_GB2312"/>
          <w:sz w:val="32"/>
          <w:szCs w:val="32"/>
        </w:rPr>
        <w:t>虽然该地块土规为工业性质用地，同时也符合《指引》的第二条准入条件，项目地块权属清晰，并且真正用于工业项目。但在用地业主单位不知情的情况下，现控规调整为村民居住用地（E61），现控规与原购买土地时的工业用地不一致，导致无法按照《指引》提高容积率。如对地块进行重新报建和提高容积率，必须进行控规调整，将用地性质调整回原来购买时的工业用地。</w:t>
      </w:r>
    </w:p>
    <w:p>
      <w:pPr>
        <w:numPr>
          <w:ilvl w:val="0"/>
          <w:numId w:val="2"/>
        </w:numPr>
        <w:spacing w:line="300" w:lineRule="auto"/>
        <w:ind w:firstLine="640" w:firstLineChars="200"/>
        <w:rPr>
          <w:rFonts w:ascii="仿宋_GB2312" w:hAnsi="宋体" w:eastAsia="仿宋_GB2312"/>
          <w:kern w:val="0"/>
          <w:sz w:val="32"/>
          <w:szCs w:val="32"/>
        </w:rPr>
      </w:pPr>
      <w:r>
        <w:rPr>
          <w:rFonts w:hint="eastAsia" w:ascii="仿宋_GB2312" w:eastAsia="仿宋_GB2312"/>
          <w:sz w:val="32"/>
          <w:szCs w:val="32"/>
        </w:rPr>
        <w:t>经了解，如要完成控规调整，时间长、难度大，致使用地单位无法</w:t>
      </w:r>
      <w:r>
        <w:rPr>
          <w:rFonts w:hint="eastAsia" w:ascii="仿宋_GB2312" w:eastAsia="仿宋_GB2312"/>
          <w:sz w:val="32"/>
          <w:szCs w:val="32"/>
          <w:lang w:val="en-US" w:eastAsia="zh-CN"/>
        </w:rPr>
        <w:t>提高容积率、</w:t>
      </w:r>
      <w:r>
        <w:rPr>
          <w:rFonts w:hint="eastAsia" w:ascii="仿宋_GB2312" w:eastAsia="仿宋_GB2312"/>
          <w:sz w:val="32"/>
          <w:szCs w:val="32"/>
        </w:rPr>
        <w:t>增加产能，实</w:t>
      </w:r>
      <w:r>
        <w:rPr>
          <w:rFonts w:hint="eastAsia" w:ascii="仿宋_GB2312" w:eastAsia="仿宋_GB2312"/>
          <w:sz w:val="32"/>
          <w:szCs w:val="32"/>
          <w:lang w:val="en-US" w:eastAsia="zh-CN"/>
        </w:rPr>
        <w:t>行</w:t>
      </w:r>
      <w:r>
        <w:rPr>
          <w:rFonts w:hint="eastAsia" w:ascii="仿宋_GB2312" w:eastAsia="仿宋_GB2312"/>
          <w:sz w:val="32"/>
          <w:szCs w:val="32"/>
        </w:rPr>
        <w:t>产业升级。</w:t>
      </w:r>
    </w:p>
    <w:p>
      <w:pPr>
        <w:spacing w:line="300" w:lineRule="auto"/>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三、意见建议</w:t>
      </w:r>
    </w:p>
    <w:p>
      <w:pPr>
        <w:ind w:firstLine="640" w:firstLineChars="200"/>
        <w:rPr>
          <w:rFonts w:ascii="仿宋" w:hAnsi="仿宋" w:eastAsia="仿宋" w:cs="仿宋"/>
          <w:sz w:val="32"/>
          <w:szCs w:val="32"/>
        </w:rPr>
      </w:pPr>
      <w:r>
        <w:rPr>
          <w:rFonts w:hint="eastAsia" w:ascii="仿宋_GB2312" w:eastAsia="仿宋_GB2312"/>
          <w:sz w:val="32"/>
          <w:szCs w:val="32"/>
        </w:rPr>
        <w:t>鉴于南村镇鹤溪路4-1号地块土地性质和现控规性质不一致的情况存在普遍性，希望区有关部门统筹收集有关</w:t>
      </w:r>
      <w:r>
        <w:rPr>
          <w:rFonts w:hint="eastAsia" w:ascii="仿宋_GB2312" w:eastAsia="仿宋_GB2312"/>
          <w:sz w:val="32"/>
          <w:szCs w:val="32"/>
          <w:lang w:eastAsia="zh-CN"/>
        </w:rPr>
        <w:t>情况</w:t>
      </w:r>
      <w:r>
        <w:rPr>
          <w:rFonts w:hint="eastAsia" w:ascii="仿宋_GB2312" w:eastAsia="仿宋_GB2312"/>
          <w:sz w:val="32"/>
          <w:szCs w:val="32"/>
        </w:rPr>
        <w:t>向市有关部门反映，协调解决相关问题，加快工业用地提容的工作进度，助力经济高质量发展。</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p>
    <w:p>
      <w:pPr>
        <w:pStyle w:val="3"/>
        <w:ind w:left="0" w:leftChars="0"/>
        <w:rPr>
          <w:rFonts w:ascii="仿宋" w:hAnsi="仿宋" w:eastAsia="仿宋" w:cs="仿宋"/>
          <w:sz w:val="32"/>
          <w:szCs w:val="32"/>
        </w:rPr>
      </w:pPr>
    </w:p>
    <w:p>
      <w:pPr>
        <w:rPr>
          <w:rFonts w:ascii="仿宋" w:hAnsi="仿宋" w:eastAsia="仿宋" w:cs="仿宋"/>
          <w:sz w:val="32"/>
          <w:szCs w:val="32"/>
        </w:rPr>
      </w:pPr>
    </w:p>
    <w:p>
      <w:pPr>
        <w:pStyle w:val="2"/>
        <w:rPr>
          <w:rFonts w:ascii="仿宋" w:hAnsi="仿宋" w:eastAsia="仿宋" w:cs="仿宋"/>
          <w:sz w:val="32"/>
          <w:szCs w:val="32"/>
        </w:r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D17309"/>
    <w:multiLevelType w:val="singleLevel"/>
    <w:tmpl w:val="83D17309"/>
    <w:lvl w:ilvl="0" w:tentative="0">
      <w:start w:val="1"/>
      <w:numFmt w:val="decimal"/>
      <w:suff w:val="nothing"/>
      <w:lvlText w:val="%1、"/>
      <w:lvlJc w:val="left"/>
    </w:lvl>
  </w:abstractNum>
  <w:abstractNum w:abstractNumId="1">
    <w:nsid w:val="3021D88E"/>
    <w:multiLevelType w:val="singleLevel"/>
    <w:tmpl w:val="3021D88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9C71C7"/>
    <w:rsid w:val="00626CB4"/>
    <w:rsid w:val="0067717D"/>
    <w:rsid w:val="009969DC"/>
    <w:rsid w:val="00B23F97"/>
    <w:rsid w:val="00E64E13"/>
    <w:rsid w:val="08A818F4"/>
    <w:rsid w:val="0ED770A4"/>
    <w:rsid w:val="16637DDE"/>
    <w:rsid w:val="1E245A68"/>
    <w:rsid w:val="25976C76"/>
    <w:rsid w:val="26422AEE"/>
    <w:rsid w:val="2C9C71C7"/>
    <w:rsid w:val="36542D6A"/>
    <w:rsid w:val="430A2269"/>
    <w:rsid w:val="48F605BF"/>
    <w:rsid w:val="5E1205C5"/>
    <w:rsid w:val="6CBC1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toc 5"/>
    <w:basedOn w:val="1"/>
    <w:next w:val="1"/>
    <w:qFormat/>
    <w:uiPriority w:val="0"/>
    <w:pPr>
      <w:ind w:left="1680" w:leftChars="800"/>
    </w:pPr>
  </w:style>
  <w:style w:type="paragraph" w:customStyle="1" w:styleId="6">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236</Words>
  <Characters>1348</Characters>
  <Lines>11</Lines>
  <Paragraphs>3</Paragraphs>
  <TotalTime>11</TotalTime>
  <ScaleCrop>false</ScaleCrop>
  <LinksUpToDate>false</LinksUpToDate>
  <CharactersWithSpaces>1581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2023-05-16T06:47:00Z</dcterms:created>
  <dc:creator>Lenovo</dc:creator>
  <cp:lastModifiedBy>user</cp:lastModifiedBy>
  <dcterms:modified xsi:type="dcterms:W3CDTF">2023-11-27T10:12:05Z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A05CB974C0174BAEA18D33C3C721358F</vt:lpwstr>
  </property>
</Properties>
</file>