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960"/>
        <w:rPr>
          <w:rFonts w:hint="eastAsia"/>
        </w:rPr>
      </w:pPr>
      <w:r>
        <w:rPr>
          <w:rFonts w:hint="eastAsia" w:ascii="仿宋" w:hAnsi="仿宋" w:eastAsia="仿宋"/>
          <w:sz w:val="32"/>
          <w:szCs w:val="32"/>
          <w:lang w:eastAsia="zh-CN"/>
        </w:rPr>
        <w:t>附件</w:t>
      </w:r>
      <w:r>
        <w:rPr>
          <w:rFonts w:hint="eastAsia" w:ascii="仿宋" w:hAnsi="仿宋" w:eastAsia="仿宋"/>
          <w:sz w:val="32"/>
          <w:szCs w:val="32"/>
          <w:lang w:val="en-US" w:eastAsia="zh-CN"/>
        </w:rPr>
        <w:t>2：</w:t>
      </w:r>
    </w:p>
    <w:p>
      <w:pPr>
        <w:jc w:val="right"/>
        <w:rPr>
          <w:rFonts w:hint="eastAsia"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13</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w:t>
      </w:r>
      <w:r>
        <w:rPr>
          <w:rFonts w:hint="eastAsia" w:ascii="小标宋" w:hAnsi="黑体" w:eastAsia="小标宋"/>
          <w:sz w:val="44"/>
          <w:szCs w:val="44"/>
          <w:lang w:eastAsia="zh-CN"/>
        </w:rPr>
        <w:t>五</w:t>
      </w:r>
      <w:r>
        <w:rPr>
          <w:rFonts w:hint="eastAsia" w:ascii="小标宋" w:hAnsi="黑体" w:eastAsia="小标宋"/>
          <w:sz w:val="44"/>
          <w:szCs w:val="44"/>
        </w:rPr>
        <w:t>届</w:t>
      </w:r>
      <w:r>
        <w:rPr>
          <w:rFonts w:hint="eastAsia" w:ascii="小标宋" w:hAnsi="黑体" w:eastAsia="小标宋"/>
          <w:sz w:val="44"/>
          <w:szCs w:val="44"/>
          <w:lang w:eastAsia="zh-CN"/>
        </w:rPr>
        <w:t>二</w:t>
      </w:r>
      <w:r>
        <w:rPr>
          <w:rFonts w:hint="eastAsia" w:ascii="小标宋" w:hAnsi="黑体" w:eastAsia="小标宋"/>
          <w:sz w:val="44"/>
          <w:szCs w:val="44"/>
        </w:rPr>
        <w:t>次会议提案</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jc w:val="left"/>
              <w:rPr>
                <w:rFonts w:ascii="仿宋_GB2312" w:hAnsi="宋体" w:eastAsia="仿宋_GB2312"/>
                <w:sz w:val="32"/>
                <w:szCs w:val="32"/>
              </w:rPr>
            </w:pPr>
            <w:r>
              <w:rPr>
                <w:rFonts w:hint="eastAsia" w:ascii="仿宋_GB2312" w:hAnsi="宋体" w:eastAsia="仿宋_GB2312"/>
                <w:sz w:val="32"/>
                <w:szCs w:val="32"/>
                <w:lang w:val="en-US" w:eastAsia="zh-CN"/>
              </w:rPr>
              <w:t>关于发挥番禺产业优势，打造“直播电商之乡”的建议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黄建东</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lang w:val="en-US" w:eastAsia="zh-CN"/>
              </w:rPr>
              <w:t>黄建东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广州市仙人掌内容电商有限公司</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eastAsia" w:ascii="仿宋_GB2312" w:hAnsi="宋体" w:eastAsia="仿宋_GB2312"/>
                <w:sz w:val="32"/>
                <w:szCs w:val="32"/>
                <w:lang w:val="en-US" w:eastAsia="zh-CN"/>
              </w:rPr>
            </w:pPr>
          </w:p>
        </w:tc>
        <w:tc>
          <w:tcPr>
            <w:tcW w:w="1560" w:type="dxa"/>
            <w:gridSpan w:val="2"/>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eastAsia" w:ascii="仿宋_GB2312" w:hAnsi="宋体" w:eastAsia="仿宋_GB2312"/>
                <w:sz w:val="32"/>
                <w:szCs w:val="32"/>
                <w:lang w:val="en-US" w:eastAsia="zh-CN"/>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eastAsia" w:ascii="仿宋_GB2312" w:hAnsi="宋体" w:eastAsia="仿宋_GB2312"/>
                <w:sz w:val="32"/>
                <w:szCs w:val="32"/>
                <w:lang w:val="en-US" w:eastAsia="zh-CN"/>
              </w:rPr>
            </w:pPr>
          </w:p>
        </w:tc>
        <w:tc>
          <w:tcPr>
            <w:tcW w:w="992"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hint="eastAsia" w:ascii="仿宋_GB2312" w:hAnsi="宋体" w:eastAsia="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黄建东、李敏、黄烁、李铭华、吴卓婉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p>
        </w:tc>
      </w:tr>
    </w:tbl>
    <w:p>
      <w:pPr>
        <w:spacing w:line="560" w:lineRule="exact"/>
        <w:rPr>
          <w:rFonts w:hint="eastAsia" w:ascii="仿宋" w:hAnsi="仿宋" w:eastAsia="仿宋"/>
          <w:sz w:val="32"/>
          <w:szCs w:val="32"/>
          <w:lang w:val="en-US" w:eastAsia="zh-CN"/>
        </w:rPr>
      </w:pPr>
      <w:r>
        <w:rPr>
          <w:rFonts w:hint="eastAsia" w:ascii="黑体" w:hAnsi="黑体" w:eastAsia="黑体"/>
          <w:sz w:val="32"/>
          <w:szCs w:val="32"/>
        </w:rPr>
        <w:t>根据实际情况在</w:t>
      </w:r>
      <w:r>
        <w:rPr>
          <w:rFonts w:hint="eastAsia" w:ascii="黑体" w:hAnsi="黑体" w:eastAsia="黑体"/>
          <w:sz w:val="32"/>
          <w:szCs w:val="32"/>
          <w:lang w:eastAsia="zh-CN"/>
        </w:rPr>
        <w:t>（）</w:t>
      </w:r>
      <w:r>
        <w:rPr>
          <w:rFonts w:hint="eastAsia" w:ascii="黑体" w:hAnsi="黑体" w:eastAsia="黑体"/>
          <w:sz w:val="32"/>
          <w:szCs w:val="32"/>
        </w:rPr>
        <w:t>内打勾确认：</w:t>
      </w:r>
    </w:p>
    <w:p>
      <w:pPr>
        <w:spacing w:line="440" w:lineRule="exact"/>
        <w:rPr>
          <w:rFonts w:ascii="宋体" w:hAnsi="宋体"/>
          <w:b/>
          <w:sz w:val="30"/>
          <w:szCs w:val="30"/>
        </w:rPr>
      </w:pPr>
      <w:r>
        <w:rPr>
          <w:rFonts w:hint="eastAsia" w:ascii="宋体" w:hAnsi="宋体"/>
          <w:b/>
          <w:sz w:val="30"/>
          <w:szCs w:val="30"/>
          <w:lang w:eastAsia="zh-CN"/>
        </w:rPr>
        <w:t>是否同意公开</w:t>
      </w:r>
      <w:r>
        <w:rPr>
          <w:rFonts w:hint="eastAsia" w:ascii="宋体" w:hAnsi="宋体"/>
          <w:b/>
          <w:sz w:val="30"/>
          <w:szCs w:val="30"/>
        </w:rPr>
        <w:t>：</w:t>
      </w:r>
    </w:p>
    <w:p>
      <w:pPr>
        <w:spacing w:line="440" w:lineRule="exact"/>
        <w:rPr>
          <w:rFonts w:ascii="宋体"/>
          <w:sz w:val="30"/>
          <w:szCs w:val="30"/>
        </w:rPr>
      </w:pPr>
      <w:r>
        <w:rPr>
          <w:rFonts w:hint="eastAsia" w:ascii="宋体" w:hAnsi="宋体"/>
          <w:sz w:val="30"/>
          <w:szCs w:val="30"/>
          <w:lang w:eastAsia="zh-CN"/>
        </w:rPr>
        <w:t>是（</w:t>
      </w:r>
      <w:r>
        <w:rPr>
          <w:rFonts w:hint="default" w:ascii="Arial" w:hAnsi="Arial" w:cs="Arial"/>
          <w:sz w:val="30"/>
          <w:szCs w:val="30"/>
          <w:lang w:eastAsia="zh-CN"/>
        </w:rPr>
        <w:t>√</w:t>
      </w:r>
      <w:r>
        <w:rPr>
          <w:rFonts w:hint="eastAsia" w:ascii="宋体" w:hAnsi="宋体"/>
          <w:sz w:val="30"/>
          <w:szCs w:val="30"/>
          <w:lang w:eastAsia="zh-CN"/>
        </w:rPr>
        <w:t>）</w:t>
      </w:r>
      <w:r>
        <w:rPr>
          <w:rFonts w:ascii="宋体" w:hAnsi="宋体"/>
          <w:sz w:val="30"/>
          <w:szCs w:val="30"/>
        </w:rPr>
        <w:t xml:space="preserve">  </w:t>
      </w:r>
      <w:r>
        <w:rPr>
          <w:rFonts w:hint="eastAsia" w:ascii="宋体" w:hAnsi="宋体"/>
          <w:sz w:val="30"/>
          <w:szCs w:val="30"/>
          <w:lang w:eastAsia="zh-CN"/>
        </w:rPr>
        <w:t>否（）</w:t>
      </w:r>
      <w:r>
        <w:rPr>
          <w:rFonts w:ascii="宋体" w:hAnsi="宋体"/>
          <w:sz w:val="30"/>
          <w:szCs w:val="30"/>
        </w:rPr>
        <w:t xml:space="preserve"> </w:t>
      </w: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p>
    <w:p>
      <w:pPr>
        <w:spacing w:line="440" w:lineRule="exact"/>
        <w:rPr>
          <w:rFonts w:hint="eastAsia" w:ascii="黑体" w:hAnsi="黑体" w:eastAsia="黑体"/>
          <w:b/>
          <w:sz w:val="32"/>
          <w:szCs w:val="32"/>
        </w:rPr>
      </w:pPr>
      <w:r>
        <w:rPr>
          <w:rFonts w:hint="eastAsia" w:ascii="黑体" w:hAnsi="黑体" w:eastAsia="黑体"/>
          <w:b/>
          <w:sz w:val="32"/>
          <w:szCs w:val="32"/>
        </w:rPr>
        <w:t>理</w:t>
      </w:r>
      <w:r>
        <w:rPr>
          <w:rFonts w:hint="eastAsia" w:ascii="黑体" w:hAnsi="黑体" w:eastAsia="黑体"/>
          <w:b/>
          <w:sz w:val="32"/>
          <w:szCs w:val="32"/>
          <w:lang w:val="en-US" w:eastAsia="zh-CN"/>
        </w:rPr>
        <w:t xml:space="preserve">  </w:t>
      </w:r>
      <w:r>
        <w:rPr>
          <w:rFonts w:hint="eastAsia" w:ascii="黑体" w:hAnsi="黑体" w:eastAsia="黑体"/>
          <w:b/>
          <w:sz w:val="32"/>
          <w:szCs w:val="32"/>
        </w:rPr>
        <w:t>由：</w:t>
      </w:r>
    </w:p>
    <w:p>
      <w:pPr>
        <w:pStyle w:val="10"/>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640" w:firstLine="0" w:firstLineChars="0"/>
        <w:textAlignment w:val="auto"/>
        <w:outlineLvl w:val="9"/>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情况分析</w:t>
      </w:r>
    </w:p>
    <w:p>
      <w:pPr>
        <w:pStyle w:val="2"/>
        <w:ind w:left="0" w:leftChars="0" w:firstLine="640" w:firstLineChars="200"/>
        <w:rPr>
          <w:rFonts w:hint="eastAsia" w:ascii="仿宋" w:hAnsi="仿宋" w:eastAsia="仿宋" w:cs="仿宋"/>
          <w:kern w:val="32"/>
          <w:sz w:val="32"/>
          <w:szCs w:val="32"/>
          <w:u w:val="none"/>
          <w:lang w:val="en-US" w:eastAsia="zh-CN" w:bidi="ar-SA"/>
        </w:rPr>
      </w:pPr>
      <w:r>
        <w:rPr>
          <w:rFonts w:hint="eastAsia" w:ascii="仿宋" w:hAnsi="仿宋" w:eastAsia="仿宋" w:cs="仿宋"/>
          <w:kern w:val="32"/>
          <w:sz w:val="32"/>
          <w:szCs w:val="32"/>
          <w:u w:val="none"/>
          <w:lang w:val="en-US" w:eastAsia="zh-CN" w:bidi="ar-SA"/>
        </w:rPr>
        <w:t>2021年上半年，中国市场学会、阿里研究院联合淘宝直播ON MAP共同发布的《直播电商区域发展指数研究报告》，公布的2020年全国直播电商百强地区名单中，白云、天河、番禺分别位列第2、9、13名。进入百强的还有海珠、越秀、花都、黄埔、南沙。番禺取得全国直播电商百强地区的第13强、全市第3的成绩，与其厚积薄发的产业优势、丰富独有的文旅资源、政府与市场主体的共同努力是分不开的。例如：1.番禺是广州服装业的重要生产基地，南村镇更被誉为“淘宝直播第一镇”的称号。2.番禺是世界著名的珠宝首饰生产加工集聚地。番禺珠宝占全球市场份额的三成左右，占港澳市场份额的七成左右。在行业内有“世界珠宝，番禺制造”的美誉。3.番禺直播电商马拉松的开启，除了服装加工、珠宝，番禺还有红木家具、灯光音响等产业优势以及特有文旅资源。4.在番禺发展壮大的欢聚集团以及虎牙直播，无论是经济贡献还是人才培育方面，都带动番禺直播电商产业的高速发展，让番禺发展直播电商产业有了“近水楼台先得月”的先天优势。</w:t>
      </w:r>
    </w:p>
    <w:p>
      <w:pPr>
        <w:pStyle w:val="10"/>
        <w:keepNext w:val="0"/>
        <w:keepLines w:val="0"/>
        <w:pageBreakBefore w:val="0"/>
        <w:numPr>
          <w:ilvl w:val="0"/>
          <w:numId w:val="1"/>
        </w:numPr>
        <w:kinsoku/>
        <w:wordWrap/>
        <w:overflowPunct/>
        <w:topLinePunct w:val="0"/>
        <w:autoSpaceDE/>
        <w:autoSpaceDN/>
        <w:bidi w:val="0"/>
        <w:adjustRightInd/>
        <w:snapToGrid/>
        <w:spacing w:beforeAutospacing="0" w:afterAutospacing="0" w:line="560" w:lineRule="exact"/>
        <w:ind w:left="640" w:firstLine="0" w:firstLineChars="0"/>
        <w:textAlignment w:val="auto"/>
        <w:outlineLvl w:val="9"/>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存在的问题</w:t>
      </w:r>
    </w:p>
    <w:p>
      <w:pPr>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（一）直播电商扶持政策需进一步落实</w:t>
      </w:r>
    </w:p>
    <w:p>
      <w:pPr>
        <w:ind w:firstLine="640" w:firstLineChars="200"/>
        <w:rPr>
          <w:rFonts w:hint="eastAsia" w:ascii="仿宋" w:hAnsi="仿宋" w:eastAsia="仿宋" w:cs="仿宋"/>
          <w:kern w:val="32"/>
          <w:sz w:val="32"/>
          <w:szCs w:val="32"/>
          <w:u w:val="none"/>
          <w:lang w:val="en-US" w:eastAsia="zh-CN" w:bidi="ar-SA"/>
        </w:rPr>
      </w:pPr>
      <w:r>
        <w:rPr>
          <w:rFonts w:hint="eastAsia" w:ascii="仿宋" w:hAnsi="仿宋" w:eastAsia="仿宋" w:cs="仿宋"/>
          <w:kern w:val="32"/>
          <w:sz w:val="32"/>
          <w:szCs w:val="32"/>
          <w:u w:val="none"/>
          <w:lang w:val="en-US" w:eastAsia="zh-CN" w:bidi="ar-SA"/>
        </w:rPr>
        <w:t>2020年3月，广州率先出台全国首个直播电商发展三年行动方案，举全城之力引导企业借助直播电商拓展线上消费市场，助力传统商贸业转型。在广州提出打造</w:t>
      </w:r>
      <w:r>
        <w:rPr>
          <w:rFonts w:hint="default" w:ascii="仿宋" w:hAnsi="仿宋" w:eastAsia="仿宋" w:cs="仿宋"/>
          <w:kern w:val="32"/>
          <w:sz w:val="32"/>
          <w:szCs w:val="32"/>
          <w:u w:val="none"/>
          <w:lang w:val="en-US" w:eastAsia="zh-CN" w:bidi="ar-SA"/>
        </w:rPr>
        <w:t>“直播电商之都”的契机下，</w:t>
      </w:r>
      <w:r>
        <w:rPr>
          <w:rFonts w:hint="eastAsia" w:ascii="仿宋" w:hAnsi="仿宋" w:eastAsia="仿宋" w:cs="仿宋"/>
          <w:kern w:val="32"/>
          <w:sz w:val="32"/>
          <w:szCs w:val="32"/>
          <w:u w:val="none"/>
          <w:lang w:val="en-US" w:eastAsia="zh-CN" w:bidi="ar-SA"/>
        </w:rPr>
        <w:t>番禺区积极响应，出台了《番禺区直播电商发展行动方案(2020-2022年)》，确立番禺区直播电商发展目标，但目前尚未出台具体扶持政策。难以通过政策引导吸引国内头部直播电商企业和主播落户番禺。</w:t>
      </w:r>
    </w:p>
    <w:p>
      <w:pPr>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（二）直播电商载体运营水平还需进一步升级</w:t>
      </w:r>
    </w:p>
    <w:p>
      <w:pPr>
        <w:ind w:firstLine="640" w:firstLineChars="200"/>
        <w:rPr>
          <w:rFonts w:hint="eastAsia" w:ascii="仿宋" w:hAnsi="仿宋" w:eastAsia="仿宋" w:cs="仿宋"/>
          <w:kern w:val="32"/>
          <w:sz w:val="32"/>
          <w:szCs w:val="32"/>
          <w:u w:val="none"/>
          <w:lang w:val="en-US" w:eastAsia="zh-CN" w:bidi="ar-SA"/>
        </w:rPr>
      </w:pPr>
      <w:r>
        <w:rPr>
          <w:rFonts w:hint="eastAsia" w:ascii="仿宋" w:hAnsi="仿宋" w:eastAsia="仿宋" w:cs="仿宋"/>
          <w:kern w:val="32"/>
          <w:sz w:val="32"/>
          <w:szCs w:val="32"/>
          <w:u w:val="none"/>
          <w:lang w:val="en-US" w:eastAsia="zh-CN" w:bidi="ar-SA"/>
        </w:rPr>
        <w:t>直播电商载体的核心价值是通过和政府、行业协会以及知名企业的联动，形成政府专项政策、优质货源上翻、主播赋能、商家培训、活动落地、提供就业等直播生态闭环。虽然番禺已引导直播电商载体（园区、基地、小镇）完善配套直播电商产业链，招商引进优质直播电商企业，带动直播电商发展，但目前大多的直播电商载体（园区、基地、小镇）运营机构主要靠房租、物业费等取得收益，直播电商载体（园区、基地、小镇）的产业规划、运营管理及配套服务对于直播电商企业的引导与服务能力还偏低。</w:t>
      </w:r>
    </w:p>
    <w:p>
      <w:pPr>
        <w:ind w:firstLine="643" w:firstLineChars="200"/>
        <w:rPr>
          <w:rFonts w:hint="eastAsia" w:ascii="楷体" w:hAnsi="楷体" w:eastAsia="楷体" w:cs="楷体"/>
          <w:b/>
          <w:bCs/>
          <w:kern w:val="2"/>
          <w:sz w:val="32"/>
          <w:szCs w:val="32"/>
          <w:lang w:val="en-US" w:eastAsia="zh-CN" w:bidi="ar-SA"/>
        </w:rPr>
      </w:pPr>
      <w:r>
        <w:rPr>
          <w:rFonts w:hint="eastAsia" w:ascii="楷体" w:hAnsi="楷体" w:eastAsia="楷体" w:cs="楷体"/>
          <w:b/>
          <w:bCs/>
          <w:kern w:val="2"/>
          <w:sz w:val="32"/>
          <w:szCs w:val="32"/>
          <w:lang w:val="en-US" w:eastAsia="zh-CN" w:bidi="ar-SA"/>
        </w:rPr>
        <w:t>（三）直播电商专业人才仍较为匮乏</w:t>
      </w:r>
    </w:p>
    <w:p>
      <w:pPr>
        <w:ind w:firstLine="640" w:firstLineChars="200"/>
        <w:rPr>
          <w:rFonts w:hint="eastAsia" w:ascii="仿宋" w:hAnsi="仿宋" w:eastAsia="仿宋" w:cs="仿宋"/>
          <w:kern w:val="32"/>
          <w:sz w:val="32"/>
          <w:szCs w:val="32"/>
          <w:u w:val="none"/>
          <w:lang w:val="en-US" w:eastAsia="zh-CN" w:bidi="ar-SA"/>
        </w:rPr>
      </w:pPr>
      <w:r>
        <w:rPr>
          <w:rFonts w:hint="eastAsia" w:ascii="仿宋" w:hAnsi="仿宋" w:eastAsia="仿宋" w:cs="仿宋"/>
          <w:kern w:val="32"/>
          <w:sz w:val="32"/>
          <w:szCs w:val="32"/>
          <w:u w:val="none"/>
          <w:lang w:val="en-US" w:eastAsia="zh-CN" w:bidi="ar-SA"/>
        </w:rPr>
        <w:t>番禺区直播电商企业数量多，直播电商业态发展迅速，行业知识更新换代较快，相关专业人才不足。一方面缺乏大批专业管理技术人才，特别是优质培训讲师、行业领军人才。另一方面亟需优秀主播、团队运营、技术维护等大批专业直播电商人才落户番禺，为番禺直播电商产业高质量发展提供智能和人才支撑。</w:t>
      </w:r>
    </w:p>
    <w:p>
      <w:pPr>
        <w:spacing w:line="440" w:lineRule="exact"/>
        <w:rPr>
          <w:rFonts w:hint="eastAsia" w:ascii="黑体" w:hAnsi="黑体" w:eastAsia="黑体" w:cs="Times New Roman"/>
          <w:b/>
          <w:sz w:val="32"/>
          <w:szCs w:val="32"/>
        </w:rPr>
      </w:pPr>
      <w:r>
        <w:rPr>
          <w:rFonts w:hint="eastAsia" w:ascii="黑体" w:hAnsi="黑体" w:eastAsia="黑体" w:cs="Times New Roman"/>
          <w:b/>
          <w:sz w:val="32"/>
          <w:szCs w:val="32"/>
        </w:rPr>
        <w:t>办</w:t>
      </w:r>
      <w:r>
        <w:rPr>
          <w:rFonts w:hint="eastAsia" w:ascii="黑体" w:hAnsi="黑体" w:eastAsia="黑体" w:cs="Times New Roman"/>
          <w:b/>
          <w:sz w:val="32"/>
          <w:szCs w:val="32"/>
          <w:lang w:val="en-US" w:eastAsia="zh-CN"/>
        </w:rPr>
        <w:t xml:space="preserve">  </w:t>
      </w:r>
      <w:r>
        <w:rPr>
          <w:rFonts w:hint="eastAsia" w:ascii="黑体" w:hAnsi="黑体" w:eastAsia="黑体" w:cs="Times New Roman"/>
          <w:b/>
          <w:sz w:val="32"/>
          <w:szCs w:val="32"/>
        </w:rPr>
        <w:t>法：</w:t>
      </w:r>
    </w:p>
    <w:p>
      <w:pPr>
        <w:pStyle w:val="10"/>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640" w:leftChars="0"/>
        <w:textAlignment w:val="auto"/>
        <w:outlineLvl w:val="9"/>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一、加快出台直播电商扶持政策</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640" w:firstLineChars="200"/>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加强政策引导，参考越秀、花都和从化区出台直播电商扶持政策的做法，加快出台番禺直播电商扶持政策，建议根据直播电商载体、企业和带货主播纳统的销售金额等产业贡献情况，通过资金奖励、人才公寓、职称申报、人才落户、子女入学、医疗健康、金融服务等一揽子政策带动番禺直播电商产业的高质量发展。</w:t>
      </w:r>
    </w:p>
    <w:p>
      <w:pPr>
        <w:pStyle w:val="10"/>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640" w:leftChars="0"/>
        <w:textAlignment w:val="auto"/>
        <w:outlineLvl w:val="9"/>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二、直播电商载体品质提升</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640" w:firstLineChars="200"/>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面向全国招引淘宝、京东、拼多多、抖音、快手等知名直播电商平台，在番禺设立区域运营中心。引导市场主办方、电商供应链企业、主播盘活社会各资源，集聚建设直播电商载体（园区、基地、小镇），完善内容制造、视频技术、直播场景等“一站式”直播基础设施，从软、硬件方面推动新媒体电商集聚发展。根据直播电商载体（园区、基地、小镇）建设直播间数量、注册活跃主播人数、帮助本地企业带货量，给予年度投资额一定比例的奖励。对获得主流平台或相关部门认可，具有一定规模并发展情况较好的直播电商载体（园区、基地、小镇），给予一定政策扶持。</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640" w:firstLineChars="200"/>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另外，由于直播电商基地适合坐落于地铁等交通枢纽沿线，因此建议区政府考虑以番禺广场等地铁枢纽附近的国有闲置物业为载体，通过给予一定的政策支持，打造国内一流的直播电商基地。</w:t>
      </w:r>
    </w:p>
    <w:p>
      <w:pPr>
        <w:pStyle w:val="10"/>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640" w:leftChars="0"/>
        <w:textAlignment w:val="auto"/>
        <w:outlineLvl w:val="9"/>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三、注重直播电商专业人才培养</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firstLine="640" w:firstLineChars="200"/>
        <w:textAlignment w:val="baseline"/>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实施直播电商职业技能提升行动，加快培育一批优秀的主播与团队为番禺直播电商产业服务。引导直播电商企业对主播实行分层管理，对经认定综合年销售额、带货量、粉丝量、投诉量、社会信用度等标准排名前十名的优秀头部主播给予一定政策扶持。对年带货量达一定规模以上的，政治觉悟高、对党忠诚、政治上积极要求进步的优秀带货主播，择优发展为入党积极分子，优先推荐评选劳动模范、十大杰出青年等荣誉称号。</w:t>
      </w:r>
    </w:p>
    <w:p>
      <w:pPr>
        <w:pStyle w:val="10"/>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exact"/>
        <w:ind w:left="640" w:leftChars="0"/>
        <w:textAlignment w:val="auto"/>
        <w:outlineLvl w:val="9"/>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四、营造直播电商发展氛围</w:t>
      </w:r>
    </w:p>
    <w:p>
      <w:pPr>
        <w:pStyle w:val="2"/>
      </w:pPr>
      <w:r>
        <w:rPr>
          <w:rFonts w:hint="eastAsia" w:ascii="仿宋_GB2312" w:hAnsi="仿宋_GB2312" w:eastAsia="仿宋_GB2312" w:cs="仿宋_GB2312"/>
          <w:kern w:val="2"/>
          <w:sz w:val="32"/>
          <w:szCs w:val="32"/>
          <w:lang w:val="en-US" w:eastAsia="zh-CN" w:bidi="ar-SA"/>
        </w:rPr>
        <w:t>推动番禺直播电商企业与直播电商平台合作，支持各大商协会等社会组织在番禺举办具有行业影响力的直播电商大型会议和活动，邀请国内知名的直播电商领域专家、学者，为番禺直播电商产业发展建言献策。对各大商协会等社会组织举办直播电商大赛、年度直播人物评选等活动，给予一定的活动经费支持。</w:t>
      </w:r>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2</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AB00BA"/>
    <w:multiLevelType w:val="singleLevel"/>
    <w:tmpl w:val="0AAB00B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D1B2D"/>
    <w:rsid w:val="06752A20"/>
    <w:rsid w:val="143F024C"/>
    <w:rsid w:val="244E71CB"/>
    <w:rsid w:val="3CB42D54"/>
    <w:rsid w:val="49A7142E"/>
    <w:rsid w:val="561D1B2D"/>
    <w:rsid w:val="56783A49"/>
    <w:rsid w:val="59012204"/>
    <w:rsid w:val="5B7C12A2"/>
    <w:rsid w:val="687918AD"/>
    <w:rsid w:val="76891E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0" w:leftChars="0" w:firstLine="1040" w:firstLineChars="200"/>
    </w:pPr>
    <w:rPr>
      <w:sz w:val="24"/>
    </w:rPr>
  </w:style>
  <w:style w:type="paragraph" w:styleId="3">
    <w:name w:val="Body Text Indent"/>
    <w:basedOn w:val="1"/>
    <w:qFormat/>
    <w:uiPriority w:val="0"/>
    <w:pPr>
      <w:ind w:firstLine="645"/>
    </w:pPr>
    <w:rPr>
      <w:rFonts w:ascii="仿宋_GB2312" w:eastAsia="仿宋_GB2312"/>
      <w:sz w:val="32"/>
    </w:rPr>
  </w:style>
  <w:style w:type="paragraph" w:styleId="4">
    <w:name w:val="footer"/>
    <w:basedOn w:val="1"/>
    <w:qFormat/>
    <w:uiPriority w:val="99"/>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1"/>
    <w:unhideWhenUsed/>
    <w:qFormat/>
    <w:uiPriority w:val="99"/>
    <w:pPr>
      <w:ind w:firstLine="420" w:firstLineChars="100"/>
    </w:pPr>
  </w:style>
  <w:style w:type="paragraph" w:customStyle="1" w:styleId="10">
    <w:name w:val="列出段落1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Company>
  <Pages>1</Pages>
  <Words>0</Words>
  <Characters>0</Characters>
  <Lines>0</Lines>
  <Paragraphs>0</Paragraphs>
  <TotalTime>9</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2021-12-31T03:34:00Z</dcterms:created>
  <dc:creator>Administrator</dc:creator>
  <cp:lastModifiedBy>user</cp:lastModifiedBy>
  <dcterms:modified xsi:type="dcterms:W3CDTF">2023-11-21T10:23:35Z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14F9510DFBB645169DBE14CA0CD05E51</vt:lpwstr>
  </property>
</Properties>
</file>